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both"/>
      </w:pPr>
      <w:r>
        <w:rPr>
          <w:rFonts w:ascii="Times New Roman" w:hAnsi="Times New Roman"/>
          <w:b w:val="0"/>
          <w:sz w:val="24"/>
        </w:rPr>
        <w:t>УДК 004.6:631.67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/>
          <w:b/>
        </w:rPr>
        <w:t>МЕЖПОЛЕВАЯ ПРОВЕРКА РАСЧЕТНОЙ ВЛАЖНОСТИ ПОЧВЫ КОРНИКС ПО ДАННЫМ SENTINEL-1 И SENTINEL-2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/>
          <w:b/>
        </w:rPr>
        <w:t>[Фамилия Имя Отчество автора]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sz w:val="24"/>
        </w:rPr>
        <w:t>[Организация, город, Россия]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sz w:val="24"/>
        </w:rPr>
        <w:t>[e-mail автора]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Аннотация.</w:t>
      </w:r>
      <w:r>
        <w:rPr>
          <w:rFonts w:ascii="Times New Roman" w:hAnsi="Times New Roman" w:cs="Times New Roman"/>
          <w:b w:val="0"/>
        </w:rPr>
        <w:t xml:space="preserve"> Проверяется переносимость связи между расчётной влажностью почвы КОРНИКС и радиолокационным откликом Sentinel-1 после независимой проверки растительного блока по Sentinel-2. На 36 полях выполнена шестикратная межполевая проверка. Модель «влажность 0–10 см + FCOVER + взаимодействие» дала R²out=0,137 для VV и превысила упрощённые модели. Результат подтверждает согласованность динамики источников, но не является калибровкой абсолютной влажности.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Ключевые слова:</w:t>
      </w:r>
      <w:r>
        <w:rPr>
          <w:rFonts w:ascii="Times New Roman" w:hAnsi="Times New Roman" w:cs="Times New Roman"/>
          <w:b w:val="0"/>
        </w:rPr>
        <w:t xml:space="preserve"> влажность почвы, дистанционное зондирование Земли, Sentinel-1, Sentinel-2, FCOVER, КОРНИКС, межполевая проверка.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Введение.</w:t>
      </w:r>
      <w:r>
        <w:rPr>
          <w:rFonts w:ascii="Times New Roman" w:hAnsi="Times New Roman" w:cs="Times New Roman"/>
          <w:b w:val="0"/>
        </w:rPr>
        <w:t xml:space="preserve"> Sentinel-1 чувствителен к состоянию приповерхностного слоя, но его сигнал зависит также от растительности и шероховатости [3]. Поэтому прямое сопоставление VV или VH с расчётной влажностью смешивает влияние воды и покрова. Проверяется гипотеза: независимая проверка FCOVER по Sentinel-2 и его учёт повышают переносимость связи между расчётной влажностью КОРНИКС и Sentinel-1 на невиданные поля.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Материалы и дизайн эксперимента.</w:t>
      </w:r>
      <w:r>
        <w:rPr>
          <w:rFonts w:ascii="Times New Roman" w:hAnsi="Times New Roman" w:cs="Times New Roman"/>
          <w:b w:val="0"/>
        </w:rPr>
        <w:t xml:space="preserve"> Использованы суточные ряды КОРНИКС v006 за апрель–август 2026 г., Sentinel-1 RTC и безоблачные Sentinel-2. FCOVER Sentinel-2 рассчитывался SNAP-совместимой биофизической схемой [1, 2]. Поле SP 7.3 исключено. Основной набор содержит 36 полей и 2 118 совпадений «поле–дата Sentinel-1». Шесть фолдов по шесть полей обеспечили расчёт метрик только на невиданных полях.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Проверяемые модели.</w:t>
      </w:r>
      <w:r>
        <w:rPr>
          <w:rFonts w:ascii="Times New Roman" w:hAnsi="Times New Roman" w:cs="Times New Roman"/>
          <w:b w:val="0"/>
        </w:rPr>
        <w:t xml:space="preserve"> Отклик — VV Sentinel-1 в дБ; основной вариант КОРНИКС — междурядье 65 см. Сравнивались робастные Huber-регрессии: M1 — только FCOVER; M2 — только расчётная влажность слоя 0–10 см; M3 — влажность, FCOVER и их взаимодействие. Осадки и поливы не были признаками модели: они использовались лишь для sensitivity-проверки после исключения дат с поступлением воды.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Проверка растительного блока.</w:t>
      </w:r>
      <w:r>
        <w:rPr>
          <w:rFonts w:ascii="Times New Roman" w:hAnsi="Times New Roman" w:cs="Times New Roman"/>
          <w:b w:val="0"/>
        </w:rPr>
        <w:t xml:space="preserve"> На 419 точных совпадениях без лага общая корреляция FCOVER составила r=0,763 (R²=0,583), а медианная внутриполевая — 0,944. Три ряда покрытия КОРНИКС для 90 см полностью идентичны и не являются независимными альтернативами. Наилучшее совмещение кривых даёт сдвиг КОРНИКС вправо на 12 суток; bootstrap-интервал — 9–16 суток. Сдвиг применялся только в графической диагностике, не в M1–M3.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Результаты.</w:t>
      </w:r>
      <w:r>
        <w:rPr>
          <w:rFonts w:ascii="Times New Roman" w:hAnsi="Times New Roman" w:cs="Times New Roman"/>
          <w:b w:val="0"/>
        </w:rPr>
        <w:t xml:space="preserve"> Для VV M1 дала R²out=0,060 и RMSE=2,684 дБ, M2 — 0,113 и 2,608 дБ. Наилучшей оказалась M3: R²out=0,137, RMSE=2,572 дБ, MAE=1,777 дБ. Bootstrap по полям подтвердил преимущество M3: прирост R²out относительно M1 равен 0,078 (95%-й интервал 0,035…0,128), относительно M2 — 0,024 (0,009…0,042). Оба интервала не включают ноль.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Проверки устойчивости.</w:t>
      </w:r>
      <w:r>
        <w:rPr>
          <w:rFonts w:ascii="Times New Roman" w:hAnsi="Times New Roman" w:cs="Times New Roman"/>
          <w:b w:val="0"/>
        </w:rPr>
        <w:t xml:space="preserve"> Для VH M3 достигла R²out=0,267 против 0,207 у M2, но интервал разности M3–M2 включил ноль. На 21 поле с FCOVER R² не ниже 0,70 преимущество VV-модели M3 сохранилось (R²out=0,146). Вариант 90 см дал те же результаты, что и 65 см, поскольку входные ряды идентичны. После исключения дат с осадками или поливом VV-M3 снизилась до R²out=0,028: оставшаяся подвыборка менее информативна, но вода не была предиктором модели.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Обсуждение.</w:t>
      </w:r>
      <w:r>
        <w:rPr>
          <w:rFonts w:ascii="Times New Roman" w:hAnsi="Times New Roman" w:cs="Times New Roman"/>
          <w:b w:val="0"/>
        </w:rPr>
        <w:t xml:space="preserve"> Рабочая гипотеза подтверждена: растительный покров следует учитывать при сопоставлении Sentinel-1 с расчётной влагой. Межполевая проверка исключает объяснение результата подгонкой одного ряда. Однако даже VH с R²out=0,267 не позволяет считать Sentinel-1 прямым измерителем объёмной влажности. Без синхронных наземных измерений нельзя валидировать абсолютную влагу 0–10 см и глубокие слои.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Заключение.</w:t>
      </w:r>
      <w:r>
        <w:rPr>
          <w:rFonts w:ascii="Times New Roman" w:hAnsi="Times New Roman" w:cs="Times New Roman"/>
          <w:b w:val="0"/>
        </w:rPr>
        <w:t xml:space="preserve"> Последовательная схема Sentinel-2 → фиксированный растительный блок → Sentinel-1 позволила разделить проверку покрытия и проверку приповерхностного водного состояния. Для 36 полей интерпретируемая модель M3 устойчиво превзошла модели только по FCOVER и только по влаге для VV. Следующий этап исследования — синхронные полевые измерения влажности и покрытия, а затем оценка того, насколько поверхностные спутниковые ограничения уменьшают неопределённость расчётного профиля до глубины 1 м.</w:t>
      </w:r>
    </w:p>
    <w:p>
      <w:pPr>
        <w:spacing w:line="360" w:lineRule="auto" w:before="120" w:after="0"/>
        <w:jc w:val="both"/>
      </w:pPr>
      <w:r>
        <w:rPr>
          <w:rFonts w:ascii="Times New Roman" w:hAnsi="Times New Roman"/>
          <w:b/>
          <w:sz w:val="24"/>
        </w:rPr>
        <w:t>Список источников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sz w:val="24"/>
        </w:rPr>
        <w:t>1. Drusch M., Del Bello U., Carlier S. et al. Sentinel-2: ESA’s Optical High-Resolution Mission for GMES Operational Services. Remote Sensing of Environment. 2012. Vol. 120. P. 25–36.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sz w:val="24"/>
        </w:rPr>
        <w:t>2. Copernicus Global Land Service. FCOVER: Fraction of Green Vegetation Cover. Product User Manual. European Union, 2024.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sz w:val="24"/>
        </w:rPr>
        <w:t>3. Bauer-Marschallinger B. et al. Toward Global Soil Moisture Monitoring with Sentinel-1. IEEE Transactions on Geoscience and Remote Sensing. 2019. Vol. 57, no. 1. P. 520–539.</w:t>
      </w:r>
    </w:p>
    <w:sectPr w:rsidR="00FC693F" w:rsidRPr="0006063C" w:rsidSect="00034616"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Оценка влажности почвы на сельскохозяйственных полях</dc:title>
  <dc:subject/>
  <dc:creator>[Фамилия Имя Отчество автора]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