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jc w:val="left"/>
      </w:pPr>
      <w:r>
        <w:rPr>
          <w:rFonts w:ascii="Times New Roman" w:hAnsi="Times New Roman"/>
          <w:b w:val="0"/>
          <w:i w:val="0"/>
          <w:sz w:val="24"/>
        </w:rPr>
        <w:t>УДК 004.6:631.67</w:t>
      </w:r>
    </w:p>
    <w:p>
      <w:pPr>
        <w:spacing w:line="360" w:lineRule="auto" w:before="0" w:after="0"/>
        <w:jc w:val="center"/>
      </w:pPr>
      <w:r>
        <w:rPr>
          <w:rFonts w:ascii="Times New Roman" w:hAnsi="Times New Roman"/>
          <w:b/>
          <w:i w:val="0"/>
          <w:sz w:val="24"/>
        </w:rPr>
        <w:t>ОЦЕНКА ВЛАЖНОСТИ ПОЧВЫ НА СЕЛЬСКОХОЗЯЙСТВЕННЫХ ПОЛЯХ ПО СПУТНИКОВЫМ ДАННЫМ И ФИЗИЧЕСКИ ОБОСНОВАННОЙ МОДЕЛИ</w:t>
      </w:r>
    </w:p>
    <w:p>
      <w:pPr>
        <w:spacing w:line="360" w:lineRule="auto" w:before="0" w:after="0"/>
        <w:jc w:val="center"/>
      </w:pPr>
      <w:r>
        <w:rPr>
          <w:rFonts w:ascii="Times New Roman" w:hAnsi="Times New Roman"/>
          <w:b/>
          <w:i w:val="0"/>
          <w:sz w:val="24"/>
        </w:rPr>
        <w:t>[Фамилия Имя Отчество автора]</w:t>
      </w:r>
    </w:p>
    <w:p>
      <w:pPr>
        <w:spacing w:line="360" w:lineRule="auto" w:before="0" w:after="0"/>
        <w:jc w:val="center"/>
      </w:pPr>
      <w:r>
        <w:rPr>
          <w:rFonts w:ascii="Times New Roman" w:hAnsi="Times New Roman"/>
          <w:b w:val="0"/>
          <w:i w:val="0"/>
          <w:sz w:val="24"/>
        </w:rPr>
        <w:t>[Организация, город, Россия]</w:t>
      </w:r>
    </w:p>
    <w:p>
      <w:pPr>
        <w:spacing w:line="360" w:lineRule="auto" w:before="0" w:after="0"/>
        <w:jc w:val="center"/>
      </w:pPr>
      <w:r>
        <w:rPr>
          <w:rFonts w:ascii="Times New Roman" w:hAnsi="Times New Roman"/>
          <w:b w:val="0"/>
          <w:i w:val="0"/>
          <w:sz w:val="24"/>
        </w:rPr>
        <w:t>[e-mail автора]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 xml:space="preserve">Аннотация. </w:t>
      </w:r>
      <w:r>
        <w:rPr>
          <w:rFonts w:ascii="Times New Roman" w:hAnsi="Times New Roman"/>
          <w:b w:val="0"/>
          <w:i w:val="0"/>
          <w:sz w:val="24"/>
        </w:rPr>
        <w:t>Предложен подход к оценке пространственно распределённой влажности почвы на сельскохозяйственных полях на основе точечных наземных измерений, продуктов Sentinel-2 и физически обоснованного моделирования. Для вегетационного периода 2026 года рассчитываются индексы NDVI, NDWI и анализируется продукт FCOVER. Спутниковые показатели сопоставляются с модельными характеристиками развития растительного покрова и запасов влаги. Подход обеспечивает переход от локальных показаний датчиков к оценке состояния всего поля для управления поливами.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 xml:space="preserve">Ключевые слова: </w:t>
      </w:r>
      <w:r>
        <w:rPr>
          <w:rFonts w:ascii="Times New Roman" w:hAnsi="Times New Roman"/>
          <w:b w:val="0"/>
          <w:i w:val="0"/>
          <w:sz w:val="24"/>
        </w:rPr>
        <w:t>влажность почвы, дистанционное зондирование Земли, Sentinel-2, NDVI, NDWI, FCOVER, орошение, математическое моделирование.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 xml:space="preserve">Введение. </w:t>
      </w:r>
      <w:r>
        <w:rPr>
          <w:rFonts w:ascii="Times New Roman" w:hAnsi="Times New Roman"/>
          <w:b w:val="0"/>
          <w:i w:val="0"/>
          <w:sz w:val="24"/>
        </w:rPr>
        <w:t>Эффективное управление поливами требует своевременной оценки влагообеспеченности посевов. Датчики влажности характеризуют лишь отдельные точки и не отражают неоднородность поля, обусловленную свойствами почв, микрорельефом и состоянием растительного покрова. Поэтому актуальна задача восстановления пространственной картины влажности по данным для всей площади поля.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Спутниковые данные Sentinel-2 с разрешением до 10 м позволяют наблюдать развитие посевов. Индексы рассчитываются по отражательной способности поверхности: NDVI = (ρNIR − ρRED) / (ρNIR + ρRED), где для Sentinel-2 используются канал B8 ближнего инфракрасного диапазона (NIR, 10 м) и канал B4 красного диапазона (RED, 10 м). Рост NDVI обычно соответствует увеличению доли фотосинтезирующей биомассы; низкие значения характерны для открытой почвы, а отрицательные — для воды, облаков или теней.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Для оценки водного состояния растительного покрова рассчитывается NDWI = (ρNIR − ρSWIR) / (ρNIR + ρSWIR), где ρSWIR — отражательная способность канала B11 коротковолнового инфракрасного диапазона; перед расчётом B11 приводится к разрешению 10 м. Более высокие значения NDWI указывают на большее содержание влаги в растительности, однако индекс следует интерпретировать совместно с NDVI и метеоданными. FCOVER — безразмерный спутниковый продукт от 0 до 1, характеризующий долю площади пикселя, занятую зелёной растительностью. Его сопоставление с модельной долей покрытия поля позволяет независимо проверить динамику развития посевов [1, 2].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 xml:space="preserve">Материалы и методы. </w:t>
      </w:r>
      <w:r>
        <w:rPr>
          <w:rFonts w:ascii="Times New Roman" w:hAnsi="Times New Roman"/>
          <w:b w:val="0"/>
          <w:i w:val="0"/>
          <w:sz w:val="24"/>
        </w:rPr>
        <w:t>Исследование выполняется для рассматриваемых полей с апреля по август 2026 года. Используются измерения датчиков, сцены Sentinel-2, продукт поверхностной влажности по Sentinel-1, границы полей и метеорологические данные. Обработка включает отбор безоблачных сцен, маскирование облаков и расчёт NDVI, NDWI и FCOVER.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Модель водного баланса рассчитывает развитие растений и влажность почвы с учётом осадков, поливов, испарения, транспирации и запасов влаги. Значения поверхностной влажности Sentinel-1 для слоя 5-10 см сопоставляются с расчётной влажностью той же глубины; учитывается влияние растительности и шероховатости на радиолокационный сигнал [3]. Модель проверяется по наземным измерениям с использованием MAE, RMSE и R².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 xml:space="preserve">Результаты и обсуждение. </w:t>
      </w:r>
      <w:r>
        <w:rPr>
          <w:rFonts w:ascii="Times New Roman" w:hAnsi="Times New Roman"/>
          <w:b w:val="0"/>
          <w:i w:val="0"/>
          <w:sz w:val="24"/>
        </w:rPr>
        <w:t>Получены временные ряды NDVI, NDWI, FCOVER, поверхностной влажности Sentinel-1 и модельных характеристик. FCOVER сопоставляется с модельной долей покрытия поля, а Sentinel-1 — с модельной влажностью верхнего слоя, что дополняет проверку результатов между точками датчиков. В период активной вегетации рост FCOVER и NDVI сопровождается изменением модельной транспирации и влагозапаса.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Совмещение спутниковых и модельных показателей позволяет формировать карты влагообеспеченности поля; в окончательную версию включаются MAE, RMSE, R² и показатели связи индексов с модельной динамикой растительности.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 xml:space="preserve">Заключение. </w:t>
      </w:r>
      <w:r>
        <w:rPr>
          <w:rFonts w:ascii="Times New Roman" w:hAnsi="Times New Roman"/>
          <w:b w:val="0"/>
          <w:i w:val="0"/>
          <w:sz w:val="24"/>
        </w:rPr>
        <w:t>Для оценки влажности глубже верхнего слоя почвы необходима физически обоснованная модель, входами которой являются погодные данные и свойства почвы. Параметры развития растительности задаются по FCOVER с точностью, оцениваемой сопоставлением с модельной долей покрытия. Совмещение Sentinel-1, Sentinel-2, наземных измерений и модели обеспечивает пространственную оценку состояния поля для управления поливами.</w:t>
      </w:r>
    </w:p>
    <w:p>
      <w:pPr>
        <w:spacing w:line="360" w:lineRule="auto" w:before="120" w:after="0"/>
        <w:jc w:val="left"/>
      </w:pPr>
      <w:r>
        <w:rPr>
          <w:rFonts w:ascii="Times New Roman" w:hAnsi="Times New Roman"/>
          <w:b/>
          <w:i w:val="0"/>
          <w:sz w:val="24"/>
        </w:rPr>
        <w:t>Список источников</w:t>
      </w:r>
    </w:p>
    <w:p>
      <w:pPr>
        <w:spacing w:line="360" w:lineRule="auto" w:before="0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1. Drusch M., Del Bello U., Carlier S. et al. Sentinel-2: ESA’s Optical High-Resolution Mission for GMES Operational Services. Remote Sensing of Environment. 2012. Vol. 120. P. 25–36.</w:t>
      </w:r>
    </w:p>
    <w:p>
      <w:pPr>
        <w:spacing w:line="360" w:lineRule="auto" w:before="0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2. Copernicus Global Land Service. FCOVER: Fraction of Green Vegetation Cover. Product User Manual. European Union, 2024.</w:t>
      </w:r>
    </w:p>
    <w:p>
      <w:pPr>
        <w:spacing w:line="360" w:lineRule="auto" w:before="0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3. Bauer-Marschallinger B. et al. Toward Global Soil Moisture Monitoring with Sentinel-1. IEEE Transactions on Geoscience and Remote Sensing. 2019. Vol. 57, no. 1. P. 520-539.</w:t>
      </w:r>
    </w:p>
    <w:sectPr w:rsidR="00FC693F" w:rsidRPr="0006063C" w:rsidSect="00034616">
      <w:pgSz w:w="11906" w:h="16838"/>
      <w:pgMar w:top="1134" w:right="1134" w:bottom="1134" w:left="1134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Оценка влажности почвы на сельскохозяйственных полях</dc:title>
  <dc:subject/>
  <dc:creator>[Фамилия Имя Отчество автора]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