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both"/>
      </w:pPr>
      <w:r>
        <w:rPr>
          <w:rtl w:val="0"/>
          <w:lang w:val="en-US"/>
        </w:rPr>
        <w:t xml:space="preserve">УДК </w:t>
      </w:r>
      <w:r>
        <w:rPr>
          <w:rtl w:val="0"/>
        </w:rPr>
        <w:t>004.6:631.67</w:t>
      </w:r>
    </w:p>
    <w:p>
      <w:pPr>
        <w:pStyle w:val="Основной текст"/>
        <w:jc w:val="center"/>
      </w:pPr>
      <w:r>
        <w:t>МЕЖПОЛЕВАЯ ПРОВЕРКА РАСЧЁТНОЙ ВЛАЖНОСТИ ПОЧВЫ ПО ДАННЫМ SENTINEL-1 И SENTINEL-2</w:t>
      </w:r>
    </w:p>
    <w:p>
      <w:pPr>
        <w:pStyle w:val="Основной текст"/>
        <w:jc w:val="center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>Фамилия Имя Отчество автора</w:t>
      </w:r>
      <w:r>
        <w:rPr>
          <w:b w:val="1"/>
          <w:bCs w:val="1"/>
          <w:rtl w:val="0"/>
          <w:lang w:val="pt-PT"/>
        </w:rPr>
        <w:t>]</w:t>
      </w:r>
    </w:p>
    <w:p>
      <w:pPr>
        <w:pStyle w:val="Основной текст"/>
        <w:jc w:val="center"/>
      </w:pPr>
      <w:r>
        <w:rPr>
          <w:rtl w:val="0"/>
          <w:lang w:val="pt-PT"/>
        </w:rPr>
        <w:t>[</w:t>
      </w:r>
      <w:r>
        <w:rPr>
          <w:rtl w:val="0"/>
          <w:lang w:val="en-US"/>
        </w:rPr>
        <w:t>Организация</w:t>
      </w:r>
      <w:r>
        <w:rPr>
          <w:rtl w:val="0"/>
        </w:rPr>
        <w:t xml:space="preserve">, </w:t>
      </w:r>
      <w:r>
        <w:rPr>
          <w:rtl w:val="0"/>
          <w:lang w:val="en-US"/>
        </w:rPr>
        <w:t>город</w:t>
      </w:r>
      <w:r>
        <w:rPr>
          <w:rtl w:val="0"/>
        </w:rPr>
        <w:t xml:space="preserve">, </w:t>
      </w:r>
      <w:r>
        <w:rPr>
          <w:rtl w:val="0"/>
          <w:lang w:val="en-US"/>
        </w:rPr>
        <w:t>Россия</w:t>
      </w:r>
      <w:r>
        <w:rPr>
          <w:rtl w:val="0"/>
          <w:lang w:val="pt-PT"/>
        </w:rPr>
        <w:t>]</w:t>
      </w:r>
    </w:p>
    <w:p>
      <w:pPr>
        <w:pStyle w:val="Основной текст"/>
        <w:jc w:val="center"/>
      </w:pPr>
      <w:r>
        <w:rPr>
          <w:rtl w:val="0"/>
        </w:rPr>
        <w:t xml:space="preserve">[e-mail </w:t>
      </w:r>
      <w:r>
        <w:rPr>
          <w:rtl w:val="0"/>
          <w:lang w:val="en-US"/>
        </w:rPr>
        <w:t>автора</w:t>
      </w:r>
      <w:r>
        <w:rPr>
          <w:rtl w:val="0"/>
          <w:lang w:val="pt-PT"/>
        </w:rPr>
        <w:t>]</w:t>
      </w:r>
    </w:p>
    <w:p>
      <w:pPr>
        <w:pStyle w:val="Основной текст"/>
        <w:ind w:firstLine="709"/>
        <w:jc w:val="both"/>
      </w:pPr>
      <w:r>
        <w:t>Аннотация. Оценили на 36 полях, переносится ли связь между влажностью почвы, рассчитанной моделью водного режима, и радиолокационным откликом Sentinel-1 после независимой проверки растительного блока по Sentinel-2. В шестикратной межполевой проверке модель «влажность 0–10 см + FCOVER + взаимодействие» дала для VV R²out=0,137 и превзошла упрощённые варианты. Этот результат показывает согласованность динамики источников, но не калибрует абсолютную влажность.</w:t>
      </w:r>
    </w:p>
    <w:p>
      <w:pPr>
        <w:pStyle w:val="Основной текст"/>
        <w:ind w:firstLine="709"/>
        <w:jc w:val="both"/>
      </w:pPr>
      <w:r>
        <w:t>Ключевые слова: влажность почвы, модель водного режима, дистанционное зондирование Земли, Sentinel-1, Sentinel-2, FCOVER, межполевая проверка.</w:t>
      </w:r>
    </w:p>
    <w:p>
      <w:pPr>
        <w:pStyle w:val="Основной текст"/>
        <w:ind w:firstLine="709"/>
        <w:jc w:val="both"/>
      </w:pPr>
      <w:r>
        <w:t>Введение. Sentinel-1 чувствителен к состоянию приповерхностного слоя, но его сигнал зависит также от растительности и шероховатости [3]. Поэтому прямое сопоставление VV или VH с расчётной влажностью смешивает их влияние. Мы поставили задачу сначала независимо проверить сезонную динамику FCOVER по Sentinel-2, а затем выяснить, улучшает ли его учёт связь между влажностью, рассчитанной моделью водного режима, и Sentinel-1 на невиданных полях.</w:t>
      </w:r>
    </w:p>
    <w:p>
      <w:pPr>
        <w:pStyle w:val="Основной текст"/>
        <w:ind w:firstLine="709"/>
        <w:jc w:val="both"/>
      </w:pPr>
      <w:r>
        <w:t>Материалы и дизайн эксперимента. Мы использовали суточные ряды модели водного режима почвы за апрель–август 2026 г., Sentinel-1 RTC и безоблачные Sentinel-2. Показатель FCOVER получали по безоблачным снимкам Sentinel‑2 с применением биофизического алгоритма, совместимого с процессором SNAP. Он характеризует долю поверхности, закрытую растительностью. Основной набор содержит 36 полей и 2 118 совпадений «поле–дата Sentinel-1». Мы разделили поля на шесть фолдов по шесть; метрики рассчитывали только по невиданным полям.</w:t>
      </w:r>
    </w:p>
    <w:p>
      <w:pPr>
        <w:pStyle w:val="Основной текст"/>
        <w:ind w:firstLine="709"/>
        <w:jc w:val="both"/>
      </w:pPr>
      <w:r>
        <w:t>Проверяемые модели. В качестве отклика мы взяли VV Sentinel-1 в дБ; расчёты модели водного режима выполнены для междурядья 90 см. Сравнили робастные Huber-регрессии: M1 — только FCOVER; M2 — только расчётная влажность слоя 0–10 см; M3 — влажность, FCOVER и их взаимодействие. Осадки и поливы в регрессию не вводили: использовали их только в проверке устойчивости после исключения дат с поступлением воды.</w:t>
      </w:r>
    </w:p>
    <w:p>
      <w:pPr>
        <w:pStyle w:val="Основной текст"/>
        <w:ind w:firstLine="709"/>
        <w:jc w:val="both"/>
      </w:pPr>
      <w:r>
        <w:t>Проверка растительного блока. Сначала мы сопоставили FCOVER в 419 точных совпадениях без лага. Корреляция по всем полям составила r=0,763 (R²=0,583), медианная внутриполевая — 0,944. Три расчётных ряда покрытия для междурядья 90 см полностью совпали и не дали независимых альтернатив. Лучшее совмещение сезонных кривых мы получили при сдвиге расчётного ряда покрытия вправо на 12 суток; bootstrap-интервал — 9–16 суток. Этот сдвиг использовали только в графической диагностике, не в M1–M3.</w:t>
      </w:r>
    </w:p>
    <w:p>
      <w:pPr>
        <w:pStyle w:val="Основной текст"/>
        <w:ind w:firstLine="709"/>
        <w:jc w:val="both"/>
      </w:pPr>
      <w:r>
        <w:rPr>
          <w:b/>
        </w:rPr>
        <w:t xml:space="preserve">Результаты. </w:t>
      </w:r>
      <w:r>
        <w:t>На независимых полях вариант M1, использующий только FCOVER, объяснил 6,0 % вариации VV (R²out=0,060; RMSE=2,684 дБ). При использовании только расчётной влажности в M2 R²out вырос до 0,113, а RMSE снизилась до 2,608 дБ. Наилучший результат показала M3: совместный учёт влажности, FCOVER и их взаимодействия дал R²out=0,137 при RMSE=2,572 дБ и MAE=1,777 дБ. Bootstrap-проверка по полям подтверждает, что это преимущество не случайно: M3 превышает M1 на 0,078 R²out (95%-й интервал 0,035…0,128), а M2 — на 0,024 (0,009…0,042). Ни один из интервалов не включает ноль.</w:t>
      </w:r>
    </w:p>
    <w:p>
      <w:pPr>
        <w:pStyle w:val="Основной текст"/>
        <w:ind w:firstLine="709"/>
        <w:jc w:val="both"/>
      </w:pPr>
      <w:r>
        <w:t>Проверки устойчивости. Дополнительно мы получили для VH R²out=0,267 у M3 против 0,207 у M2, но интервал разности M3–M2 включил ноль. На 21 поле с FCOVER R² не ниже 0,70 преимущество VV-модели M3 сохранилось (R²out=0,146). Для междурядья 90 см три используемых ряда расчётного покрытия совпали. После исключения дат с осадками или поливом VV-M3 снизилась до R²out=0,028; это характеризует оставшуюся подвыборку, а не вклад воды как предиктора.</w:t>
      </w:r>
    </w:p>
    <w:p>
      <w:pPr>
        <w:pStyle w:val="Основной текст"/>
        <w:ind w:firstLine="709"/>
        <w:jc w:val="both"/>
      </w:pPr>
      <w:r>
        <w:rPr>
          <w:b w:val="1"/>
          <w:bCs w:val="1"/>
          <w:rtl w:val="0"/>
          <w:lang w:val="en-US"/>
        </w:rPr>
        <w:t>Обсуждение</w:t>
      </w:r>
      <w:r>
        <w:rPr>
          <w:b w:val="1"/>
          <w:bCs w:val="1"/>
          <w:rtl w:val="0"/>
        </w:rPr>
        <w:t>.</w:t>
      </w:r>
      <w:r>
        <w:rPr>
          <w:rtl w:val="0"/>
          <w:lang w:val="en-US"/>
        </w:rPr>
        <w:t xml:space="preserve"> Мы считаем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что растительный покров необходимо учитывать при сопоставлении </w:t>
      </w:r>
      <w:r>
        <w:rPr>
          <w:rtl w:val="0"/>
          <w:lang w:val="de-DE"/>
        </w:rPr>
        <w:t xml:space="preserve">Sentinel-1 </w:t>
      </w:r>
      <w:r>
        <w:rPr>
          <w:rtl w:val="0"/>
          <w:lang w:val="en-US"/>
        </w:rPr>
        <w:t>с расчётной влагой</w:t>
      </w:r>
      <w:r>
        <w:rPr>
          <w:rtl w:val="0"/>
        </w:rPr>
        <w:t xml:space="preserve">. </w:t>
      </w:r>
      <w:r>
        <w:rPr>
          <w:rtl w:val="0"/>
          <w:lang w:val="en-US"/>
        </w:rPr>
        <w:t>Межполевая проверка показывает</w:t>
      </w:r>
      <w:r>
        <w:rPr>
          <w:rtl w:val="0"/>
        </w:rPr>
        <w:t xml:space="preserve">, </w:t>
      </w:r>
      <w:r>
        <w:rPr>
          <w:rtl w:val="0"/>
          <w:lang w:val="en-US"/>
        </w:rPr>
        <w:t>что полученный эффект не сводится к подгонке одного временного ряда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Однако даже </w:t>
      </w:r>
      <w:r>
        <w:rPr>
          <w:rtl w:val="0"/>
          <w:lang w:val="de-DE"/>
        </w:rPr>
        <w:t xml:space="preserve">VH </w:t>
      </w:r>
      <w:r>
        <w:rPr>
          <w:rtl w:val="0"/>
          <w:lang w:val="en-US"/>
        </w:rPr>
        <w:t xml:space="preserve">с </w:t>
      </w:r>
      <w:r>
        <w:rPr>
          <w:rtl w:val="0"/>
        </w:rPr>
        <w:t>R</w:t>
      </w:r>
      <w:r>
        <w:rPr>
          <w:rtl w:val="0"/>
          <w:lang w:val="en-US"/>
        </w:rPr>
        <w:t>²</w:t>
      </w:r>
      <w:r>
        <w:rPr>
          <w:rtl w:val="0"/>
        </w:rPr>
        <w:t xml:space="preserve">out=0,267 </w:t>
      </w:r>
      <w:r>
        <w:rPr>
          <w:rtl w:val="0"/>
          <w:lang w:val="en-US"/>
        </w:rPr>
        <w:t xml:space="preserve">не позволяет трактовать </w:t>
      </w:r>
      <w:r>
        <w:rPr>
          <w:rtl w:val="0"/>
          <w:lang w:val="de-DE"/>
        </w:rPr>
        <w:t xml:space="preserve">Sentinel-1 </w:t>
      </w:r>
      <w:r>
        <w:rPr>
          <w:rtl w:val="0"/>
          <w:lang w:val="en-US"/>
        </w:rPr>
        <w:t>как прямой измеритель объёмной влажности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Без синхронных наземных измерений нельзя валидировать абсолютную влагу </w:t>
      </w:r>
      <w:r>
        <w:rPr>
          <w:rtl w:val="0"/>
        </w:rPr>
        <w:t>0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см и глубокие слои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b w:val="1"/>
          <w:bCs w:val="1"/>
          <w:rtl w:val="0"/>
          <w:lang w:val="en-US"/>
        </w:rPr>
        <w:t>Заключение</w:t>
      </w:r>
      <w:r>
        <w:rPr>
          <w:b w:val="1"/>
          <w:bCs w:val="1"/>
          <w:rtl w:val="0"/>
        </w:rPr>
        <w:t>.</w:t>
      </w:r>
      <w:r>
        <w:rPr>
          <w:rtl w:val="0"/>
          <w:lang w:val="en-US"/>
        </w:rPr>
        <w:t xml:space="preserve"> Мы разделили проверку покрытия и проверку приповерхностного водного состояния последовательной схемой </w:t>
      </w:r>
      <w:r>
        <w:rPr>
          <w:rtl w:val="0"/>
        </w:rPr>
        <w:t xml:space="preserve">Sentinel-2 </w:t>
      </w:r>
      <w:r>
        <w:rPr>
          <w:rtl w:val="0"/>
          <w:lang w:val="en-US"/>
        </w:rPr>
        <w:t xml:space="preserve">→ фиксированный растительный блок → </w:t>
      </w:r>
      <w:r>
        <w:rPr>
          <w:rtl w:val="0"/>
          <w:lang w:val="de-DE"/>
        </w:rPr>
        <w:t xml:space="preserve">Sentinel-1. </w:t>
      </w:r>
      <w:r>
        <w:rPr>
          <w:rtl w:val="0"/>
          <w:lang w:val="en-US"/>
        </w:rPr>
        <w:t xml:space="preserve">На </w:t>
      </w:r>
      <w:r>
        <w:rPr>
          <w:rtl w:val="0"/>
        </w:rPr>
        <w:t xml:space="preserve">36 </w:t>
      </w:r>
      <w:r>
        <w:rPr>
          <w:rtl w:val="0"/>
          <w:lang w:val="en-US"/>
        </w:rPr>
        <w:t xml:space="preserve">полях интерпретируемая модель </w:t>
      </w:r>
      <w:r>
        <w:rPr>
          <w:rtl w:val="0"/>
        </w:rPr>
        <w:t xml:space="preserve">M3 </w:t>
      </w:r>
      <w:r>
        <w:rPr>
          <w:rtl w:val="0"/>
          <w:lang w:val="en-US"/>
        </w:rPr>
        <w:t xml:space="preserve">устойчиво превзошла модели только по </w:t>
      </w:r>
      <w:r>
        <w:rPr>
          <w:rtl w:val="0"/>
          <w:lang w:val="de-DE"/>
        </w:rPr>
        <w:t xml:space="preserve">FCOVER </w:t>
      </w:r>
      <w:r>
        <w:rPr>
          <w:rtl w:val="0"/>
          <w:lang w:val="en-US"/>
        </w:rPr>
        <w:t xml:space="preserve">и только по влаге для </w:t>
      </w:r>
      <w:r>
        <w:rPr>
          <w:rtl w:val="0"/>
          <w:lang w:val="nl-NL"/>
        </w:rPr>
        <w:t xml:space="preserve">VV. </w:t>
      </w:r>
      <w:r>
        <w:rPr>
          <w:rtl w:val="0"/>
          <w:lang w:val="en-US"/>
        </w:rPr>
        <w:t xml:space="preserve">Прежде чем оценивать реконструкцию профиля до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>м</w:t>
      </w:r>
      <w:r>
        <w:rPr>
          <w:rtl w:val="0"/>
        </w:rPr>
        <w:t xml:space="preserve">, </w:t>
      </w:r>
      <w:r>
        <w:rPr>
          <w:rtl w:val="0"/>
          <w:lang w:val="en-US"/>
        </w:rPr>
        <w:t>мы должны получить синхронные полевые измерения влажности и покрытия</w:t>
      </w:r>
      <w:r>
        <w:rPr>
          <w:rtl w:val="0"/>
        </w:rPr>
        <w:t>.</w:t>
      </w:r>
    </w:p>
    <w:p>
      <w:pPr>
        <w:pStyle w:val="Основной текст"/>
        <w:spacing w:before="120"/>
        <w:jc w:val="both"/>
      </w:pPr>
      <w:r>
        <w:rPr>
          <w:b w:val="1"/>
          <w:bCs w:val="1"/>
          <w:rtl w:val="0"/>
          <w:lang w:val="en-US"/>
        </w:rPr>
        <w:t>Список источников</w:t>
      </w:r>
    </w:p>
    <w:p>
      <w:pPr>
        <w:pStyle w:val="Основной текст"/>
        <w:ind w:left="425" w:hanging="425"/>
        <w:jc w:val="both"/>
      </w:pPr>
      <w:r>
        <w:rPr>
          <w:rtl w:val="0"/>
          <w:lang w:val="it-IT"/>
        </w:rPr>
        <w:t>1. Drusch M., Del Bello U., Carlier S. et al. Sentinel-2: ESA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Optical High-Resolution Mission for GMES Operational Services. Remote Sensing of Environment. 2012. Vol. 120. P. 25</w:t>
      </w:r>
      <w:r>
        <w:rPr>
          <w:rtl w:val="0"/>
          <w:lang w:val="en-US"/>
        </w:rPr>
        <w:t>–</w:t>
      </w:r>
      <w:r>
        <w:rPr>
          <w:rtl w:val="0"/>
        </w:rPr>
        <w:t>36.</w:t>
      </w:r>
    </w:p>
    <w:p>
      <w:pPr>
        <w:pStyle w:val="Основной текст"/>
        <w:ind w:left="425" w:hanging="425"/>
        <w:jc w:val="both"/>
      </w:pPr>
      <w:r>
        <w:rPr>
          <w:rtl w:val="0"/>
          <w:lang w:val="en-US"/>
        </w:rPr>
        <w:t>2. Copernicus Global Land Service. FCOVER: Fraction of Green Vegetation Cover. Product User Manual. European Union, 2024.</w:t>
      </w:r>
    </w:p>
    <w:p>
      <w:pPr>
        <w:pStyle w:val="Основной текст"/>
        <w:ind w:left="425" w:hanging="425"/>
        <w:jc w:val="both"/>
      </w:pPr>
      <w:r>
        <w:rPr>
          <w:rtl w:val="0"/>
          <w:lang w:val="en-US"/>
        </w:rPr>
        <w:t>3. Bauer-Marschallinger B. et al. Toward Global Soil Moisture Monitoring with Sentinel-1. IEEE Transactions on Geoscience and Remote Sensing. 2019. Vol. 57, no. 1. P. 520</w:t>
      </w:r>
      <w:r>
        <w:rPr>
          <w:rtl w:val="0"/>
          <w:lang w:val="en-US"/>
        </w:rPr>
        <w:t>–</w:t>
      </w:r>
      <w:r>
        <w:rPr>
          <w:rtl w:val="0"/>
        </w:rPr>
        <w:t>539.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