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 при взаимодействии с блокировкой по 2-ой, 5-ой гармоникам и с контролем цепей тока небаланса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