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410.05-1</w:t>
      </w:r>
    </w:p>
    <w:p>
      <w:pPr>
        <w:pStyle w:val="a5"/>
      </w:pPr>
      <w:r>
        <w:t>Наборы данных исходящих отчетов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Информационный сигнал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pStyle w:val="aff7"/>
              <w:jc w:val="center"/>
            </w:pPr>
            <w:r>
              <w:t>КТ</w:t>
            </w:r>
          </w:p>
        </w:tc>
        <w:tc>
          <w:tcPr>
            <w:tcW w:type="dxa" w:w="43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ЦУС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РДУ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РАС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Отображение сигнала в МЭК</w:t>
            </w:r>
          </w:p>
        </w:tc>
      </w:tr>
      <w:tr>
        <w:trPr>
          <w:tblHeader w:val="true"/>
        </w:trPr>
        <w:tc>
          <w:tcPr>
            <w:tcW w:type="dxa" w:w="576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DO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DA</w:t>
            </w:r>
          </w:p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ATTCC/ATCC1.ErrPar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ATTCC/ATCC1.OoStep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ATTCC/SLTC1.OoStep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Ненормальный режим на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ATTCC/ATCC1.BlkAbn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0/ 1/ 2/ 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ATTCC/RPHS1.RsvPh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ATTCC/PHATCC1.TapOpL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ATTCC/PHATCC1.TapOpR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ATTCC/PHATCC2.TapOpL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ATTCC/PHATCC2.TapOpR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ATTCC/PHATCC3.TapOpL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ATTCC/PHATCC3.TapOpR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ATTCC/PHATCC4.TapOpL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ATTCC/PHATCC4.TapOpR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ATTCC/ATCC1.BlkDisconn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ATTCC/ATCC1.EndPosL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ATTCC/ATCC1.EndPosR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ATTCC/ATCC1.LTCBlkAHi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ATTCC/ATCC1.ParOp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ATTCC/AVTR1.VTSel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ATTCC/ATCC1.FrcMstr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ATTCC/ATCC1.MFModRdy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ATTCC/RDIR1.Dir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dirGeneral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ДВых(n)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valWTr.posVal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valWTr.transInd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Фазные токи СН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phsA.cVal, phsB.cVal, phsC.cVal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MEAS/MMXU3.Hz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ATTCC/ATCC1.BlkU2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ATTCC/ATCC1.BndCtr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ATTCC/ATCC1.BndWid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ATTCC/ATCC1.Ctl1DITmms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ATTCC/ATCC1.Ctl2DITmms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ATTCC/ATCC1.Ctl3DITmms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ATTCC/ATCC1.MaxLodA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ATTCC/ATCC1.RnbkRV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ATTCC/ATCC1.TapBlkL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ATTCC/ATCC1.TapBlkR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ATTCC/RDIR1.ChrAng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ATTCC/RDIR1.StrValA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ATTCC/RDIR1.StrValV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ATTCC/SLTC1.OpCntAls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следующего перехода на летнее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перехода на стандартное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Смещение местного времени от UTC в минутах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Использование летнего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осуществляется синхронизация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</w:tbl>
    <w:p>
      <w:pPr>
        <w:pStyle w:val="a5"/>
      </w:pPr>
      <w:r>
        <w:t>Основные параметры функций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СД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Управление РПН блокировано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Идет переключение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U&gt;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U&lt;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Ошибка параллельного регулирования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БИ выведены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