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576FBE">
      <w:pPr>
        <w:pStyle w:val="af7"/>
      </w:pPr>
    </w:p>
    <w:p w:rsidR="003C5D72" w:rsidRDefault="003C5D72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9045AA" w:rsidTr="00085922">
        <w:trPr>
          <w:trHeight w:val="950"/>
        </w:trPr>
        <w:tc>
          <w:tcPr>
            <w:tcW w:w="7853" w:type="dxa"/>
          </w:tcPr>
          <w:p w:rsidR="00DB2F4E" w:rsidRPr="00DB2F4E" w:rsidRDefault="009045AA" w:rsidP="009045AA">
            <w:pPr>
              <w:pStyle w:val="aff"/>
              <w:rPr>
                <w:lang w:val="en-US"/>
              </w:rPr>
            </w:pPr>
            <w:r>
              <w:rPr>
                <w:lang w:val="en-US"/>
              </w:rPr>
              <w:t xml:space="preserve">МИКРОПРОЦЕССОРНОЕ УСТРОЙСТВО АВТОМАТИЧЕСКОГО РЕГУЛИРОВАНИЯ НАПРЯЖЕНИЯ</w:t>
              <w:br/>
              <w:t xml:space="preserve">«ЮНИТ-М314-АРНТ»</w:t>
            </w:r>
          </w:p>
        </w:tc>
      </w:tr>
    </w:tbl>
    <w:p w:rsidR="008463DA" w:rsidRDefault="008463DA" w:rsidP="003C5D72">
      <w:pPr>
        <w:pStyle w:val="aff"/>
        <w:rPr>
          <w:lang w:val="en-US"/>
        </w:rPr>
      </w:pPr>
    </w:p>
    <w:p w:rsidR="00DB2F4E" w:rsidRPr="00D069C4" w:rsidRDefault="00DB2F4E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F67BDE" w:rsidTr="00531547">
        <w:trPr>
          <w:trHeight w:hRule="exact" w:val="568"/>
        </w:trPr>
        <w:tc>
          <w:tcPr>
            <w:tcW w:w="2410" w:type="dxa"/>
            <w:vAlign w:val="center"/>
          </w:tcPr>
          <w:p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 xml:space="preserve">ЮНИТ-М314-АРНТ-Р02с-х-К002-К001-В021-В021-А004-М046.4000-х-С01.00-2.1</w:t>
            </w:r>
          </w:p>
        </w:tc>
      </w:tr>
      <w:tr w:rsidR="00531547" w:rsidRPr="00F67BDE" w:rsidTr="00531547">
        <w:trPr>
          <w:trHeight w:hRule="exact" w:val="575"/>
        </w:trPr>
        <w:tc>
          <w:tcPr>
            <w:tcW w:w="2410" w:type="dxa"/>
            <w:vAlign w:val="center"/>
          </w:tcPr>
          <w:p w:rsidR="00531547" w:rsidRDefault="00531547" w:rsidP="00531547">
            <w:pPr>
              <w:pStyle w:val="affc"/>
            </w:pPr>
            <w:r>
              <w:t>Код заказа ИЧМ</w:t>
            </w:r>
          </w:p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 xml:space="preserve">ЮНИТ-ИЧМ-КУГР</w:t>
            </w:r>
          </w:p>
        </w:tc>
      </w:tr>
    </w:tbl>
    <w:p w:rsidR="00D069C4" w:rsidRPr="00B55B3E" w:rsidRDefault="001825CE" w:rsidP="00D069C4">
      <w:pPr>
        <w:pStyle w:val="aff"/>
        <w:rPr>
          <w:lang w:val="en-US"/>
        </w:rPr>
      </w:pPr>
      <w:r>
        <w:rPr>
          <w:color w:val="F7941D"/>
          <w:sz w:val="40"/>
          <w:szCs w:val="40"/>
          <w:lang w:val="en-US"/>
        </w:rPr>
        <w:t xml:space="preserve">ЮТКБ.656122.609 БУ9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:rsidTr="0043305E">
        <w:trPr>
          <w:trHeight w:hRule="exact" w:val="1141"/>
        </w:trPr>
        <w:tc>
          <w:tcPr>
            <w:tcW w:w="1985" w:type="dxa"/>
            <w:vAlign w:val="center"/>
          </w:tcPr>
          <w:p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:rsidTr="0043305E">
        <w:trPr>
          <w:trHeight w:hRule="exact" w:val="1281"/>
        </w:trPr>
        <w:tc>
          <w:tcPr>
            <w:tcW w:w="1985" w:type="dxa"/>
            <w:vAlign w:val="center"/>
          </w:tcPr>
          <w:p w:rsidR="008A1C88" w:rsidRDefault="008A1C88" w:rsidP="0043305E">
            <w:pPr>
              <w:pStyle w:val="affc"/>
              <w:jc w:val="center"/>
            </w:pPr>
          </w:p>
          <w:p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:rsidR="008A1C88" w:rsidRPr="00ED0F9B" w:rsidRDefault="008A1C88" w:rsidP="0043305E"/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</w:rPr>
            </w:pPr>
          </w:p>
          <w:p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:rsidR="003C5D72" w:rsidRPr="00B55B3E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9102CA" w:rsidRDefault="00320287" w:rsidP="00632BDA">
      <w:pPr>
        <w:pStyle w:val="afff0"/>
        <w:ind w:right="282"/>
        <w:rPr>
          <w:lang w:val="en-US"/>
        </w:rPr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 xml:space="preserve">17.07.2025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1.1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 xml:space="preserve">12.08.2025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 xml:space="preserve">11.10.2025</w:t>
            </w: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 xml:space="preserve">ЮНИТ-М314-АРНТ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  <w:bookmarkStart w:id="0" w:name="_GoBack"/>
      <w:bookmarkEnd w:id="0"/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1" w:name="_Toc208045381"/>
      <w:r w:rsidR="00863E29" w:rsidRPr="00863E29">
        <w:t>СОДЕРЖАНИЕ</w:t>
      </w:r>
      <w:bookmarkEnd w:id="1"/>
    </w:p>
    <w:p w:rsidR="00B56A64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208045381" w:history="1">
        <w:r w:rsidR="00B56A64" w:rsidRPr="002F7B67">
          <w:rPr>
            <w:rStyle w:val="afff2"/>
          </w:rPr>
          <w:t>СОДЕРЖАНИЕ</w:t>
        </w:r>
        <w:r w:rsidR="00B56A64">
          <w:rPr>
            <w:webHidden/>
          </w:rPr>
          <w:tab/>
        </w:r>
        <w:r w:rsidR="00B56A64">
          <w:rPr>
            <w:webHidden/>
          </w:rPr>
          <w:fldChar w:fldCharType="begin"/>
        </w:r>
        <w:r w:rsidR="00B56A64">
          <w:rPr>
            <w:webHidden/>
          </w:rPr>
          <w:instrText xml:space="preserve"> PAGEREF _Toc208045381 \h </w:instrText>
        </w:r>
        <w:r w:rsidR="00B56A64">
          <w:rPr>
            <w:webHidden/>
          </w:rPr>
        </w:r>
        <w:r w:rsidR="00B56A64">
          <w:rPr>
            <w:webHidden/>
          </w:rPr>
          <w:fldChar w:fldCharType="separate"/>
        </w:r>
        <w:r w:rsidR="00B56A64">
          <w:rPr>
            <w:webHidden/>
          </w:rPr>
          <w:t>3</w:t>
        </w:r>
        <w:r w:rsidR="00B56A64">
          <w:rPr>
            <w:webHidden/>
          </w:rPr>
          <w:fldChar w:fldCharType="end"/>
        </w:r>
      </w:hyperlink>
    </w:p>
    <w:p w:rsidR="00C063A1" w:rsidRPr="00C063A1" w:rsidRDefault="00A6466B" w:rsidP="00C063A1">
      <w:pPr>
        <w:pStyle w:val="TAGS"/>
        <w:rPr>
          <w:color w:val="1E4973"/>
        </w:rPr>
      </w:pPr>
      <w:r>
        <w:rPr>
          <w:snapToGrid w:val="0"/>
        </w:rPr>
        <w:fldChar w:fldCharType="end"/>
      </w:r>
      <w:r w:rsidR="003A53D0">
        <w:rPr>
          <w:snapToGrid w:val="0"/>
        </w:rPr>
        <w:t xml:space="preserve"> </w:t>
      </w:r>
    </w:p>
    <w:p/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 xml:space="preserve">УСТАВКИ РЗиА</w:t>
      </w:r>
    </w:p>
    <w:p>
      <w:pPr>
        <w:pStyle w:val="20"/>
      </w:pPr>
      <w:r>
        <w:t xml:space="preserve">Автоматика регулирования напряжения трансформатора (АРНТ) </w:t>
      </w:r>
    </w:p>
    <w:p>
      <w:pPr>
        <w:pStyle w:val="a7"/>
      </w:pPr>
      <w:r>
        <w:t xml:space="preserve">Автоматика регулирования напряжения (АРН)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выдачи управляющих команд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РежимУпрПМ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импульсный</w:t>
              <w:br/>
              <w:t xml:space="preserve">1 = непрерывный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импульсный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Время задержки срабатывания на выдачу первой команды в автоматическом режиме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1000 ... 200000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180000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Время задержки срабатывания на выдачу второй и последующих команд в автоматическом режиме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100 ... 200000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Время задержки выдачи ускоренной команды убавить при значительном повышении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100 ... 10000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500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Максимальное напряжение выше которого выдача команды «убавить» от автоматики происходит с ускоренной выдержкой времени T3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U&gt;&gt;сраб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1,00 ... 2,00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1,20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Центр зоны нечувствительности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Uпод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0,85 ... 1,45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Ширина зоны нечувствительности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dUпод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0,01 ... 0,20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0,20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Активное сопротивление сети 1 секции для линейной компенсации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Rлинии1секции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Ом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Реактивное сопротивление сети 1 секции для линейной компенсации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Xлинии1секции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Ом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Активное сопротивление сети 2 секции для линейной компенсации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Rлинии2секции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Ом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Реактивное сопротивление сети 2 секции для линейной компенсации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Xлинии2секции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Ом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Допустимый ток перегрузки секции, выше которого запрет на повышение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Iвв&gt;блк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1,000 ... 2,000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Верхняя уставка напряжения для блокировки автоматических команд на понижение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U&gt;&gt;блк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1,00 ... 2,00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Нижняя уставка напряжения блокировки автоматических команд на повышение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U&lt;&lt;блк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Максимальное утроенное напряжения нулевой последовательности блокировки автоматических команд на повышение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3U0блк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Максимальное напряжение обратной последовательности блокировки автоматических команд на повышение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U2блк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перегрузки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Iрпн&gt;блк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1,00 ... 2,00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Направление счета положений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НапрСчN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Прямо</w:t>
              <w:br/>
              <w:t xml:space="preserve">1 =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Прямо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Источник сигнала  положения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ТипДатчика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Внутренний счетчик</w:t>
              <w:br/>
              <w:t xml:space="preserve">1 = Токовая петля 4(0)-20 мА</w:t>
              <w:br/>
              <w:t xml:space="preserve">2 = GOOSE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Внутренний счетчик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Сигнал токовой петли, соответствующий конечному положению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IмаМакс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5,00 ... 100,00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Сигнал токовой петли, соответствующий начальному положению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IмаМин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0,00 ... 4,00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4,00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Конечное положение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МаксN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40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Начальное положение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МинN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Номер пропускаемого положения 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Мертвое положение 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Номер пропускаемого положения 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Мертвое положение 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Номер пропускаемого положения 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Мертвое положение 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Номер пропускаемого положения 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Мертвое положение 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Номер пропускаемого положения 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Мертвое положение 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Положение привода, далее которого блокируются автоматические команды прибавить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БлкВерхN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40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Положение привода, далее которого блокируются автоматические команды убавить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БлкНижнN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Метод регулирования трансформаторов, включенных на параллельную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ПарРежим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= Не используется</w:t>
              <w:br/>
              <w:t xml:space="preserve">2 = Ведущий</w:t>
              <w:br/>
              <w:t xml:space="preserve">3 = Ведомый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используется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Источник данных о положении РПН параллельно работающего трансформатора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ПарТипДатчика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Контроль рассогласования не предусмотрен</w:t>
              <w:br/>
              <w:t xml:space="preserve">1 = Токовая петля 4(0)-20 мА</w:t>
              <w:br/>
              <w:t xml:space="preserve">2 = GOOSE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Контроль рассогласования не предусмотрен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Сигнал токовой петли, соответствующий конечного положения РПН параллельно работающего трансформатора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ПарIмаМакс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5,00 ... 100,00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Сигнал токовой петли, соответствующий начального положения РПН параллельно работающего трансформатора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ПарIмаМин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0,00 ... 4,00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4,00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Конечное положение РПН параллельно работающего трансформатора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ПарМаксN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40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Начальное положение РПН параллельно работающего трансформатора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ПарМинN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Допустимое рассогласование положений приводов РПН при регулировании тр-ров включенных на параллельную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МаксРазбегN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Допустимое время рассогласования положений РПН при регулировании параллельно работающих трансформаторов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Тразбега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Контроль привода РПН (Контроль РПН)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Время реакции привода РПН на команду управления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Тпуск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100 ... 10000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500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Максимальное время переключения привода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Тперекл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100 ... 100000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Длительность команды отключения питания привода при несанкционированном переключении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ОтклПитПМ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1 секунда</w:t>
              <w:br/>
              <w:t xml:space="preserve">1 = не прерывно (до команды сброса)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 секунда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Время продления команды управления после прихода сигнала «Идет переключение»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Твозвр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500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Начальное значение счетчика переключений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НачЗнСчПерекл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1 ... 1000000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Максимальное количество операций переключения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РесурсПерекл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1 ... 1000000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1000000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Выбор ТН (Выбор ТН)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Блокировка от контролируемой секции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БлкКонтрСекц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Трансформатор тока ввода 1 секции (ТТ В НН1)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Номинальный ток ввода 1 секции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Iном вв1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3000,00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Трансформатор напряжения 1 секции (ТН В НН1)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Номинальное напряжение 1 секции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Uном 1с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10000,00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Трансформатор тока ввода 2 секции (ТТ В НН2)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Номинальный ток ввода 2 секции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Iном вв2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3000,00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Трансформатор напряжения 2 секции (ТН В НН2)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Номинальное напряжение 2 секции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Uном 2с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10000,00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Трансформатор тока стороны РПН (ТТ РПН)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Номинальный ток обмотки трансформатора с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Iном РПН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200,00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Привод РПН (Привод РПН)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Первоначальное значение счетчика положений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N по умолчанию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Автоматика регулирования напряжения трансформатора (Сигнализация) </w:t>
      </w:r>
    </w:p>
    <w:p>
      <w:pPr>
        <w:pStyle w:val="a7"/>
      </w:pPr>
      <w:r>
        <w:t xml:space="preserve">Панель дистанционного управления НКУ (ПДС НКУ)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КонтрSG7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двери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КонтрДвери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оперативного тока технологической сигнализации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КонтрОТ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 сигнализации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9000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МАТРИЦА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fff0"/>
      </w:pPr>
      <w:r>
        <w:t>Для дискретного входа возможно подключение только одного сигнала.</w:t>
      </w:r>
    </w:p>
    <w:p>
      <w:pPr>
        <w:pStyle w:val="afff0"/>
      </w:pPr>
      <w:r>
        <w:t xml:space="preserve"/>
      </w:r>
    </w:p>
    <w:p>
      <w:pPr>
        <w:pStyle w:val="a7"/>
      </w:pPr>
      <w:r>
        <w:t xml:space="preserve">Слот М5. Модуль дискретных входов (В021)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М6. Модуль дискретных входов (В021)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>Выходные реле</w:t>
      </w:r>
    </w:p>
    <w:p>
      <w:pPr>
        <w:pStyle w:val="afff0"/>
      </w:pPr>
      <w:r>
        <w:t>Возможно подключение до пяти сигналов на одно выходное реле.</w:t>
      </w:r>
    </w:p>
    <w:p>
      <w:pPr>
        <w:pStyle w:val="afff0"/>
      </w:pPr>
      <w:r>
        <w:t xml:space="preserve"/>
      </w:r>
    </w:p>
    <w:p>
      <w:pPr>
        <w:pStyle w:val="a7"/>
      </w:pPr>
      <w:r>
        <w:t xml:space="preserve">Слот М3. Модуль выходных реле (К002)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М4. Модуль выходных реле (К001)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fff0"/>
      </w:pPr>
      <w:r>
        <w:t>Для светодиода возможно подключение до пяти сигналов.</w:t>
      </w:r>
    </w:p>
    <w:p>
      <w:pPr>
        <w:pStyle w:val="afff0"/>
      </w:pPr>
      <w:r>
        <w:t xml:space="preserve"/>
      </w:r>
    </w:p>
    <w:p>
      <w:pPr>
        <w:pStyle w:val="a7"/>
      </w:pPr>
      <w:r>
        <w:t xml:space="preserve">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245"/>
        <w:gridCol w:w="2245"/>
        <w:gridCol w:w="2245"/>
        <w:gridCol w:w="2245"/>
        <w:gridCol w:w="2245"/>
        <w:gridCol w:w="2245"/>
        <w:gridCol w:w="2245"/>
      </w:tblGrid>
      <w:tr>
        <w:trPr>
          <w:tblHeader w:val="true"/>
        </w:trPr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1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2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3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4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5</w:t>
            </w:r>
          </w:p>
        </w:tc>
      </w:tr>
      <w:tr>
        <w:tc>
          <w:tcPr>
            <w:tcW w:type="dxa" w:w="2448"/>
          </w:tcPr>
          <w:p>
            <w:r>
              <w:t xml:space="preserve">Светодиод 1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2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2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3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3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4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4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5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5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6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6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7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7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8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8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9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9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10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10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11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11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12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12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13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13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14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14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15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15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16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16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ПДС НКУ: SG не в рабочем положении" w:value="Сигнализация / ПДС НКУ: SG не в рабочем положении"/>
                  <w:listItem w:displayText="Сигнализация / ПДС НКУ: Блок испытательный №1 в рабочем положении" w:value="Сигнализация / ПДС НКУ: Блок испытательный №1 в рабочем положении"/>
                  <w:listItem w:displayText="Сигнализация / ПДС НКУ: Блок испытательный №2 в рабочем положении" w:value="Сигнализация / ПДС НКУ: Блок испытательный №2 в рабочем положении"/>
                  <w:listItem w:displayText="Сигнализация / ПДС НКУ: Блок испытательный №3 в рабочем положении" w:value="Сигнализация / ПДС НКУ: Блок испытательный №3 в рабочем положении"/>
                  <w:listItem w:displayText="Сигнализация / ПДС НКУ: Блок испытательный №4 в рабочем положении" w:value="Сигнализация / ПДС НКУ: Блок испытательный №4 в рабочем положении"/>
                  <w:listItem w:displayText="Сигнализация / ПДС НКУ: Блок испытательный №5 в рабочем положении" w:value="Сигнализация / ПДС НКУ: Блок испытательный №5 в рабочем положении"/>
                  <w:listItem w:displayText="Сигнализация / ПДС НКУ: Блок испытательный №6 в рабочем положении" w:value="Сигнализация / ПДС НКУ: Блок испытательный №6 в рабочем положении"/>
                  <w:listItem w:displayText="Сигнализация / ПДС НКУ: Блок испытательный №7 в рабочем положении" w:value="Сигнализация / ПДС НКУ: Блок испытательный №7 в рабочем положении"/>
                  <w:listItem w:displayText="Сигнализация / ПДС НКУ: Неисправность РПН" w:value="Сигнализация / ПДС НКУ: Неисправность РПН"/>
                  <w:listItem w:displayText="Сигнализация / ПДС НКУ: Сигнал закрытого положения двери" w:value="Сигнализация / ПДС НКУ: Сигнал закрытого положения двери"/>
                  <w:listItem w:displayText="Сигнализация / ПДС НКУ: Сигнал неисправности оперативного тока цепей технологической сигнализации" w:value="Сигнализация / ПДС НКУ: Сигнал неисправности оперативного тока цепей технологической сигнализации"/>
                  <w:listItem w:displayText="Сигнализация / ПДС НКУ: Сигнал открытого положения двери" w:value="Сигнализация / ПДС НКУ: Сигнал открытого положения двери"/>
                  <w:listItem w:displayText=" " w:value="SPACER" w:disabled="true"/>
                  <w:listItem w:displayText="────── Сигналы от модулей ──────" w:value="CONTROLS_HEADER" w:disabled="true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>Функциональные клавиши</w:t>
      </w:r>
    </w:p>
    <w:p>
      <w:pPr>
        <w:pStyle w:val="afff0"/>
      </w:pPr>
      <w:r>
        <w:t>Для функциональной клавиши возможно подключение только одного управляющего сигнала.</w:t>
      </w:r>
    </w:p>
    <w:p>
      <w:pPr>
        <w:pStyle w:val="afff0"/>
      </w:pPr>
      <w:r>
        <w:t xml:space="preserve"/>
      </w:r>
    </w:p>
    <w:p>
      <w:pPr>
        <w:pStyle w:val="a7"/>
      </w:pPr>
      <w:r>
        <w:t xml:space="preserve">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КОНФИГУРАЦИЯ</w:t>
      </w:r>
    </w:p>
    <w:p>
      <w:pPr>
        <w:pStyle w:val="20"/>
      </w:pPr>
      <w:r>
        <w:t>Синхронизация времени</w:t>
      </w:r>
    </w:p>
    <w:p>
      <w:pPr>
        <w:pStyle w:val="a7"/>
      </w:pPr>
      <w:r>
        <w:t xml:space="preserve">Общие настройки синхронизации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Источник точного времени 1 (основной)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Источник времени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Отсутствует</w:t>
              <w:br/>
              <w:t xml:space="preserve">1 = SNTP</w:t>
              <w:br/>
              <w:t xml:space="preserve">2 = PNP</w:t>
              <w:br/>
              <w:t xml:space="preserve">4 = Протокол</w:t>
              <w:br/>
              <w:t xml:space="preserve">5 = Протокол+1PPS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Отсутствует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Адрес сервера синхронизации времени 1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SNTP / PTP сервер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1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Источник точного времени 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Источник времени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Отсутствует</w:t>
              <w:br/>
              <w:t xml:space="preserve">1 = SNTP</w:t>
              <w:br/>
              <w:t xml:space="preserve">2 = PNP</w:t>
              <w:br/>
              <w:t xml:space="preserve">4 = Протокол</w:t>
              <w:br/>
              <w:t xml:space="preserve">5 = Протокол+1PPS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Отсутствует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Адрес сервера синхронизации времени 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SNTP / PTP сервер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1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Смещение локального времени от UTC+0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Смещение времени от UTC+0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-720 ... 720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мин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30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180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Флаг использования летнего времени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Авт. переход на летнее время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задержки импульса 1PPS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Время задержки импульса 1PPS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 xml:space="preserve">Параметры летнего времени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Лето. Месяц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Лето. Месяц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Лето. Неделя месяца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Лето. Неделя месяца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Лето. День недели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Лето. День недели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Лето. Час начала действия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Лето. Час начала действия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 xml:space="preserve">Параметры зимнего времени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Зима. Месяц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Зима. Месяц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Зима. Неделя месяца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Зима. Неделя месяца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Зима. День недели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Зима. День недели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Зима. Час начала действия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Зима. Час начала действия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20"/>
      </w:pPr>
      <w:r>
        <w:t>Модуль ЦП</w:t>
      </w:r>
    </w:p>
    <w:p>
      <w:pPr>
        <w:pStyle w:val="a7"/>
      </w:pPr>
      <w:r>
        <w:t xml:space="preserve">Резервирование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RED12 (порты X1-X2)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Протокол резервирования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Отключен</w:t>
              <w:br/>
              <w:t xml:space="preserve">1 = PRP (IEC 62439-3</w:t>
              <w:br/>
              <w:t xml:space="preserve">2 = HSR (IEC 62439-3)</w:t>
              <w:br/>
              <w:t xml:space="preserve">3 = RSTP (IEEE 802.1w)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RED34 (порты X3-X4)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Протокол резервирования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Отключен</w:t>
              <w:br/>
              <w:t xml:space="preserve">1 = PRP (IEC 62439-3</w:t>
              <w:br/>
              <w:t xml:space="preserve">2 = HSR (IEC 62439-3)</w:t>
              <w:br/>
              <w:t xml:space="preserve">3 = RSTP (IEEE 802.1w)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Настройка регистрации</w:t>
      </w:r>
    </w:p>
    <w:p>
      <w:pPr>
        <w:pStyle w:val="a7"/>
      </w:pPr>
      <w:r>
        <w:t xml:space="preserve">Общие параметры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пуска записи (TrgMod)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Пуск записи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Автоматический по заданным условиям</w:t>
              <w:br/>
              <w:t xml:space="preserve">1 = Внешний пуск</w:t>
              <w:br/>
              <w:t xml:space="preserve">2 = Оба критерия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Автоматический по заданным условиям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при переполнении памяти (RcdMod)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 работы памяти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Перезапись по кольцу</w:t>
              <w:br/>
              <w:t xml:space="preserve">1 = Остановка по заполнению памяти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Перезапись по кольцу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Сигнализация уровня заполненности памяти (MemFull)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Сигнал заполнения памяти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многократного пуска (ReTrgMod)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Многократный пуск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предаварийного режима (PreTmms)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Длит. предавар.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аварийного режима (PstTmms)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Длит. авар.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500 ... 10000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500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пуска записи (LevMod)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 пуска записи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По переднему фронт</w:t>
              <w:br/>
              <w:t xml:space="preserve">1 = По заднему фронту</w:t>
              <w:br/>
              <w:t xml:space="preserve">2 = По переднему и заднему фронту</w:t>
              <w:br/>
              <w:t xml:space="preserve">3 = Другое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По переднему фронт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Максимальная длительность осциллограммы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Макс. длительность осциллограммы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500 ... 10000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500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</w:p>
    <w:p>
      <w:pPr>
        <w:pStyle w:val="TAGS"/>
      </w:pPr>
      <w:r>
        <w:t xml:space="preserve"/>
      </w:r>
    </w:p>
    <w:p>
      <w:pPr>
        <w:pStyle w:val="20"/>
      </w:pPr>
      <w:r>
        <w:t xml:space="preserve">Слот М1. Модуль питания (Р02с)</w:t>
      </w:r>
    </w:p>
    <w:p>
      <w:pPr>
        <w:pStyle w:val="a7"/>
      </w:pPr>
      <w:r>
        <w:t xml:space="preserve">Общие настройки конфигурации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Напряжение несимметрии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U несимм. пит.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Формирование синхросигнала от PPS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Формирование синхросигнала от PPS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Введено</w:t>
              <w:br/>
              <w:t xml:space="preserve">1 = Выведено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М3. Модуль выходных реле (К002)</w:t>
      </w:r>
    </w:p>
    <w:p>
      <w:pPr>
        <w:pStyle w:val="a7"/>
      </w:pPr>
      <w:r>
        <w:t xml:space="preserve"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М4. Модуль выходных реле (К001)</w:t>
      </w:r>
    </w:p>
    <w:p>
      <w:pPr>
        <w:pStyle w:val="a7"/>
      </w:pPr>
      <w:r>
        <w:t xml:space="preserve"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М5. Модуль дискретных входов (В021)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М6. Модуль дискретных входов (В021)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М7. Модуль сопряжения (А004)</w:t>
      </w:r>
    </w:p>
    <w:p>
      <w:pPr>
        <w:pStyle w:val="a7"/>
      </w:pPr>
      <w:r>
        <w:t xml:space="preserve">Измерительный токовый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М8. Измерительный модуль (М046)</w:t>
      </w:r>
    </w:p>
    <w:p>
      <w:pPr>
        <w:pStyle w:val="a7"/>
      </w:pPr>
      <w:r>
        <w:t xml:space="preserve">Измерительный вход напряжения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вход напряжения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вход напряжения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вход напряжения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вход напряжения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вход напряжения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М10. Центральный процессор (С01)</w:t>
      </w:r>
    </w:p>
    <w:p>
      <w:pPr>
        <w:pStyle w:val="a7"/>
      </w:pPr>
      <w:r>
        <w:t xml:space="preserve">Общие настройки конфигурации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Адрес Mibus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Адрес Mibus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0 ... 254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идентификации неисправности канала связи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Таймаут отсутствия связи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1 ... 255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интерфейса Eth.1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X1.Режим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интерфейса Eth.2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X2.Режим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интерфейса Eth.3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X3.Режим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интерфейса Eth.4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X4.Режим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порта ИЧМ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отстройки от случайных помех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Тосп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Тфильтр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Eth1.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X1.Адрес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Eth1.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X1.Маска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Eth1.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X1.Адрес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Eth2.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X2.Адрес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Eth2.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X2.Маска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Eth2.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X2.Адрес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Eth3.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X3.Адрес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Eth3.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X3.Маска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Eth3.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X3.Адрес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Eth4.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X4.Адрес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Eth4.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X4.Маска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Eth4.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X4.Адрес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/>
    <w:p>
      <w:pPr>
        <w:sectPr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ПАРАМЕТРОВ РЕГИСТРАЦИИ</w:t>
      </w:r>
    </w:p>
    <w:p>
      <w:pPr>
        <w:pStyle w:val="afff0"/>
      </w:pPr>
      <w:r>
        <w:t>Возможна регистрация не более 200 сигналов.</w:t>
      </w:r>
    </w:p>
    <w:p>
      <w:pPr>
        <w:pStyle w:val="a7"/>
      </w:pPr>
      <w:r>
        <w:t>Выходные сигналы общей логики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Контроль РПН: Переключение не началось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ПМ не пошел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Контроль РПН: Длительное переключение (привод остановился в промежуточном положении)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ПМ застрял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Контроль РПН: Самопроизвольное переключение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ПМ побежал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Контроль РПН: Отказ привода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ПМ отказал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Команда на отключение автомата питания привода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Отключить АВ ПМ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Контроль РПН: Сигнализация максимального количества переключений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Ресурс исчерпан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Режим автоматического регулирования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Авто.регулирование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автоматики регулирования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Блокировка авт.рег.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Привод РПН: Идет переключение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Действие АРНТ на привод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Работа АРНТ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Команда «прибавить» в привод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Прибавить в привод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Команда «убавить» привод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Убавить в привод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Автоматический выбор регулируемой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Авто выбор секц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Приоритет регулирования по 2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Приоритет 2 секц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Регулирование по 1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Регулируемая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Контроль 1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Контролируемая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Регулирование по 2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Регулируемая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Контроль 2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Контролируемая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Нет связи с регулируемыми шинами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Нет связи с шинами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Напряжение выше границы зоны нечувствительности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Напряжение выше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Напряжение ниже границы зоны нечувствительности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Напряжение ниже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Напряжение значительно выше границы зоны нечувствительности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Знач.повыш.напряж.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Перегрузка секции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Перегрузка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Высокое напряжение секции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Высок. напряж.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Низкое напряжение секции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Низк. напряж.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Высокое напряжение НП секции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Превышение 3U0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Высокое напряжение ОП секции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Превышение U2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Перегрузка секции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Перегрузка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Перенапряжение секции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Высокое напряж.2сек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Низкое напряжение секции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Низкое напряж.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Высокое напряжение НП секции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Превышение 3U0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Высокое напряжение ОП секции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Превышение U2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по перегрузке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Блокир.по перегруз.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по перенапряжению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Перенапряжение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по низкому напряжению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Низк.напр.на шинах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Ненормальный режим на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Ненормальный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РПН по току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Блокир.по току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АВ РПН: Отключено питание привода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Отключен автомат ПМ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ДТм: Блокировка по низкой температуре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Блок.по температуре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по низкому уровню масла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Блок.по уров. масла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ДУм: Высокий уровень масла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Высок. уров. масла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Привод РПН: Местное управление привода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Местное упр.ПМ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Привод РПН заблокирован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Привод заблокирован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Ошибка определения положения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Ошибка определения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Привод РПН: Крайнее верхнее положение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Крайн.верх.полож.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Привод РПН: Крайнее нижнее положение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Крайн.нижн.полож.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Мертвое положение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Мертвое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автоматической команды прибавить по верхнему допустимому положению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Блок.Верх.Полож.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автоматической команды убавить по нижнему допустимому положению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Блок.Нижн.Полож.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Режим параллельного регулирования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Готовность к режиму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Пар.рег.Готовность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Ведущий в режиме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Пар.рег.Ведущий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Принудительно ведущий в режиме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Пар.рег.Принуд.Вед.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Ведомый в режиме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Ведомый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Команда «Прибавить»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Пар.рег.Прибавить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Команда «Убавить»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Пар.рег.Убавить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автоматического регулирования в режиме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Пар.рег.Бл.авт.реж.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Ошибка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Пар.рег.Ошибка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Рассогласование приводов РПН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Пар.рег.Рассогл.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Прибавить в АРНТ параллельного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Прибавить в ПарРег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Убавить в АРНТ параллельного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Убавить в ПарРег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Блок испытательный №1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SG1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Блок испытательный №2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SG2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Блок испытательный №3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SG3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Блок испытательный №4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SG4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Блок испытательный №5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SG5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Блок испытательный №6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SG6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Блок испытательный №7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SG7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SG не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 (Крышка БИ)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Сигнал закрытого положения двери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Дверь закрыта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Сигнал открытого положения двери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Дверь открыта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Сигнал неисправности оперативного тока цепей технологической сигнализации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Неиспр.опертока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ПДС НКУ: Неисправность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> </w:t>
      </w:r>
    </w:p>
    <w:p>
      <w:pPr>
        <w:pStyle w:val="a7"/>
      </w:pPr>
      <w:r>
        <w:t>Виртуальные ключи и клавиши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Команда сброс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Сброс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Команда сброса счетчика на начальное значение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Сброс Сч.Перекл.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Оперативная команда «прибавить»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Прибавить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Оперативная команда «убавить»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Убавить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Команда сброса счетчика положений РПН на значение по умолчанию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Сброс Сч.Полож.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Вывод терминала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Вывод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Режим работы «автоматическое регулирование»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Режим Авто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Ввод режима автоматического выбора регулируемой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 авто выбор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Ввод режима приоритета регулирования по 2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 регул по 2секц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Ввод режима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 режима пар.рег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Ввод режима автоматического регулирования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Режим Авто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> </w:t>
      </w:r>
    </w:p>
    <w:p>
      <w:pPr>
        <w:pStyle w:val="a7"/>
      </w:pPr>
      <w:r>
        <w:t>Входные дискретные сигналы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Идет переключение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Идет переключение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Команда «Прибавить»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Пар.рег.Прибав.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Команда «Убавить»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Пар.рег.Убавить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Секция 1 включена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Секция 1 включена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Секция 1 отключена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Секция 1 отключена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Секция 2 включена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Секция 2 включена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Секция 2 отключена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Секция 2 отключена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Внешний токовый орган блокировки по току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Перегрузка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Отключено питание привода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Автомат ПМ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Блокировка по температуре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Блокировка по t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Привод в местном управлении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МУ приводом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 с привода «крайнее верхнее положение»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Верхнее полож.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 с привода «крайнее нижнее положение»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Нижнее полож.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параллельно работающего трансформатора в режиме авто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Пар.рег.Режим авто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параллельно работающего трансформатора в режиме «Принудительно ведущий»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 Прин.Вед.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параллельно работающего трансформатора в режиме «Ведущий»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Пар.рег.Вед.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Прибавить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Прибавить от пар.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Убавить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Убавить от пар.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Ненормальный режим на шинах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Пар.рег.Ненорм.реж.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параллельного работающего трансформатора заблокировано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параллельного работающего готово к режиму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Пар.рег.Готовн.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У параллельного работающего трансформатора нет связи с шинами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Пар.рег.Нет связи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Идет переключение привода РПН параллельного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Пар.рег.Переключ.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«SG1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«SG2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«SG3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«SG4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«SG5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«SG6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«SG7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«Закрытое положение двери шкафа»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Дверь шкафа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«Контроль оперативного тока технологической сигнализации»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Контроль опертока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> </w:t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type="auto" w:w="0"/>
        <w:tblLook w:firstColumn="1" w:firstRow="1" w:lastColumn="0" w:lastRow="0" w:noHBand="0" w:noVBand="1" w:val="04A0"/>
        <w:tblLayout w:type="fixed"/>
      </w:tblPr>
      <w:tblGrid>
        <w:gridCol w:w="5125"/>
        <w:gridCol w:w="5125"/>
      </w:tblGrid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ФИО составителя: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Номер и дата составления: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выдачи: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окончания:</w:t>
            </w:r>
          </w:p>
        </w:tc>
        <w:tc>
          <w:tcPr>
            <w:tcW w:type="dxa" w:w="4320"/>
          </w:tcPr>
          <w:p/>
        </w:tc>
      </w:tr>
    </w:tbl>
    <w:sectPr w:rsidR="00C063A1" w:rsidRPr="00C063A1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1E9" w:rsidRDefault="001051E9" w:rsidP="00E434B2">
      <w:r>
        <w:separator/>
      </w:r>
    </w:p>
  </w:endnote>
  <w:endnote w:type="continuationSeparator" w:id="0">
    <w:p w:rsidR="001051E9" w:rsidRDefault="001051E9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1E9" w:rsidRDefault="001051E9" w:rsidP="00E434B2">
      <w:r>
        <w:separator/>
      </w:r>
    </w:p>
  </w:footnote>
  <w:footnote w:type="continuationSeparator" w:id="0">
    <w:p w:rsidR="001051E9" w:rsidRDefault="001051E9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 xml:space="preserve">ЮТКБ.656122.609 БУ9</w:t>
    </w:r>
    <w:r w:rsidR="00A504A7">
      <w:rPr>
        <w:rStyle w:val="afff1"/>
        <w:lang w:val="en-US"/>
      </w:rPr>
      <w:t xml:space="preserve"> </w:t>
    </w:r>
    <w:r w:rsidR="00A504A7">
      <w:rPr>
        <w:rStyle w:val="afff1"/>
        <w:lang w:val="en-US"/>
      </w:rPr>
      <w:t xml:space="preserve">Редакция 1.2 от 11.10.2025</w:t>
    </w:r>
    <w:r>
      <w:rPr>
        <w:rStyle w:val="afff1"/>
        <w:lang w:val="en-US"/>
      </w:rPr>
      <w:tab/>
      <w:t xml:space="preserve">ЮНИТ-М314-АРНТ</w:t>
    </w:r>
  </w:p>
  <w:p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 xml:space="preserve">ЮТКБ.656122.609 БУ9</w:t>
    </w:r>
    <w:r w:rsidR="00A504A7">
      <w:rPr>
        <w:rStyle w:val="afff1"/>
        <w:lang w:val="en-US"/>
      </w:rPr>
      <w:t xml:space="preserve"> Редакция 1.2 от 11.10.2025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 xml:space="preserve">ЮНИТ-М314-АРНТ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7"/>
  </w:num>
  <w:num w:numId="4">
    <w:abstractNumId w:val="12"/>
  </w:num>
  <w:num w:numId="5">
    <w:abstractNumId w:val="24"/>
  </w:num>
  <w:num w:numId="6">
    <w:abstractNumId w:val="15"/>
  </w:num>
  <w:num w:numId="7">
    <w:abstractNumId w:val="5"/>
  </w:num>
  <w:num w:numId="8">
    <w:abstractNumId w:val="1"/>
    <w:lvlOverride w:ilvl="0">
      <w:startOverride w:val="1"/>
    </w:lvlOverride>
  </w:num>
  <w:num w:numId="9">
    <w:abstractNumId w:val="33"/>
  </w:num>
  <w:num w:numId="10">
    <w:abstractNumId w:val="9"/>
  </w:num>
  <w:num w:numId="1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1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0"/>
  </w:num>
  <w:num w:numId="17">
    <w:abstractNumId w:val="10"/>
  </w:num>
  <w:num w:numId="18">
    <w:abstractNumId w:val="4"/>
  </w:num>
  <w:num w:numId="19">
    <w:abstractNumId w:val="16"/>
  </w:num>
  <w:num w:numId="20">
    <w:abstractNumId w:val="17"/>
  </w:num>
  <w:num w:numId="21">
    <w:abstractNumId w:val="28"/>
  </w:num>
  <w:num w:numId="22">
    <w:abstractNumId w:val="29"/>
  </w:num>
  <w:num w:numId="23">
    <w:abstractNumId w:val="13"/>
  </w:num>
  <w:num w:numId="24">
    <w:abstractNumId w:val="2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6"/>
  </w:num>
  <w:num w:numId="29">
    <w:abstractNumId w:val="23"/>
  </w:num>
  <w:num w:numId="30">
    <w:abstractNumId w:val="30"/>
  </w:num>
  <w:num w:numId="31">
    <w:abstractNumId w:val="18"/>
  </w:num>
  <w:num w:numId="32">
    <w:abstractNumId w:val="2"/>
  </w:num>
  <w:num w:numId="33">
    <w:abstractNumId w:val="7"/>
  </w:num>
  <w:num w:numId="34">
    <w:abstractNumId w:val="22"/>
  </w:num>
  <w:num w:numId="35">
    <w:abstractNumId w:val="34"/>
  </w:num>
  <w:num w:numId="36">
    <w:abstractNumId w:val="26"/>
  </w:num>
  <w:num w:numId="37">
    <w:abstractNumId w:val="21"/>
  </w:num>
  <w:num w:numId="38">
    <w:abstractNumId w:val="32"/>
  </w:num>
  <w:num w:numId="39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856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2C0A6E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B36BA5"/>
    <w:pPr>
      <w:widowControl w:val="0"/>
      <w:suppressAutoHyphens w:val="0"/>
      <w:jc w:val="center"/>
      <w:textboxTightWrap w:val="allLines"/>
    </w:pPr>
    <w:rPr>
      <w:sz w:val="16"/>
    </w:rPr>
  </w:style>
  <w:style w:type="character" w:customStyle="1" w:styleId="TAGS0">
    <w:name w:val="TAGS Знак"/>
    <w:basedOn w:val="af0"/>
    <w:link w:val="TAGS"/>
    <w:rsid w:val="00B36BA5"/>
    <w:rPr>
      <w:rFonts w:ascii="Arial Narrow" w:eastAsia="Times New Roman" w:hAnsi="Arial Narrow" w:cs="Times New Roman"/>
      <w:bCs/>
      <w:sz w:val="16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6258</TotalTime>
  <Pages>3</Pages>
  <Words>251</Words>
  <Characters>1441</Characters>
  <Application>Microsoft Office Word</Application>
  <DocSecurity>0</DocSecurity>
  <Lines>144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201</cp:revision>
  <cp:lastPrinted>2024-04-19T07:52:00Z</cp:lastPrinted>
  <dcterms:created xsi:type="dcterms:W3CDTF">2024-10-17T04:20:00Z</dcterms:created>
  <dcterms:modified xsi:type="dcterms:W3CDTF">2025-10-10T06:38:00Z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