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Блок управления (ДЗТ)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Базисная мощность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Sbase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1,0 ... 500,0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МВ×А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63,0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второй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Ih2/Ih1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пятой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Ih5/Ih1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Дифференциальный токовый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токовая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исправности токовых цепей по величине небаланса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1 (ПарамСт1)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2 (ПарамСт2)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3 (ПарамСт3)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Логика отключения при срабатывании отключающего контакта газового реле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на блокировку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Логика отключения (ЛО)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 низкой изоляции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Блок_от_НИ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БУ: Индикация местного управления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Управление ИЭУ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Комплект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Т 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Т 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ВН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НН1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НН2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Управление ИЭУ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Комплект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Т 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Т 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ВН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НН1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НН2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ШС-А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ШСА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ШС-В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ШСВ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Потеря GOOSE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Потеря GOOSE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Внешнее отключение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Внешнее отключение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ТЗоткл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ТЗоткл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ТЗсигн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ТЗсигн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Пуск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ЗП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опер. тока ГЗ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ОТ ГЗ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ГЗ 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ЦГЗ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опер. тока ТЗ, ТС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ОТ ТЗ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ТЗ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ЦТЗ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Выходные цепи разобраны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Вых. цепи разобр.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БИ выведены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1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2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3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4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5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6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7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8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