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21.12.2024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22.12.2024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М6.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М7.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М8.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М9. Тип платы B001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Модули выходных реле</w:t>
      </w:r>
    </w:p>
    <w:p>
      <w:pPr>
        <w:pStyle w:val="30"/>
      </w:pPr>
      <w:r>
        <w:t xml:space="preserve">Слот М1. Тип платы P02c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М3.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М4.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М5. Тип платы K001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Дифференциальная защита трансформатора</w:t>
      </w:r>
    </w:p>
    <w:p>
      <w:pPr>
        <w:pStyle w:val="a7"/>
      </w:pPr>
      <w:r>
        <w:t xml:space="preserve">Блок управления (ДЗТ)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Базисная мощность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Sbase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1,0 ... 500,0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МВ×А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63,0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второй гармоники (Д2Г)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Отношение тока второй гармоники к току основной гармоники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Ih2/Ih1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Ih2/Ih1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0,10 ... 0,50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0,13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Перекрестная блокировка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пятой гармоники (Д5Г)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Отношение тока пятой гармоники к току основной гармоники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Ih5/Ih1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Ih5/Ih1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0,05 ... 0,40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Перекрестная блокировка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Дифференциальный токовый орган с торможением (ДТЗт)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от БВКЗ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Контр_БВКЗ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 БВКЗ</w:t>
              <w:br/>
              <w:t xml:space="preserve">1 - С контролем БВКЗ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контроля БВКЗ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 по 2 и 5 гармоникам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0,20 ... 0,60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 в режиме загрубления (при неисправностях в токовых цепях)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Iср_загр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0,40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0,60 ... 3,00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Дифференциальная токовая отсечка (ДТО)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3,0 ... 20,0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Контроль исправности токовых цепей по величине небаланса (КЦТнеб)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Idiff&gt;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0,04 ... 2,00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0,0 ... 110,0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9,0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1 (ПарамСт1)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2 (ПарамСт2)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3 (ПарамСт3)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Логика отключения при срабатывании отключающего контакта газового реле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 на блокировку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Тбл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Логика отключения (ЛО)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 низкой изоляции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Блок_от_НИ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В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С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В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С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Сброс блок. ГЗ,ТЗ" w:value="Сброс блок. ГЗ,ТЗ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