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07BD" w14:textId="5CDDB064" w:rsidR="00F51E67" w:rsidRDefault="003972B7">
      <w:pPr>
        <w:pStyle w:val="Heading2"/>
      </w:pPr>
      <w:r>
        <w:t>Supplementary Material</w:t>
      </w:r>
    </w:p>
    <w:p w14:paraId="197291BD" w14:textId="50702B3A" w:rsidR="00FF7D73" w:rsidRDefault="00A00409">
      <w:pPr>
        <w:pStyle w:val="FirstParagraph"/>
      </w:pPr>
      <w:r>
        <w:t xml:space="preserve">In this </w:t>
      </w:r>
      <w:r w:rsidR="00FF7D73">
        <w:t>supplementary material</w:t>
      </w:r>
      <w:r>
        <w:t xml:space="preserve"> we present the complete estimation results for the models relating different definitions of access to physical activity (in Table </w:t>
      </w:r>
      <w:r w:rsidR="00FF7D73">
        <w:t>S1</w:t>
      </w:r>
      <w:r>
        <w:t xml:space="preserve">) and to obesity (in Table </w:t>
      </w:r>
      <w:r w:rsidR="00FF7D73">
        <w:t>S2</w:t>
      </w:r>
      <w:r>
        <w:t xml:space="preserve">). In </w:t>
      </w:r>
      <w:r>
        <w:t>each case we also present a base model with no accessibility statistics for comparison.</w:t>
      </w:r>
    </w:p>
    <w:p w14:paraId="7A372230" w14:textId="77777777" w:rsidR="00FF7D73" w:rsidRDefault="00FF7D73">
      <w:r>
        <w:br w:type="page"/>
      </w:r>
    </w:p>
    <w:p w14:paraId="01424BA9" w14:textId="429BF6EC" w:rsidR="00FF7D73" w:rsidRDefault="00FF7D73" w:rsidP="00FF7D73">
      <w:pPr>
        <w:pStyle w:val="Caption"/>
        <w:keepNext/>
        <w:jc w:val="center"/>
      </w:pPr>
      <w:r>
        <w:lastRenderedPageBreak/>
        <w:t xml:space="preserve">Table S </w:t>
      </w:r>
      <w:fldSimple w:instr=" SEQ Table_S \* ARABIC ">
        <w:r>
          <w:rPr>
            <w:noProof/>
          </w:rPr>
          <w:t>1</w:t>
        </w:r>
      </w:fldSimple>
      <w:r>
        <w:t xml:space="preserve">. </w:t>
      </w:r>
      <w:r w:rsidRPr="00E603F1">
        <w:t xml:space="preserve"> Estimated Effect of Accessibility on Physical Activity Rates</w:t>
      </w:r>
    </w:p>
    <w:tbl>
      <w:tblPr>
        <w:tblW w:w="1026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070"/>
        <w:gridCol w:w="2160"/>
        <w:gridCol w:w="1980"/>
        <w:gridCol w:w="1980"/>
        <w:gridCol w:w="2070"/>
      </w:tblGrid>
      <w:tr w:rsidR="00FF7D73" w:rsidRPr="00FF7D73" w14:paraId="3807997E" w14:textId="77777777" w:rsidTr="00FF7D73">
        <w:trPr>
          <w:trHeight w:val="32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682F0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A0FA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No Access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8154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Size and Distance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4E57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Amenities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3C13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10–minute Walk</w:t>
            </w:r>
          </w:p>
        </w:tc>
      </w:tr>
      <w:tr w:rsidR="00FF7D73" w:rsidRPr="00FF7D73" w14:paraId="5BE33A74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5A0E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(Intercept)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986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–24.5190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DF5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–24.8266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F04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–24.8920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2A3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–24.7176 * </w:t>
            </w:r>
          </w:p>
        </w:tc>
      </w:tr>
      <w:tr w:rsidR="00FF7D73" w:rsidRPr="00FF7D73" w14:paraId="75079CAF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5B3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30F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[–41.5947; –7.4433]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C9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[–41.7445; –7.9087]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4D6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[–41.8372; –7.9468]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DE0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[–41.7891; –7.6461] </w:t>
            </w:r>
          </w:p>
        </w:tc>
      </w:tr>
      <w:tr w:rsidR="00FF7D73" w:rsidRPr="00FF7D73" w14:paraId="10F60714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DAFD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log(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Density)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E7A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0.1740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30B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0.1766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7D2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0.1757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223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0.1686 * </w:t>
            </w:r>
          </w:p>
        </w:tc>
      </w:tr>
      <w:tr w:rsidR="00FF7D73" w:rsidRPr="00FF7D73" w14:paraId="73D6F96E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555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EAF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[0.0348;0.3132]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989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[0.0375;0.3156]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902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[0.0366;0.3148]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2A0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[0.0293;0.3079] </w:t>
            </w:r>
          </w:p>
        </w:tc>
      </w:tr>
      <w:tr w:rsidR="00FF7D73" w:rsidRPr="00FF7D73" w14:paraId="739CC8C0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E075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log(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Income)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A6C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5.9786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AB3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5.9976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E43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5.9964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7CB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5.9767 * </w:t>
            </w:r>
          </w:p>
        </w:tc>
      </w:tr>
      <w:tr w:rsidR="00FF7D73" w:rsidRPr="00FF7D73" w14:paraId="3A1C4569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52E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4A2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[5.5540;6.4032]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72A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[5.5737;6.4215]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BBF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[5.5723;6.4205]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2B1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[5.5523;6.4011] </w:t>
            </w:r>
          </w:p>
        </w:tc>
      </w:tr>
      <w:tr w:rsidR="00FF7D73" w:rsidRPr="00FF7D73" w14:paraId="369D9D01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9333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Fulltime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055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0.1283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819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0.1275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A8F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0.1275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ED0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0.1285 * </w:t>
            </w:r>
          </w:p>
        </w:tc>
      </w:tr>
      <w:tr w:rsidR="00FF7D73" w:rsidRPr="00FF7D73" w14:paraId="613D2504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EE1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506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[0.1098;0.1468]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6E4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[0.1090;0.1460]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A03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[0.1090;0.1460]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329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[0.1100;0.1470] </w:t>
            </w:r>
          </w:p>
        </w:tc>
      </w:tr>
      <w:tr w:rsidR="00FF7D73" w:rsidRPr="00FF7D73" w14:paraId="17ABE5A5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EEB6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College–educated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70F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0.0075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A99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0.0076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EC3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0.0073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E98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0.0083</w:t>
            </w:r>
          </w:p>
        </w:tc>
      </w:tr>
      <w:tr w:rsidR="00FF7D73" w:rsidRPr="00FF7D73" w14:paraId="74602984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993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E97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–0.0159;0.0310]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636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–0.0158;0.0309]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4DB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–0.0161;0.0306]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A49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–0.0152;0.0317] </w:t>
            </w:r>
          </w:p>
        </w:tc>
      </w:tr>
      <w:tr w:rsidR="00FF7D73" w:rsidRPr="00FF7D73" w14:paraId="2EA3CEED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A60A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Single Adults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957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–0.0363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BDA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–0.0362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1A1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–0.0360 *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D84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–0.0366 *</w:t>
            </w:r>
          </w:p>
        </w:tc>
      </w:tr>
      <w:tr w:rsidR="00FF7D73" w:rsidRPr="00FF7D73" w14:paraId="1D8E44DD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227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8DF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–0.0527; –0.0198]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23C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–0.0526; –0.0198]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C00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–0.0524; –0.0196]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40B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–0.0530; –0.0201] </w:t>
            </w:r>
          </w:p>
        </w:tc>
      </w:tr>
      <w:tr w:rsidR="00FF7D73" w:rsidRPr="00FF7D73" w14:paraId="66E7B541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A0BB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Youth (0–17)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2CF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–0.1306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72C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–0.1311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B92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–0.1310 *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A88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–0.1311 *</w:t>
            </w:r>
          </w:p>
        </w:tc>
      </w:tr>
      <w:tr w:rsidR="00FF7D73" w:rsidRPr="00FF7D73" w14:paraId="7C4564C6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6EA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058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–0.1572; –0.1040]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139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–0.1576; –0.1046]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51E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–0.1576; –0.1045]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369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–0.1577; –0.1045] </w:t>
            </w:r>
          </w:p>
        </w:tc>
      </w:tr>
      <w:tr w:rsidR="00FF7D73" w:rsidRPr="00FF7D73" w14:paraId="7549D874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F93E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Young adults (18–34)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75F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0.0283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938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0.0293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638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0.0294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02B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0.0281 * </w:t>
            </w:r>
          </w:p>
        </w:tc>
      </w:tr>
      <w:tr w:rsidR="00FF7D73" w:rsidRPr="00FF7D73" w14:paraId="090C0CD3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E04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499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[0.0081;0.0484]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611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[0.0092;0.0495]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D31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[0.0092;0.0495]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0F1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[0.0079;0.0482] </w:t>
            </w:r>
          </w:p>
        </w:tc>
      </w:tr>
      <w:tr w:rsidR="00FF7D73" w:rsidRPr="00FF7D73" w14:paraId="60028019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ACDB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Seniors (65+)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1BD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0.0430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99A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0.0403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16C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0.0408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7CF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0.0427 * </w:t>
            </w:r>
          </w:p>
        </w:tc>
      </w:tr>
      <w:tr w:rsidR="00FF7D73" w:rsidRPr="00FF7D73" w14:paraId="269F0523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33E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C45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[0.0157;0.0704]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0F0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[0.0130;0.0677]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2A7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[0.0135;0.0682]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674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[0.0153;0.0700] </w:t>
            </w:r>
          </w:p>
        </w:tc>
      </w:tr>
      <w:tr w:rsidR="00FF7D73" w:rsidRPr="00FF7D73" w14:paraId="3D326A8A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D579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Black population share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60E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–0.0499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E8A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–0.0499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C50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–0.0498 *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A6B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–0.0497 *</w:t>
            </w:r>
          </w:p>
        </w:tc>
      </w:tr>
      <w:tr w:rsidR="00FF7D73" w:rsidRPr="00FF7D73" w14:paraId="65851DEB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0DB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20A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–0.0587; –0.0412]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E4E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–0.0586; –0.0412]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9F9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–0.0585; –0.0411]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B26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–0.0584; –0.0409] </w:t>
            </w:r>
          </w:p>
        </w:tc>
      </w:tr>
      <w:tr w:rsidR="00FF7D73" w:rsidRPr="00FF7D73" w14:paraId="2DBD515C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B928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Asian population share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05E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–0.0772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541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–0.0767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D26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–0.0768 *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622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–0.0774 *</w:t>
            </w:r>
          </w:p>
        </w:tc>
      </w:tr>
      <w:tr w:rsidR="00FF7D73" w:rsidRPr="00FF7D73" w14:paraId="342E4B79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F74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771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–0.0877; –0.0666]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0AE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–0.0873; –0.0662]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916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–0.0874; –0.0663]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7B8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–0.0879; –0.0669] </w:t>
            </w:r>
          </w:p>
        </w:tc>
      </w:tr>
      <w:tr w:rsidR="00FF7D73" w:rsidRPr="00FF7D73" w14:paraId="074C3183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3699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Hispanic population share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7D0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–0.1021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295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–0.1025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F5F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–0.1025 *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1A5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–0.1020 *</w:t>
            </w:r>
          </w:p>
        </w:tc>
      </w:tr>
      <w:tr w:rsidR="00FF7D73" w:rsidRPr="00FF7D73" w14:paraId="64E58604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2C4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A64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–0.1112; –0.0929]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1A5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–0.1116; –0.0934]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98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–0.1116; –0.0934]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5FC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–0.1111; –0.0928] </w:t>
            </w:r>
          </w:p>
        </w:tc>
      </w:tr>
      <w:tr w:rsidR="00FF7D73" w:rsidRPr="00FF7D73" w14:paraId="7F51316B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40E9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Other Minorities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155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0.0006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9DA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0.0035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AFA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0.0037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AFA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–0.0005</w:t>
            </w:r>
          </w:p>
        </w:tc>
      </w:tr>
      <w:tr w:rsidR="00FF7D73" w:rsidRPr="00FF7D73" w14:paraId="55ACE7B5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C5F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646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–0.0882;0.0894]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BA4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–0.0851;0.0921]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E66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–0.0850;0.0923]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D8E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–0.0893;0.0883] </w:t>
            </w:r>
          </w:p>
        </w:tc>
      </w:tr>
      <w:tr w:rsidR="00FF7D73" w:rsidRPr="00FF7D73" w14:paraId="3AC1F1E2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FEE4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log(Density)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F8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1.1105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6FD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1.0987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69B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1.1030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615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1.0928 * </w:t>
            </w:r>
          </w:p>
        </w:tc>
      </w:tr>
      <w:tr w:rsidR="00FF7D73" w:rsidRPr="00FF7D73" w14:paraId="3D2BC38D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514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DE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[0.7245;1.4964]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B0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[0.7156;1.4817]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8DC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[0.7196;1.4865]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5E6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[0.7063;1.4793] </w:t>
            </w:r>
          </w:p>
        </w:tc>
      </w:tr>
      <w:tr w:rsidR="00FF7D73" w:rsidRPr="00FF7D73" w14:paraId="36F0F375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D728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log(Income)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F8B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1.9269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6C0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1.9646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23B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1.9570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72D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1.9189 * </w:t>
            </w:r>
          </w:p>
        </w:tc>
      </w:tr>
      <w:tr w:rsidR="00FF7D73" w:rsidRPr="00FF7D73" w14:paraId="15D37F0E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967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073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[0.8913;2.9625]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3E8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[0.9370;2.9922]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573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[0.9282;2.9857]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F68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[0.8836;2.9541] </w:t>
            </w:r>
          </w:p>
        </w:tc>
      </w:tr>
      <w:tr w:rsidR="00FF7D73" w:rsidRPr="00FF7D73" w14:paraId="4D3C491E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EAEA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Fulltime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010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–0.036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4FB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–0.0396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FCD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–0.0388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AA6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–0.0363</w:t>
            </w:r>
          </w:p>
        </w:tc>
      </w:tr>
      <w:tr w:rsidR="00FF7D73" w:rsidRPr="00FF7D73" w14:paraId="0A33F17F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E3B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62F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–0.0835;0.0115]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468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–0.0869;0.0076]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488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–0.0861;0.0085]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AE8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–0.0837;0.0112] </w:t>
            </w:r>
          </w:p>
        </w:tc>
      </w:tr>
      <w:tr w:rsidR="00FF7D73" w:rsidRPr="00FF7D73" w14:paraId="137C800D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4C10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College–educated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BAC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–0.0707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801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–0.0711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B7F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–0.0721 *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74D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–0.0731 *</w:t>
            </w:r>
          </w:p>
        </w:tc>
      </w:tr>
      <w:tr w:rsidR="00FF7D73" w:rsidRPr="00FF7D73" w14:paraId="5CAD45A3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36A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A7B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–0.1307; –0.0107]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31D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–0.1306; –0.0116]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BF3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–0.1317; –0.0125]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88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–0.1332; –0.0131] </w:t>
            </w:r>
          </w:p>
        </w:tc>
      </w:tr>
      <w:tr w:rsidR="00FF7D73" w:rsidRPr="00FF7D73" w14:paraId="3EC9B97B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555A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Single Adults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676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–0.0081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21F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–0.0085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5C5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–0.0077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5EC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–0.0076</w:t>
            </w:r>
          </w:p>
        </w:tc>
      </w:tr>
      <w:tr w:rsidR="00FF7D73" w:rsidRPr="00FF7D73" w14:paraId="5E433ABF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7E9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8D8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–0.0506;0.0344]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D38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–0.0507;0.0336]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C20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–0.0499;0.0345]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7A4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–0.0501;0.0348] </w:t>
            </w:r>
          </w:p>
        </w:tc>
      </w:tr>
      <w:tr w:rsidR="00FF7D73" w:rsidRPr="00FF7D73" w14:paraId="1E407C29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C7E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Youth (0–17)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485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–0.0111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56D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–0.0111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5DC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–0.0101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D6E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–0.012</w:t>
            </w:r>
          </w:p>
        </w:tc>
      </w:tr>
      <w:tr w:rsidR="00FF7D73" w:rsidRPr="00FF7D73" w14:paraId="39E1A99A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057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690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–0.0806;0.0585]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D22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–0.0802;0.0579]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631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–0.0793;0.0591]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D25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–0.0815;0.0575] </w:t>
            </w:r>
          </w:p>
        </w:tc>
      </w:tr>
      <w:tr w:rsidR="00FF7D73" w:rsidRPr="00FF7D73" w14:paraId="538D4234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49CC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Young adults (18–34)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CA3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0.0806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4ED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0.0842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494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0.0848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AF6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0.0801 * </w:t>
            </w:r>
          </w:p>
        </w:tc>
      </w:tr>
      <w:tr w:rsidR="00FF7D73" w:rsidRPr="00FF7D73" w14:paraId="22923D55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AB8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C77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[0.0296;0.1317]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F81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[0.0335;0.1349]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DFC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[0.0339;0.1356]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685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[0.0291;0.1311] </w:t>
            </w:r>
          </w:p>
        </w:tc>
      </w:tr>
      <w:tr w:rsidR="00FF7D73" w:rsidRPr="00FF7D73" w14:paraId="6864D31B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AA49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Seniors (65+)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AC8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0.0625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9F9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0.0589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203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0.0603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406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0.0623</w:t>
            </w:r>
          </w:p>
        </w:tc>
      </w:tr>
      <w:tr w:rsidR="00FF7D73" w:rsidRPr="00FF7D73" w14:paraId="0118F89E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950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7F7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–0.0071;0.1322]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DD1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–0.0103;0.1282]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814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–0.0090;0.1296]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F95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–0.0073;0.1319] </w:t>
            </w:r>
          </w:p>
        </w:tc>
      </w:tr>
      <w:tr w:rsidR="00FF7D73" w:rsidRPr="00FF7D73" w14:paraId="365614B9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647F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Black population share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1E3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0.0006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5DF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2D0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0.0008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928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0.0006</w:t>
            </w:r>
          </w:p>
        </w:tc>
      </w:tr>
      <w:tr w:rsidR="00FF7D73" w:rsidRPr="00FF7D73" w14:paraId="3B976717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CD7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C99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–0.0157;0.0168]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4F4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–0.0151;0.0172]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B4E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–0.0153;0.0170]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044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–0.0157;0.0168] </w:t>
            </w:r>
          </w:p>
        </w:tc>
      </w:tr>
      <w:tr w:rsidR="00FF7D73" w:rsidRPr="00FF7D73" w14:paraId="2B13E94A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B4CC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Asian population share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CEF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–0.0410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10A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–0.0398 *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D91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–0.0401 *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10B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–0.0409 *</w:t>
            </w:r>
          </w:p>
        </w:tc>
      </w:tr>
      <w:tr w:rsidR="00FF7D73" w:rsidRPr="00FF7D73" w14:paraId="2FCEB980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873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04F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–0.0597; –0.0223]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715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–0.0584; –0.0212]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E8E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–0.0587; –0.0215]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C42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–0.0596; –0.0222] </w:t>
            </w:r>
          </w:p>
        </w:tc>
      </w:tr>
      <w:tr w:rsidR="00FF7D73" w:rsidRPr="00FF7D73" w14:paraId="72D022A3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3938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Hispanic population share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EB6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313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–0.0009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2B2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–0.0008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1E8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0.0008</w:t>
            </w:r>
          </w:p>
        </w:tc>
      </w:tr>
      <w:tr w:rsidR="00FF7D73" w:rsidRPr="00FF7D73" w14:paraId="6098E4B2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B71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81D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–0.0164;0.0182]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D29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–0.0181;0.0163]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66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–0.0181;0.0164]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13E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–0.0165;0.0181] </w:t>
            </w:r>
          </w:p>
        </w:tc>
      </w:tr>
      <w:tr w:rsidR="00FF7D73" w:rsidRPr="00FF7D73" w14:paraId="578A2DA7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7CD1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𝜸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Other Minorities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5D4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0.0656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4B1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0.0715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44F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0.071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680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0.0716</w:t>
            </w:r>
          </w:p>
        </w:tc>
      </w:tr>
      <w:tr w:rsidR="00FF7D73" w:rsidRPr="00FF7D73" w14:paraId="0B48E08E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557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31A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–0.1926;0.3239]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F73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–0.1856;0.3287]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A6B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–0.1863;0.3284]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63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–0.1866;0.3299] </w:t>
            </w:r>
          </w:p>
        </w:tc>
      </w:tr>
      <w:tr w:rsidR="00FF7D73" w:rsidRPr="00FF7D73" w14:paraId="5D81F6A0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6721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Accessibility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11AA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74D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0.1610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F38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0.1472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893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0.5865</w:t>
            </w:r>
          </w:p>
        </w:tc>
      </w:tr>
      <w:tr w:rsidR="00FF7D73" w:rsidRPr="00FF7D73" w14:paraId="4DC83DAA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2F9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A68A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E64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[0.0238;0.2982]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26E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[0.0058;0.2886]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8E8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 –0.1778;1.3508] </w:t>
            </w:r>
          </w:p>
        </w:tc>
      </w:tr>
      <w:tr w:rsidR="00FF7D73" w:rsidRPr="00FF7D73" w14:paraId="3A5EC6E6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946D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𝝀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: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spatial correlation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E22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0.6985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DF3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0.6906 *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D31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0.6917 *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1DF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0.6987 * </w:t>
            </w:r>
          </w:p>
        </w:tc>
      </w:tr>
      <w:tr w:rsidR="00FF7D73" w:rsidRPr="00FF7D73" w14:paraId="7699235A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344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6A8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[0.6600;0.7370]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AC5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[0.6514;0.7297]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029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[0.6526;0.7307]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308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[0.6602;0.7372] </w:t>
            </w:r>
          </w:p>
        </w:tc>
      </w:tr>
      <w:tr w:rsidR="00FF7D73" w:rsidRPr="00FF7D73" w14:paraId="34765091" w14:textId="77777777" w:rsidTr="00FF7D73">
        <w:trPr>
          <w:trHeight w:val="320"/>
        </w:trPr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323F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Num. obs.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932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E0D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546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2099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6F7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2099</w:t>
            </w:r>
          </w:p>
        </w:tc>
      </w:tr>
      <w:tr w:rsidR="00FF7D73" w:rsidRPr="00FF7D73" w14:paraId="7E4133E8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90BC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Parameters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4FC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F96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DCA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A10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28</w:t>
            </w:r>
          </w:p>
        </w:tc>
      </w:tr>
      <w:tr w:rsidR="00FF7D73" w:rsidRPr="00FF7D73" w14:paraId="63FD86F2" w14:textId="77777777" w:rsidTr="00FF7D73">
        <w:trPr>
          <w:trHeight w:val="320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71475D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Log Likelihood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B8CD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–4438.0569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69D3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–4435.5066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B59D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–4436.0465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38DA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–4436.9264</w:t>
            </w:r>
          </w:p>
        </w:tc>
      </w:tr>
    </w:tbl>
    <w:p w14:paraId="57DED5EA" w14:textId="3111E7E6" w:rsidR="00FF7D73" w:rsidRPr="008F3E24" w:rsidRDefault="008F3E24" w:rsidP="00FF7D73">
      <w:pPr>
        <w:pStyle w:val="BodyText"/>
        <w:rPr>
          <w:rFonts w:ascii="Times New Roman" w:hAnsi="Times New Roman" w:cs="Times New Roman"/>
          <w:sz w:val="16"/>
          <w:szCs w:val="16"/>
        </w:rPr>
      </w:pPr>
      <w:r w:rsidRPr="008F3E24">
        <w:rPr>
          <w:rFonts w:ascii="Times New Roman" w:hAnsi="Times New Roman" w:cs="Times New Roman"/>
          <w:sz w:val="16"/>
          <w:szCs w:val="16"/>
        </w:rPr>
        <w:t xml:space="preserve">* zero is outside the </w:t>
      </w:r>
      <w:r w:rsidRPr="008F3E24">
        <w:rPr>
          <w:rFonts w:ascii="Times New Roman" w:hAnsi="Times New Roman" w:cs="Times New Roman"/>
          <w:sz w:val="16"/>
          <w:szCs w:val="16"/>
        </w:rPr>
        <w:t>outside the confidence interval. 95% confidence interval in brackets</w:t>
      </w:r>
    </w:p>
    <w:p w14:paraId="0CB87E2C" w14:textId="30278EA3" w:rsidR="00FF7D73" w:rsidRDefault="00FF7D73">
      <w:r>
        <w:br w:type="page"/>
      </w:r>
    </w:p>
    <w:p w14:paraId="18AAC350" w14:textId="28CB578C" w:rsidR="00FF7D73" w:rsidRDefault="00FF7D73" w:rsidP="00FF7D73">
      <w:pPr>
        <w:pStyle w:val="Caption"/>
        <w:keepNext/>
        <w:jc w:val="center"/>
      </w:pPr>
      <w:r>
        <w:lastRenderedPageBreak/>
        <w:t xml:space="preserve">Table S </w:t>
      </w:r>
      <w:fldSimple w:instr=" SEQ Table_S \* ARABIC ">
        <w:r>
          <w:rPr>
            <w:noProof/>
          </w:rPr>
          <w:t>2</w:t>
        </w:r>
      </w:fldSimple>
      <w:r>
        <w:t xml:space="preserve">. </w:t>
      </w:r>
      <w:r w:rsidRPr="007D5499">
        <w:t>Estimated Effect of Accessibility on Obesity Rates</w:t>
      </w:r>
    </w:p>
    <w:tbl>
      <w:tblPr>
        <w:tblW w:w="1054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340"/>
        <w:gridCol w:w="1980"/>
        <w:gridCol w:w="1890"/>
        <w:gridCol w:w="1890"/>
        <w:gridCol w:w="2440"/>
      </w:tblGrid>
      <w:tr w:rsidR="00FF7D73" w:rsidRPr="00FF7D73" w14:paraId="0D689057" w14:textId="77777777" w:rsidTr="00FF7D73">
        <w:trPr>
          <w:trHeight w:val="320"/>
        </w:trPr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5236D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CE57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No Access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BCA0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Size and Distance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2CA3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Amenities 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5292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10-minute Walk </w:t>
            </w:r>
          </w:p>
        </w:tc>
      </w:tr>
      <w:tr w:rsidR="00FF7D73" w:rsidRPr="00FF7D73" w14:paraId="25D503BD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24E8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(Intercept)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C72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71.6539*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DC9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71.7489*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859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71.7525*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D70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71.7182* </w:t>
            </w:r>
          </w:p>
        </w:tc>
      </w:tr>
      <w:tr w:rsidR="00FF7D73" w:rsidRPr="00FF7D73" w14:paraId="31592F97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205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33D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[61.1144; 82.1933]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0DB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[61.2170; 82.2809]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7DE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[61.2164; 82.2887]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C40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[61.1846; 82.2518] </w:t>
            </w:r>
          </w:p>
        </w:tc>
      </w:tr>
      <w:tr w:rsidR="00FF7D73" w:rsidRPr="00FF7D73" w14:paraId="509D2D57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6ED3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log(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Density)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6C9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-0.0294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CCA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-0.0307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FC8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-0.0306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FEF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-0.0266</w:t>
            </w:r>
          </w:p>
        </w:tc>
      </w:tr>
      <w:tr w:rsidR="00FF7D73" w:rsidRPr="00FF7D73" w14:paraId="1355855E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3EF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6EB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[-0.1037;0.0448]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3CA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[-0.1050;0.0436]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20B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[-0.1049;0.0437]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205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[-0.1009;0.0478] </w:t>
            </w:r>
          </w:p>
        </w:tc>
      </w:tr>
      <w:tr w:rsidR="00FF7D73" w:rsidRPr="00FF7D73" w14:paraId="12B59C82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14A1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log(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Income)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482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-0.4849*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7D3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-0.4907*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B09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-0.4908*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FDA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-0.4861* </w:t>
            </w:r>
          </w:p>
        </w:tc>
      </w:tr>
      <w:tr w:rsidR="00FF7D73" w:rsidRPr="00FF7D73" w14:paraId="100008E5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E5B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8A0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[-0.7612; -0.2085]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F62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[-0.7672; -0.2141]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2EE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[-0.7674; -0.2142]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F2E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[-0.7623; -0.2098] </w:t>
            </w:r>
          </w:p>
        </w:tc>
      </w:tr>
      <w:tr w:rsidR="00FF7D73" w:rsidRPr="00FF7D73" w14:paraId="3A3E4D48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FA87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Fulltime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F5D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-0.0137*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23F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-0.0137*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485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-0.0137*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07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-0.0139* </w:t>
            </w:r>
          </w:p>
        </w:tc>
      </w:tr>
      <w:tr w:rsidR="00FF7D73" w:rsidRPr="00FF7D73" w14:paraId="79CD95D2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A8C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000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[-0.0244; -0.0031]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04E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[-0.0244; -0.0030]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CB6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[-0.0244; -0.0030]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A11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[-0.0246; -0.0032] </w:t>
            </w:r>
          </w:p>
        </w:tc>
      </w:tr>
      <w:tr w:rsidR="00FF7D73" w:rsidRPr="00FF7D73" w14:paraId="60440B51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93A5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College-educated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129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0.0343*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B33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0.0343*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A52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0.0343*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01F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0.0340*</w:t>
            </w:r>
          </w:p>
        </w:tc>
      </w:tr>
      <w:tr w:rsidR="00FF7D73" w:rsidRPr="00FF7D73" w14:paraId="6FA78ED1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1C6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B6E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[ 0.0211;0.0474]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455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[ 0.0211;0.0474]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AFE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[ 0.0211;0.0474]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878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[ 0.0208;0.0471] </w:t>
            </w:r>
          </w:p>
        </w:tc>
      </w:tr>
      <w:tr w:rsidR="00FF7D73" w:rsidRPr="00FF7D73" w14:paraId="15E44907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ED27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Single Adults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A32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A23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5D9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0.001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16C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0.0012</w:t>
            </w:r>
          </w:p>
        </w:tc>
      </w:tr>
      <w:tr w:rsidR="00FF7D73" w:rsidRPr="00FF7D73" w14:paraId="7F4CCDAA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53A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294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[-0.0082;0.0103]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178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[-0.0083;0.0103]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741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[-0.0083;0.0102]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21A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[-0.0081;0.0104] </w:t>
            </w:r>
          </w:p>
        </w:tc>
      </w:tr>
      <w:tr w:rsidR="00FF7D73" w:rsidRPr="00FF7D73" w14:paraId="4E1FC84F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EB18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Youth (0-17)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C6C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0.0051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3F3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0.0052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18E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0.0052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EE3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0.0054</w:t>
            </w:r>
          </w:p>
        </w:tc>
      </w:tr>
      <w:tr w:rsidR="00FF7D73" w:rsidRPr="00FF7D73" w14:paraId="35113BE1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57F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78D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[-0.0099;0.0201]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A41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[-0.0098;0.0202]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44A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[-0.0098;0.0202]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26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[-0.0096;0.0204] </w:t>
            </w:r>
          </w:p>
        </w:tc>
      </w:tr>
      <w:tr w:rsidR="00FF7D73" w:rsidRPr="00FF7D73" w14:paraId="37ED8161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FBB4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Young adults (18-34)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27D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-0.0095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624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-0.0097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612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-0.0098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E6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-0.0094</w:t>
            </w:r>
          </w:p>
        </w:tc>
      </w:tr>
      <w:tr w:rsidR="00FF7D73" w:rsidRPr="00FF7D73" w14:paraId="5E724BBF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43E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AA5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[-0.0206;0.0016]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B90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[-0.0209;0.0014]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165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[-0.0209;0.0014]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92D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[-0.0205;0.0017] </w:t>
            </w:r>
          </w:p>
        </w:tc>
      </w:tr>
      <w:tr w:rsidR="00FF7D73" w:rsidRPr="00FF7D73" w14:paraId="3620254B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D213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Seniors (65+)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0E2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-0.0826*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8B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-0.0821*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3AB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-0.0821*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4A6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-0.0825* </w:t>
            </w:r>
          </w:p>
        </w:tc>
      </w:tr>
      <w:tr w:rsidR="00FF7D73" w:rsidRPr="00FF7D73" w14:paraId="3ACAA531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851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8AD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[-0.0977; -0.0675]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188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[-0.0973; -0.0669]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8BE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[-0.0973; -0.0670]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9BE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[-0.0976; -0.0673] </w:t>
            </w:r>
          </w:p>
        </w:tc>
      </w:tr>
      <w:tr w:rsidR="00FF7D73" w:rsidRPr="00FF7D73" w14:paraId="2197CBFF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0C17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Black population share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862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0.0462*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528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0.0462*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BBC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0.0462*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588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0.0461*</w:t>
            </w:r>
          </w:p>
        </w:tc>
      </w:tr>
      <w:tr w:rsidR="00FF7D73" w:rsidRPr="00FF7D73" w14:paraId="47E8B856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BBC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4F0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[ 0.0414;0.0511]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BC6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[ 0.0414;0.0511]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33C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[ 0.0414;0.0510]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44F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[ 0.0413;0.0510] </w:t>
            </w:r>
          </w:p>
        </w:tc>
      </w:tr>
      <w:tr w:rsidR="00FF7D73" w:rsidRPr="00FF7D73" w14:paraId="3971BF23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A2F1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Asian population share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E06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-0.1010*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A12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-0.1010*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828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-0.1010*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1B1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-0.1009* </w:t>
            </w:r>
          </w:p>
        </w:tc>
      </w:tr>
      <w:tr w:rsidR="00FF7D73" w:rsidRPr="00FF7D73" w14:paraId="1C4BA215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3D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D9E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[-0.1069; -0.0950]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4F3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[-0.1070; -0.0951]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5BE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[-0.1070; -0.0951]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B19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[-0.1068; -0.0949] </w:t>
            </w:r>
          </w:p>
        </w:tc>
      </w:tr>
      <w:tr w:rsidR="00FF7D73" w:rsidRPr="00FF7D73" w14:paraId="3E435B17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A43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Hispanic population share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1C8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-0.0062*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EC4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-0.0061*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A1C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-0.0061*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59C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-0.0062* </w:t>
            </w:r>
          </w:p>
        </w:tc>
      </w:tr>
      <w:tr w:rsidR="00FF7D73" w:rsidRPr="00FF7D73" w14:paraId="446D6E4A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659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ECD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[-0.0118; -0.0007]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8FF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[-0.0116; -0.0006]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9FC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[-0.0116; -0.0006]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D0C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[-0.0117; -0.0007] </w:t>
            </w:r>
          </w:p>
        </w:tc>
      </w:tr>
      <w:tr w:rsidR="00FF7D73" w:rsidRPr="00FF7D73" w14:paraId="1E1D7EAE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E599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Other Minorities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FAD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-0.0642*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14C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-0.0646*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922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-0.0647*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7C3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-0.0637* </w:t>
            </w:r>
          </w:p>
        </w:tc>
      </w:tr>
      <w:tr w:rsidR="00FF7D73" w:rsidRPr="00FF7D73" w14:paraId="6A9F2388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9DF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0FB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[-0.1127; -0.0156]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7FE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[-0.1132; -0.0161]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B9B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[-0.1133; -0.0162]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BA8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[-0.1122; -0.0151] </w:t>
            </w:r>
          </w:p>
        </w:tc>
      </w:tr>
      <w:tr w:rsidR="00FF7D73" w:rsidRPr="00FF7D73" w14:paraId="4754258E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007B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: </w:t>
            </w:r>
            <w:proofErr w:type="gramStart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log(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Density)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53F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-0.5545*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DA9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-0.5565*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B55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-0.5567*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53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-0.5445* </w:t>
            </w:r>
          </w:p>
        </w:tc>
      </w:tr>
      <w:tr w:rsidR="00FF7D73" w:rsidRPr="00FF7D73" w14:paraId="02B1A674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94C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4D4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[-0.7908; -0.3182]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D01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[-0.7927; -0.3203]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0D0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[-0.7929; -0.3204]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416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[-0.7812; -0.3079] </w:t>
            </w:r>
          </w:p>
        </w:tc>
      </w:tr>
      <w:tr w:rsidR="00FF7D73" w:rsidRPr="00FF7D73" w14:paraId="1132EF54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57ED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: </w:t>
            </w:r>
            <w:proofErr w:type="gramStart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log(</w:t>
            </w:r>
            <w:proofErr w:type="gramEnd"/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Income)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0A4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-0.0863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FA1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-0.1004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63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-0.0987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5D7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-0.0783</w:t>
            </w:r>
          </w:p>
        </w:tc>
      </w:tr>
      <w:tr w:rsidR="00FF7D73" w:rsidRPr="00FF7D73" w14:paraId="75D4881E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283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3A8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[-0.7966;0.6240]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E1E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[-0.8108;0.6100]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3AF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[-0.8091;0.6118]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5D6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[-0.7883;0.6317] </w:t>
            </w:r>
          </w:p>
        </w:tc>
      </w:tr>
      <w:tr w:rsidR="00FF7D73" w:rsidRPr="00FF7D73" w14:paraId="61164B39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D437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: Fulltime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42C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-0.0118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D5C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-0.0115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65C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-0.0116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2A0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-0.0116</w:t>
            </w:r>
          </w:p>
        </w:tc>
      </w:tr>
      <w:tr w:rsidR="00FF7D73" w:rsidRPr="00FF7D73" w14:paraId="4B67A1A3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AD2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F2F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[-0.0404;0.0169]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43C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[-0.0402;0.0172]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E74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[-0.0402;0.0171]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D73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[-0.0402;0.0171] </w:t>
            </w:r>
          </w:p>
        </w:tc>
      </w:tr>
      <w:tr w:rsidR="00FF7D73" w:rsidRPr="00FF7D73" w14:paraId="362DC345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D4B0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: College-educated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420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0.0698*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A59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0.0698*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8CE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0.0699*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C40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0.0710*</w:t>
            </w:r>
          </w:p>
        </w:tc>
      </w:tr>
      <w:tr w:rsidR="00FF7D73" w:rsidRPr="00FF7D73" w14:paraId="19482EF5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0FC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F36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[ 0.0334;0.1062]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788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[ 0.0334;0.1062]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886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[ 0.0335;0.1063]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70D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[ 0.0346;0.1075] </w:t>
            </w:r>
          </w:p>
        </w:tc>
      </w:tr>
      <w:tr w:rsidR="00FF7D73" w:rsidRPr="00FF7D73" w14:paraId="34A011C7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3A69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: Single Adults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739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-0.0114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FA9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-0.0113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679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-0.0114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320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-0.0117</w:t>
            </w:r>
          </w:p>
        </w:tc>
      </w:tr>
      <w:tr w:rsidR="00FF7D73" w:rsidRPr="00FF7D73" w14:paraId="490841A3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C8C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1B3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[-0.0368;0.0140]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F66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[-0.0367;0.0140]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BD2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[-0.0368;0.0140]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BAF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[-0.0371;0.0137] </w:t>
            </w:r>
          </w:p>
        </w:tc>
      </w:tr>
      <w:tr w:rsidR="00FF7D73" w:rsidRPr="00FF7D73" w14:paraId="3D895E86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F523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: Youth (0-17)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214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-0.033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40F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-0.033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0E2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-0.0332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D02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-0.0326</w:t>
            </w:r>
          </w:p>
        </w:tc>
      </w:tr>
      <w:tr w:rsidR="00FF7D73" w:rsidRPr="00FF7D73" w14:paraId="3CEB2561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210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0E6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[-0.0748;0.0088]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EE0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[-0.0748;0.0088]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DC0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[-0.0750;0.0086]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10F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[-0.0744;0.0092] </w:t>
            </w:r>
          </w:p>
        </w:tc>
      </w:tr>
      <w:tr w:rsidR="00FF7D73" w:rsidRPr="00FF7D73" w14:paraId="173AD27C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DCEC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lastRenderedPageBreak/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: Young adults (18-34)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05A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-0.0238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A3A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-0.0247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F7E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-0.0248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C49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-0.0235</w:t>
            </w:r>
          </w:p>
        </w:tc>
      </w:tr>
      <w:tr w:rsidR="00FF7D73" w:rsidRPr="00FF7D73" w14:paraId="701E1B91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906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73F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[-0.0545;0.0069]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F12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[-0.0554;0.0060]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29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[-0.0555;0.0059]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29A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[-0.0542;0.0071] </w:t>
            </w:r>
          </w:p>
        </w:tc>
      </w:tr>
      <w:tr w:rsidR="00FF7D73" w:rsidRPr="00FF7D73" w14:paraId="3708ADE9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8349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: Seniors (65+)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59D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-0.0222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650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-0.0217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8D0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-0.0218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AE1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-0.0222</w:t>
            </w:r>
          </w:p>
        </w:tc>
      </w:tr>
      <w:tr w:rsidR="00FF7D73" w:rsidRPr="00FF7D73" w14:paraId="458EA8D4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848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3AC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[-0.0629;0.0185]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01A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[-0.0624;0.0190]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DB8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[-0.0625;0.0189]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9F2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[-0.0628;0.0185] </w:t>
            </w:r>
          </w:p>
        </w:tc>
      </w:tr>
      <w:tr w:rsidR="00FF7D73" w:rsidRPr="00FF7D73" w14:paraId="440FB08C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9FD1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: Black population share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BD6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0.0186*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5C1A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0.0186*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22D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0.0186*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8FC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0.0185*</w:t>
            </w:r>
          </w:p>
        </w:tc>
      </w:tr>
      <w:tr w:rsidR="00FF7D73" w:rsidRPr="00FF7D73" w14:paraId="59FD262E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B51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F39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[ 0.0080;0.0292]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1B2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[ 0.0080;0.0292]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C0E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[ 0.0080;0.0292]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ED1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[ 0.0079;0.0291] </w:t>
            </w:r>
          </w:p>
        </w:tc>
      </w:tr>
      <w:tr w:rsidR="00FF7D73" w:rsidRPr="00FF7D73" w14:paraId="6B9F07F8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8D99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: Asian population share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0D1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-0.0460*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CB0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-0.0462*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853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-0.0461*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902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-0.0461* </w:t>
            </w:r>
          </w:p>
        </w:tc>
      </w:tr>
      <w:tr w:rsidR="00FF7D73" w:rsidRPr="00FF7D73" w14:paraId="7842EE62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A7F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4D6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[-0.0594; -0.0325]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40E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[-0.0596; -0.0327]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CBE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[-0.0596; -0.0327]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764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[-0.0595; -0.0327] </w:t>
            </w:r>
          </w:p>
        </w:tc>
      </w:tr>
      <w:tr w:rsidR="00FF7D73" w:rsidRPr="00FF7D73" w14:paraId="38630DA6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2415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: Hispanic population share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047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0.0257*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CE2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0.0263*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B41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0.0263*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742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0.0258*</w:t>
            </w:r>
          </w:p>
        </w:tc>
      </w:tr>
      <w:tr w:rsidR="00FF7D73" w:rsidRPr="00FF7D73" w14:paraId="73C2514A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763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FED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[ 0.0129;0.0386]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3B7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[ 0.0134;0.0392]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3BA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[ 0.0134;0.0391]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B11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[ 0.0130;0.0386] </w:t>
            </w:r>
          </w:p>
        </w:tc>
      </w:tr>
      <w:tr w:rsidR="00FF7D73" w:rsidRPr="00FF7D73" w14:paraId="6E0BFA45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8716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: Other Minorities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0C9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0.0794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EBA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0.0789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FD8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0.079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C1D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0.0767</w:t>
            </w:r>
          </w:p>
        </w:tc>
      </w:tr>
      <w:tr w:rsidR="00FF7D73" w:rsidRPr="00FF7D73" w14:paraId="54048DFB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11F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15F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[-0.0648;0.2236]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410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[-0.0652;0.2230]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82E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[-0.0652;0.2231]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1F4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[-0.0674;0.2209] </w:t>
            </w:r>
          </w:p>
        </w:tc>
      </w:tr>
      <w:tr w:rsidR="00FF7D73" w:rsidRPr="00FF7D73" w14:paraId="67E3DBDD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AFF2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Physical Activity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C7F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-0.4807*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C5B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-0.4803*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0B8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-0.4803*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A1B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-0.4803* </w:t>
            </w:r>
          </w:p>
        </w:tc>
      </w:tr>
      <w:tr w:rsidR="00FF7D73" w:rsidRPr="00FF7D73" w14:paraId="5DCD5A52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A1F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BA0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[-0.5048; -0.4566]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59D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[-0.5044; -0.4561]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07D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[-0.5044; -0.4562]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B96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[-0.5044; -0.4562] </w:t>
            </w:r>
          </w:p>
        </w:tc>
      </w:tr>
      <w:tr w:rsidR="00FF7D73" w:rsidRPr="00FF7D73" w14:paraId="3CBB8255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DFD2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𝛾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: Physical Activity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419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0.018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666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0.0195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CB5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0.0194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E853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0.0173</w:t>
            </w:r>
          </w:p>
        </w:tc>
      </w:tr>
      <w:tr w:rsidR="00FF7D73" w:rsidRPr="00FF7D73" w14:paraId="2DDD130B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C9F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4027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[-0.0397;0.0757]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0B3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[-0.0383;0.0772]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E86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[-0.0383;0.0772]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D1E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[-0.0404;0.0750] </w:t>
            </w:r>
          </w:p>
        </w:tc>
      </w:tr>
      <w:tr w:rsidR="00FF7D73" w:rsidRPr="00FF7D73" w14:paraId="2E39F321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4B6A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Accessibility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E0B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E4E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-0.0349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C3A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-0.0352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544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-0.263</w:t>
            </w:r>
          </w:p>
        </w:tc>
      </w:tr>
      <w:tr w:rsidR="00FF7D73" w:rsidRPr="00FF7D73" w14:paraId="2736D7EE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F4B6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94A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914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[-0.1095;0.0397]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56B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[-0.1129;0.0425]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8E7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[-0.6491;0.1232] </w:t>
            </w:r>
          </w:p>
        </w:tc>
      </w:tr>
      <w:tr w:rsidR="00FF7D73" w:rsidRPr="00FF7D73" w14:paraId="2CC3E5F2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97BB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eastAsia="zh-CN"/>
              </w:rPr>
              <w:t>𝜆</w:t>
            </w: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: spatial correlation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CBB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0.8363*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B274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0.8357*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BB8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0.8360*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C92F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0.8361*</w:t>
            </w:r>
          </w:p>
        </w:tc>
      </w:tr>
      <w:tr w:rsidR="00FF7D73" w:rsidRPr="00FF7D73" w14:paraId="3C4937E9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2E88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0B6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[ 0.8101;0.8625]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026C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[ 0.8094;0.8620]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D62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[ 0.8098;0.8622] 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809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 [ 0.8099;0.8624] </w:t>
            </w:r>
          </w:p>
        </w:tc>
      </w:tr>
      <w:tr w:rsidR="00FF7D73" w:rsidRPr="00FF7D73" w14:paraId="2C9DCBB6" w14:textId="77777777" w:rsidTr="00FF7D73">
        <w:trPr>
          <w:trHeight w:val="320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C6AD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Num. obs.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BD4D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26BE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2099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EC9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2099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2A3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2099</w:t>
            </w:r>
          </w:p>
        </w:tc>
      </w:tr>
      <w:tr w:rsidR="00FF7D73" w:rsidRPr="00FF7D73" w14:paraId="2D7A5888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DA63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Parameters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D690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40E9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E20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9635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30</w:t>
            </w:r>
          </w:p>
        </w:tc>
      </w:tr>
      <w:tr w:rsidR="00FF7D73" w:rsidRPr="00FF7D73" w14:paraId="64B88E50" w14:textId="77777777" w:rsidTr="00FF7D7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14D3" w14:textId="77777777" w:rsidR="00FF7D73" w:rsidRPr="00FF7D73" w:rsidRDefault="00FF7D73" w:rsidP="00FF7D7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Log Likelihood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2BE1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-3114.3931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25CBB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-3113.9742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C4182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-3113.9998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9EE51" w14:textId="77777777" w:rsidR="00FF7D73" w:rsidRPr="00FF7D73" w:rsidRDefault="00FF7D73" w:rsidP="00FF7D73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F7D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-3113.5028</w:t>
            </w:r>
          </w:p>
        </w:tc>
      </w:tr>
    </w:tbl>
    <w:p w14:paraId="068D0CC6" w14:textId="77777777" w:rsidR="008F3E24" w:rsidRPr="008F3E24" w:rsidRDefault="008F3E24" w:rsidP="008F3E24">
      <w:pPr>
        <w:pStyle w:val="BodyText"/>
        <w:rPr>
          <w:rFonts w:ascii="Times New Roman" w:hAnsi="Times New Roman" w:cs="Times New Roman"/>
          <w:sz w:val="16"/>
          <w:szCs w:val="16"/>
        </w:rPr>
      </w:pPr>
      <w:r w:rsidRPr="008F3E24">
        <w:rPr>
          <w:rFonts w:ascii="Times New Roman" w:hAnsi="Times New Roman" w:cs="Times New Roman"/>
          <w:sz w:val="16"/>
          <w:szCs w:val="16"/>
        </w:rPr>
        <w:t>* zero is outside the outside the confidence interval. 95% confidence interval in brackets</w:t>
      </w:r>
    </w:p>
    <w:p w14:paraId="7897DF26" w14:textId="77777777" w:rsidR="00FF7D73" w:rsidRPr="00FF7D73" w:rsidRDefault="00FF7D73" w:rsidP="00FF7D73">
      <w:pPr>
        <w:pStyle w:val="BodyText"/>
      </w:pPr>
    </w:p>
    <w:sectPr w:rsidR="00FF7D73" w:rsidRPr="00FF7D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4E780" w14:textId="77777777" w:rsidR="00A00409" w:rsidRDefault="00A00409">
      <w:pPr>
        <w:spacing w:after="0"/>
      </w:pPr>
      <w:r>
        <w:separator/>
      </w:r>
    </w:p>
  </w:endnote>
  <w:endnote w:type="continuationSeparator" w:id="0">
    <w:p w14:paraId="4D7D3F3F" w14:textId="77777777" w:rsidR="00A00409" w:rsidRDefault="00A00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6B6C4" w14:textId="77777777" w:rsidR="00A00409" w:rsidRDefault="00A00409">
      <w:r>
        <w:separator/>
      </w:r>
    </w:p>
  </w:footnote>
  <w:footnote w:type="continuationSeparator" w:id="0">
    <w:p w14:paraId="648134C1" w14:textId="77777777" w:rsidR="00A00409" w:rsidRDefault="00A00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0CA4B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72B7"/>
    <w:rsid w:val="004E29B3"/>
    <w:rsid w:val="00590D07"/>
    <w:rsid w:val="00784D58"/>
    <w:rsid w:val="008D6863"/>
    <w:rsid w:val="008F3E24"/>
    <w:rsid w:val="00A00409"/>
    <w:rsid w:val="00B86B75"/>
    <w:rsid w:val="00BC48D5"/>
    <w:rsid w:val="00C36279"/>
    <w:rsid w:val="00E315A3"/>
    <w:rsid w:val="00F51E67"/>
    <w:rsid w:val="00FF7D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FC0F3"/>
  <w15:docId w15:val="{458A8BC2-F7D1-8F44-98A9-EFDA1D38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1304</Words>
  <Characters>7437</Characters>
  <Application>Microsoft Office Word</Application>
  <DocSecurity>0</DocSecurity>
  <Lines>61</Lines>
  <Paragraphs>17</Paragraphs>
  <ScaleCrop>false</ScaleCrop>
  <Company>Brigham Young University</Company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Greg Macfarlane</cp:lastModifiedBy>
  <cp:revision>4</cp:revision>
  <dcterms:created xsi:type="dcterms:W3CDTF">2020-07-07T16:03:00Z</dcterms:created>
  <dcterms:modified xsi:type="dcterms:W3CDTF">2020-07-07T16:21:00Z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