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376" w:rsidRDefault="00F835E5">
      <w:r>
        <w:t>Comptages cyclistes 2024</w:t>
      </w:r>
    </w:p>
    <w:p w:rsidR="00F835E5" w:rsidRDefault="00F835E5">
      <w:r>
        <w:t xml:space="preserve">Le 28 mai 2024, comme chaque année à cette même période, des dizaines de bénévoles de plusieurs associations suisses et françaises se sont levés aux aurores pour compter les cyclistes, parfois aussi les piétons et autres engins, sur le vaste territoire du </w:t>
      </w:r>
      <w:r w:rsidR="009A56CB">
        <w:t>Grand Genève</w:t>
      </w:r>
      <w:r>
        <w:t xml:space="preserve"> ! </w:t>
      </w:r>
    </w:p>
    <w:p w:rsidR="00F835E5" w:rsidRDefault="00F835E5">
      <w:r>
        <w:t>Pour le compte de CiCLA</w:t>
      </w:r>
      <w:r w:rsidR="009A56CB">
        <w:t>BLE</w:t>
      </w:r>
      <w:r w:rsidR="00F55F1B">
        <w:t>,</w:t>
      </w:r>
      <w:r w:rsidR="00FE09E0">
        <w:t xml:space="preserve"> </w:t>
      </w:r>
      <w:r w:rsidR="00235CEB" w:rsidRPr="00686931">
        <w:rPr>
          <w:color w:val="FF0000"/>
        </w:rPr>
        <w:t xml:space="preserve">32 </w:t>
      </w:r>
      <w:r w:rsidR="00235CEB">
        <w:t xml:space="preserve">de postes de comptages, dont 18 </w:t>
      </w:r>
      <w:r w:rsidR="00F55F1B">
        <w:t>postes douaniers,</w:t>
      </w:r>
      <w:r w:rsidR="00235CEB">
        <w:t xml:space="preserve"> ont été couverts pour observer les flux de cyclistes. Les comptages ont été réalisés le matin dans un créneau correspondant à l’heure de pointe ; les flux vont donc massivement vers le centre de Genève. </w:t>
      </w:r>
    </w:p>
    <w:p w:rsidR="00686931" w:rsidRDefault="00235CEB">
      <w:r>
        <w:t xml:space="preserve">Alors que révèlent les chiffres cette année ? </w:t>
      </w:r>
      <w:r w:rsidR="00686931" w:rsidRPr="00686931">
        <w:rPr>
          <w:b/>
        </w:rPr>
        <w:t>8983</w:t>
      </w:r>
      <w:r w:rsidR="00686931">
        <w:t>, c’est le nombre de personnes cyclistes comptées, sans distinction de genre, comprenant les adultes et les enfants. A noté que les enfants comptés so</w:t>
      </w:r>
      <w:r w:rsidR="009A56CB">
        <w:t>nt transportés par les adultes</w:t>
      </w:r>
      <w:r w:rsidR="00686931">
        <w:t xml:space="preserve">. </w:t>
      </w:r>
    </w:p>
    <w:p w:rsidR="00235CEB" w:rsidRDefault="00F55F1B">
      <w:r>
        <w:t xml:space="preserve">En se focalisant uniquement sur les vélos mécaniques, on observe que les hommes sont majoritaires avec une représentation de deux tiers des cyclistes. </w:t>
      </w:r>
      <w:r w:rsidR="00574B1F">
        <w:t>Alors qu’</w:t>
      </w:r>
      <w:r w:rsidR="00775DF2">
        <w:t>à</w:t>
      </w:r>
      <w:bookmarkStart w:id="0" w:name="_GoBack"/>
      <w:bookmarkEnd w:id="0"/>
      <w:r w:rsidR="00574B1F">
        <w:t xml:space="preserve"> vélo à assistance électrique </w:t>
      </w:r>
      <w:r w:rsidR="00911CB7">
        <w:t>(</w:t>
      </w:r>
      <w:r w:rsidR="00574B1F">
        <w:t>VAE</w:t>
      </w:r>
      <w:r w:rsidR="00911CB7">
        <w:t>)</w:t>
      </w:r>
      <w:r w:rsidR="00574B1F">
        <w:t xml:space="preserve">, la parité est de mise (54% d’hommes et 45% de femmes). </w:t>
      </w:r>
    </w:p>
    <w:tbl>
      <w:tblPr>
        <w:tblW w:w="5260" w:type="dxa"/>
        <w:tblCellMar>
          <w:left w:w="70" w:type="dxa"/>
          <w:right w:w="70" w:type="dxa"/>
        </w:tblCellMar>
        <w:tblLook w:val="04A0" w:firstRow="1" w:lastRow="0" w:firstColumn="1" w:lastColumn="0" w:noHBand="0" w:noVBand="1"/>
      </w:tblPr>
      <w:tblGrid>
        <w:gridCol w:w="2400"/>
        <w:gridCol w:w="1300"/>
        <w:gridCol w:w="806"/>
        <w:gridCol w:w="846"/>
      </w:tblGrid>
      <w:tr w:rsidR="00C20493" w:rsidRPr="00C20493" w:rsidTr="00C20493">
        <w:trPr>
          <w:trHeight w:val="285"/>
        </w:trPr>
        <w:tc>
          <w:tcPr>
            <w:tcW w:w="2400" w:type="dxa"/>
            <w:tcBorders>
              <w:top w:val="single" w:sz="8" w:space="0" w:color="5B9BD5"/>
              <w:left w:val="single" w:sz="8" w:space="0" w:color="5B9BD5"/>
              <w:bottom w:val="single" w:sz="4" w:space="0" w:color="FFFFFF"/>
              <w:right w:val="single" w:sz="4" w:space="0" w:color="5B9BD5"/>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 par type de vélo</w:t>
            </w:r>
          </w:p>
        </w:tc>
        <w:tc>
          <w:tcPr>
            <w:tcW w:w="1300" w:type="dxa"/>
            <w:tcBorders>
              <w:top w:val="single" w:sz="8" w:space="0" w:color="5B9BD5"/>
              <w:left w:val="nil"/>
              <w:bottom w:val="single" w:sz="4" w:space="0" w:color="FFFFFF"/>
              <w:right w:val="nil"/>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personnes</w:t>
            </w:r>
          </w:p>
        </w:tc>
        <w:tc>
          <w:tcPr>
            <w:tcW w:w="760" w:type="dxa"/>
            <w:tcBorders>
              <w:top w:val="single" w:sz="8" w:space="0" w:color="5B9BD5"/>
              <w:left w:val="nil"/>
              <w:bottom w:val="single" w:sz="4" w:space="0" w:color="FFFFFF"/>
              <w:right w:val="nil"/>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b/>
                <w:bCs/>
                <w:color w:val="000000"/>
                <w:lang w:eastAsia="fr-CH"/>
              </w:rPr>
            </w:pPr>
          </w:p>
        </w:tc>
        <w:tc>
          <w:tcPr>
            <w:tcW w:w="800" w:type="dxa"/>
            <w:tcBorders>
              <w:top w:val="single" w:sz="8" w:space="0" w:color="5B9BD5"/>
              <w:left w:val="nil"/>
              <w:bottom w:val="single" w:sz="4" w:space="0" w:color="FFFFFF"/>
              <w:right w:val="nil"/>
            </w:tcBorders>
            <w:shd w:val="clear" w:color="auto" w:fill="auto"/>
            <w:noWrap/>
            <w:vAlign w:val="bottom"/>
            <w:hideMark/>
          </w:tcPr>
          <w:p w:rsidR="00C20493" w:rsidRPr="00C20493" w:rsidRDefault="00C20493" w:rsidP="00C20493">
            <w:pPr>
              <w:spacing w:after="0" w:line="240" w:lineRule="auto"/>
              <w:rPr>
                <w:rFonts w:ascii="Times New Roman" w:eastAsia="Times New Roman" w:hAnsi="Times New Roman" w:cs="Times New Roman"/>
                <w:sz w:val="20"/>
                <w:szCs w:val="20"/>
                <w:lang w:eastAsia="fr-CH"/>
              </w:rPr>
            </w:pPr>
          </w:p>
        </w:tc>
      </w:tr>
      <w:tr w:rsidR="00C20493" w:rsidRPr="00C20493" w:rsidTr="00C20493">
        <w:trPr>
          <w:trHeight w:val="285"/>
        </w:trPr>
        <w:tc>
          <w:tcPr>
            <w:tcW w:w="2400" w:type="dxa"/>
            <w:tcBorders>
              <w:top w:val="single" w:sz="4" w:space="0" w:color="FFFFFF"/>
              <w:left w:val="single" w:sz="8" w:space="0" w:color="5B9BD5"/>
              <w:bottom w:val="single" w:sz="8" w:space="0" w:color="5B9BD5"/>
              <w:right w:val="single" w:sz="4" w:space="0" w:color="5B9BD5"/>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Modalité de transport</w:t>
            </w:r>
          </w:p>
        </w:tc>
        <w:tc>
          <w:tcPr>
            <w:tcW w:w="1300" w:type="dxa"/>
            <w:tcBorders>
              <w:top w:val="single" w:sz="4" w:space="0" w:color="FFFFFF"/>
              <w:left w:val="nil"/>
              <w:bottom w:val="single" w:sz="8" w:space="0" w:color="5B9BD5"/>
              <w:right w:val="nil"/>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enfant</w:t>
            </w:r>
          </w:p>
        </w:tc>
        <w:tc>
          <w:tcPr>
            <w:tcW w:w="760" w:type="dxa"/>
            <w:tcBorders>
              <w:top w:val="single" w:sz="4" w:space="0" w:color="FFFFFF"/>
              <w:left w:val="nil"/>
              <w:bottom w:val="single" w:sz="8" w:space="0" w:color="5B9BD5"/>
              <w:right w:val="nil"/>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femme</w:t>
            </w:r>
          </w:p>
        </w:tc>
        <w:tc>
          <w:tcPr>
            <w:tcW w:w="800" w:type="dxa"/>
            <w:tcBorders>
              <w:top w:val="single" w:sz="4" w:space="0" w:color="FFFFFF"/>
              <w:left w:val="nil"/>
              <w:bottom w:val="single" w:sz="8" w:space="0" w:color="5B9BD5"/>
              <w:right w:val="nil"/>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homme</w:t>
            </w:r>
          </w:p>
        </w:tc>
      </w:tr>
      <w:tr w:rsidR="00C20493" w:rsidRPr="00C20493" w:rsidTr="00C20493">
        <w:trPr>
          <w:trHeight w:val="285"/>
        </w:trPr>
        <w:tc>
          <w:tcPr>
            <w:tcW w:w="2400" w:type="dxa"/>
            <w:tcBorders>
              <w:top w:val="single" w:sz="4" w:space="0" w:color="DDEBF7"/>
              <w:left w:val="nil"/>
              <w:bottom w:val="single" w:sz="4" w:space="0" w:color="DDEBF7"/>
              <w:right w:val="single" w:sz="4" w:space="0" w:color="5B9BD5"/>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color w:val="2F75B5"/>
                <w:lang w:eastAsia="fr-CH"/>
              </w:rPr>
            </w:pPr>
            <w:r w:rsidRPr="00C20493">
              <w:rPr>
                <w:rFonts w:ascii="Calibri" w:eastAsia="Times New Roman" w:hAnsi="Calibri" w:cs="Calibri"/>
                <w:color w:val="2F75B5"/>
                <w:lang w:eastAsia="fr-CH"/>
              </w:rPr>
              <w:t>cargo/remorque indistinct</w:t>
            </w:r>
          </w:p>
        </w:tc>
        <w:tc>
          <w:tcPr>
            <w:tcW w:w="1300" w:type="dxa"/>
            <w:tcBorders>
              <w:top w:val="single" w:sz="4" w:space="0" w:color="DDEBF7"/>
              <w:left w:val="nil"/>
              <w:bottom w:val="single" w:sz="4" w:space="0" w:color="DDEBF7"/>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color w:val="2F75B5"/>
                <w:lang w:eastAsia="fr-CH"/>
              </w:rPr>
            </w:pPr>
            <w:r w:rsidRPr="00C20493">
              <w:rPr>
                <w:rFonts w:ascii="Calibri" w:eastAsia="Times New Roman" w:hAnsi="Calibri" w:cs="Calibri"/>
                <w:color w:val="2F75B5"/>
                <w:lang w:eastAsia="fr-CH"/>
              </w:rPr>
              <w:t>20.94%</w:t>
            </w:r>
          </w:p>
        </w:tc>
        <w:tc>
          <w:tcPr>
            <w:tcW w:w="760" w:type="dxa"/>
            <w:tcBorders>
              <w:top w:val="single" w:sz="4" w:space="0" w:color="DDEBF7"/>
              <w:left w:val="nil"/>
              <w:bottom w:val="single" w:sz="4" w:space="0" w:color="DDEBF7"/>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color w:val="2F75B5"/>
                <w:lang w:eastAsia="fr-CH"/>
              </w:rPr>
            </w:pPr>
            <w:r w:rsidRPr="00C20493">
              <w:rPr>
                <w:rFonts w:ascii="Calibri" w:eastAsia="Times New Roman" w:hAnsi="Calibri" w:cs="Calibri"/>
                <w:color w:val="2F75B5"/>
                <w:lang w:eastAsia="fr-CH"/>
              </w:rPr>
              <w:t>43.65%</w:t>
            </w:r>
          </w:p>
        </w:tc>
        <w:tc>
          <w:tcPr>
            <w:tcW w:w="800" w:type="dxa"/>
            <w:tcBorders>
              <w:top w:val="single" w:sz="4" w:space="0" w:color="DDEBF7"/>
              <w:left w:val="nil"/>
              <w:bottom w:val="single" w:sz="4" w:space="0" w:color="DDEBF7"/>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color w:val="2F75B5"/>
                <w:lang w:eastAsia="fr-CH"/>
              </w:rPr>
            </w:pPr>
            <w:r w:rsidRPr="00C20493">
              <w:rPr>
                <w:rFonts w:ascii="Calibri" w:eastAsia="Times New Roman" w:hAnsi="Calibri" w:cs="Calibri"/>
                <w:color w:val="2F75B5"/>
                <w:lang w:eastAsia="fr-CH"/>
              </w:rPr>
              <w:t>35.41%</w:t>
            </w:r>
          </w:p>
        </w:tc>
      </w:tr>
      <w:tr w:rsidR="00C20493" w:rsidRPr="00C20493" w:rsidTr="00C20493">
        <w:trPr>
          <w:trHeight w:val="285"/>
        </w:trPr>
        <w:tc>
          <w:tcPr>
            <w:tcW w:w="2400" w:type="dxa"/>
            <w:tcBorders>
              <w:top w:val="single" w:sz="4" w:space="0" w:color="DDEBF7"/>
              <w:left w:val="nil"/>
              <w:bottom w:val="single" w:sz="4" w:space="0" w:color="DDEBF7"/>
              <w:right w:val="single" w:sz="4" w:space="0" w:color="5B9BD5"/>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color w:val="2F75B5"/>
                <w:lang w:eastAsia="fr-CH"/>
              </w:rPr>
            </w:pPr>
            <w:r w:rsidRPr="00C20493">
              <w:rPr>
                <w:rFonts w:ascii="Calibri" w:eastAsia="Times New Roman" w:hAnsi="Calibri" w:cs="Calibri"/>
                <w:color w:val="2F75B5"/>
                <w:lang w:eastAsia="fr-CH"/>
              </w:rPr>
              <w:t>VAE</w:t>
            </w:r>
          </w:p>
        </w:tc>
        <w:tc>
          <w:tcPr>
            <w:tcW w:w="1300" w:type="dxa"/>
            <w:tcBorders>
              <w:top w:val="single" w:sz="4" w:space="0" w:color="DDEBF7"/>
              <w:left w:val="nil"/>
              <w:bottom w:val="single" w:sz="4" w:space="0" w:color="DDEBF7"/>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color w:val="2F75B5"/>
                <w:lang w:eastAsia="fr-CH"/>
              </w:rPr>
            </w:pPr>
            <w:r w:rsidRPr="00C20493">
              <w:rPr>
                <w:rFonts w:ascii="Calibri" w:eastAsia="Times New Roman" w:hAnsi="Calibri" w:cs="Calibri"/>
                <w:color w:val="2F75B5"/>
                <w:lang w:eastAsia="fr-CH"/>
              </w:rPr>
              <w:t>0.39%</w:t>
            </w:r>
          </w:p>
        </w:tc>
        <w:tc>
          <w:tcPr>
            <w:tcW w:w="760" w:type="dxa"/>
            <w:tcBorders>
              <w:top w:val="single" w:sz="4" w:space="0" w:color="DDEBF7"/>
              <w:left w:val="nil"/>
              <w:bottom w:val="single" w:sz="4" w:space="0" w:color="DDEBF7"/>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color w:val="2F75B5"/>
                <w:lang w:eastAsia="fr-CH"/>
              </w:rPr>
            </w:pPr>
            <w:r w:rsidRPr="00C20493">
              <w:rPr>
                <w:rFonts w:ascii="Calibri" w:eastAsia="Times New Roman" w:hAnsi="Calibri" w:cs="Calibri"/>
                <w:color w:val="2F75B5"/>
                <w:lang w:eastAsia="fr-CH"/>
              </w:rPr>
              <w:t>44.85%</w:t>
            </w:r>
          </w:p>
        </w:tc>
        <w:tc>
          <w:tcPr>
            <w:tcW w:w="800" w:type="dxa"/>
            <w:tcBorders>
              <w:top w:val="single" w:sz="4" w:space="0" w:color="DDEBF7"/>
              <w:left w:val="nil"/>
              <w:bottom w:val="single" w:sz="4" w:space="0" w:color="DDEBF7"/>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color w:val="2F75B5"/>
                <w:lang w:eastAsia="fr-CH"/>
              </w:rPr>
            </w:pPr>
            <w:r w:rsidRPr="00C20493">
              <w:rPr>
                <w:rFonts w:ascii="Calibri" w:eastAsia="Times New Roman" w:hAnsi="Calibri" w:cs="Calibri"/>
                <w:color w:val="2F75B5"/>
                <w:lang w:eastAsia="fr-CH"/>
              </w:rPr>
              <w:t>54.76%</w:t>
            </w:r>
          </w:p>
        </w:tc>
      </w:tr>
      <w:tr w:rsidR="00C20493" w:rsidRPr="00C20493" w:rsidTr="00C20493">
        <w:trPr>
          <w:trHeight w:val="285"/>
        </w:trPr>
        <w:tc>
          <w:tcPr>
            <w:tcW w:w="2400" w:type="dxa"/>
            <w:tcBorders>
              <w:top w:val="single" w:sz="4" w:space="0" w:color="DDEBF7"/>
              <w:left w:val="nil"/>
              <w:bottom w:val="single" w:sz="4" w:space="0" w:color="DDEBF7"/>
              <w:right w:val="single" w:sz="4" w:space="0" w:color="5B9BD5"/>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color w:val="2F75B5"/>
                <w:lang w:eastAsia="fr-CH"/>
              </w:rPr>
            </w:pPr>
            <w:r w:rsidRPr="00C20493">
              <w:rPr>
                <w:rFonts w:ascii="Calibri" w:eastAsia="Times New Roman" w:hAnsi="Calibri" w:cs="Calibri"/>
                <w:color w:val="2F75B5"/>
                <w:lang w:eastAsia="fr-CH"/>
              </w:rPr>
              <w:t>vélo mécanique</w:t>
            </w:r>
          </w:p>
        </w:tc>
        <w:tc>
          <w:tcPr>
            <w:tcW w:w="1300" w:type="dxa"/>
            <w:tcBorders>
              <w:top w:val="single" w:sz="4" w:space="0" w:color="DDEBF7"/>
              <w:left w:val="nil"/>
              <w:bottom w:val="single" w:sz="4" w:space="0" w:color="DDEBF7"/>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color w:val="2F75B5"/>
                <w:lang w:eastAsia="fr-CH"/>
              </w:rPr>
            </w:pPr>
            <w:r w:rsidRPr="00C20493">
              <w:rPr>
                <w:rFonts w:ascii="Calibri" w:eastAsia="Times New Roman" w:hAnsi="Calibri" w:cs="Calibri"/>
                <w:color w:val="2F75B5"/>
                <w:lang w:eastAsia="fr-CH"/>
              </w:rPr>
              <w:t>5.98%</w:t>
            </w:r>
          </w:p>
        </w:tc>
        <w:tc>
          <w:tcPr>
            <w:tcW w:w="760" w:type="dxa"/>
            <w:tcBorders>
              <w:top w:val="single" w:sz="4" w:space="0" w:color="DDEBF7"/>
              <w:left w:val="nil"/>
              <w:bottom w:val="single" w:sz="4" w:space="0" w:color="DDEBF7"/>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color w:val="2F75B5"/>
                <w:lang w:eastAsia="fr-CH"/>
              </w:rPr>
            </w:pPr>
            <w:r w:rsidRPr="00C20493">
              <w:rPr>
                <w:rFonts w:ascii="Calibri" w:eastAsia="Times New Roman" w:hAnsi="Calibri" w:cs="Calibri"/>
                <w:color w:val="2F75B5"/>
                <w:lang w:eastAsia="fr-CH"/>
              </w:rPr>
              <w:t>25.68%</w:t>
            </w:r>
          </w:p>
        </w:tc>
        <w:tc>
          <w:tcPr>
            <w:tcW w:w="800" w:type="dxa"/>
            <w:tcBorders>
              <w:top w:val="single" w:sz="4" w:space="0" w:color="DDEBF7"/>
              <w:left w:val="nil"/>
              <w:bottom w:val="single" w:sz="4" w:space="0" w:color="DDEBF7"/>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color w:val="2F75B5"/>
                <w:lang w:eastAsia="fr-CH"/>
              </w:rPr>
            </w:pPr>
            <w:r w:rsidRPr="00C20493">
              <w:rPr>
                <w:rFonts w:ascii="Calibri" w:eastAsia="Times New Roman" w:hAnsi="Calibri" w:cs="Calibri"/>
                <w:color w:val="2F75B5"/>
                <w:lang w:eastAsia="fr-CH"/>
              </w:rPr>
              <w:t>68.34%</w:t>
            </w:r>
          </w:p>
        </w:tc>
      </w:tr>
      <w:tr w:rsidR="00C20493" w:rsidRPr="00C20493" w:rsidTr="00C20493">
        <w:trPr>
          <w:trHeight w:val="285"/>
        </w:trPr>
        <w:tc>
          <w:tcPr>
            <w:tcW w:w="2400" w:type="dxa"/>
            <w:tcBorders>
              <w:top w:val="single" w:sz="8" w:space="0" w:color="5B9BD5"/>
              <w:left w:val="single" w:sz="8" w:space="0" w:color="5B9BD5"/>
              <w:bottom w:val="single" w:sz="8" w:space="0" w:color="5B9BD5"/>
              <w:right w:val="single" w:sz="4" w:space="0" w:color="5B9BD5"/>
            </w:tcBorders>
            <w:shd w:val="clear" w:color="auto" w:fill="auto"/>
            <w:noWrap/>
            <w:vAlign w:val="bottom"/>
            <w:hideMark/>
          </w:tcPr>
          <w:p w:rsidR="00C20493" w:rsidRPr="00C20493" w:rsidRDefault="00C20493" w:rsidP="00C20493">
            <w:pPr>
              <w:spacing w:after="0" w:line="240" w:lineRule="auto"/>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Total général</w:t>
            </w:r>
          </w:p>
        </w:tc>
        <w:tc>
          <w:tcPr>
            <w:tcW w:w="1300" w:type="dxa"/>
            <w:tcBorders>
              <w:top w:val="single" w:sz="8" w:space="0" w:color="5B9BD5"/>
              <w:left w:val="nil"/>
              <w:bottom w:val="single" w:sz="8" w:space="0" w:color="5B9BD5"/>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4.14%</w:t>
            </w:r>
          </w:p>
        </w:tc>
        <w:tc>
          <w:tcPr>
            <w:tcW w:w="760" w:type="dxa"/>
            <w:tcBorders>
              <w:top w:val="single" w:sz="8" w:space="0" w:color="5B9BD5"/>
              <w:left w:val="nil"/>
              <w:bottom w:val="single" w:sz="8" w:space="0" w:color="5B9BD5"/>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35.26%</w:t>
            </w:r>
          </w:p>
        </w:tc>
        <w:tc>
          <w:tcPr>
            <w:tcW w:w="800" w:type="dxa"/>
            <w:tcBorders>
              <w:top w:val="single" w:sz="8" w:space="0" w:color="5B9BD5"/>
              <w:left w:val="nil"/>
              <w:bottom w:val="single" w:sz="8" w:space="0" w:color="5B9BD5"/>
              <w:right w:val="nil"/>
            </w:tcBorders>
            <w:shd w:val="clear" w:color="auto" w:fill="auto"/>
            <w:noWrap/>
            <w:vAlign w:val="bottom"/>
            <w:hideMark/>
          </w:tcPr>
          <w:p w:rsidR="00C20493" w:rsidRPr="00C20493" w:rsidRDefault="00C20493" w:rsidP="00C20493">
            <w:pPr>
              <w:spacing w:after="0" w:line="240" w:lineRule="auto"/>
              <w:jc w:val="right"/>
              <w:rPr>
                <w:rFonts w:ascii="Calibri" w:eastAsia="Times New Roman" w:hAnsi="Calibri" w:cs="Calibri"/>
                <w:b/>
                <w:bCs/>
                <w:color w:val="000000"/>
                <w:lang w:eastAsia="fr-CH"/>
              </w:rPr>
            </w:pPr>
            <w:r w:rsidRPr="00C20493">
              <w:rPr>
                <w:rFonts w:ascii="Calibri" w:eastAsia="Times New Roman" w:hAnsi="Calibri" w:cs="Calibri"/>
                <w:b/>
                <w:bCs/>
                <w:color w:val="000000"/>
                <w:lang w:eastAsia="fr-CH"/>
              </w:rPr>
              <w:t>60.61%</w:t>
            </w:r>
          </w:p>
        </w:tc>
      </w:tr>
    </w:tbl>
    <w:p w:rsidR="00C20493" w:rsidRDefault="00C20493"/>
    <w:p w:rsidR="00F55F1B" w:rsidRDefault="00F55F1B">
      <w:r>
        <w:t>En se penchant un peu plus près</w:t>
      </w:r>
      <w:r w:rsidR="00686931">
        <w:t xml:space="preserve"> sur les différents types de vélos, on observe q</w:t>
      </w:r>
      <w:r w:rsidR="00911CB7">
        <w:t>ue les femmes utilisent plus le VAE que le vélo mécan</w:t>
      </w:r>
      <w:r w:rsidR="009A56CB">
        <w:t xml:space="preserve">ique. Cette différence </w:t>
      </w:r>
      <w:proofErr w:type="spellStart"/>
      <w:r w:rsidR="009A56CB">
        <w:t>genrée</w:t>
      </w:r>
      <w:proofErr w:type="spellEnd"/>
      <w:r w:rsidR="009A56CB">
        <w:t xml:space="preserve"> de l’usage du</w:t>
      </w:r>
      <w:r w:rsidR="00911CB7">
        <w:t xml:space="preserve"> type de vélo et de la présence dans l’espace publique peut s’expliquer en partie par le manque d’infrastructures sécurisées</w:t>
      </w:r>
      <w:r w:rsidR="009A56CB">
        <w:t>. C</w:t>
      </w:r>
      <w:r w:rsidR="00911CB7">
        <w:t xml:space="preserve">ombiné avec le fait que le transport des enfants reste </w:t>
      </w:r>
      <w:r w:rsidR="009A56CB">
        <w:t xml:space="preserve">encore </w:t>
      </w:r>
      <w:r w:rsidR="00911CB7">
        <w:t xml:space="preserve">en grande partie à la </w:t>
      </w:r>
      <w:r w:rsidR="009A56CB">
        <w:t xml:space="preserve">charge des femmes, on peut aisément comprendre que le report modal vers le vélo reste difficile pour celles-ci si les trajets ne sont pas sécures tout le long de leur parcours. </w:t>
      </w:r>
    </w:p>
    <w:p w:rsidR="00F55F1B" w:rsidRDefault="00AE2DB5">
      <w:r w:rsidRPr="00AE2DB5">
        <w:lastRenderedPageBreak/>
        <w:drawing>
          <wp:inline distT="0" distB="0" distL="0" distR="0" wp14:anchorId="65B4BFD0" wp14:editId="65F6B806">
            <wp:extent cx="5819775" cy="3725246"/>
            <wp:effectExtent l="0" t="0" r="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876334" cy="3761449"/>
                    </a:xfrm>
                    <a:prstGeom prst="rect">
                      <a:avLst/>
                    </a:prstGeom>
                  </pic:spPr>
                </pic:pic>
              </a:graphicData>
            </a:graphic>
          </wp:inline>
        </w:drawing>
      </w:r>
    </w:p>
    <w:p w:rsidR="005413AE" w:rsidRDefault="009A56CB">
      <w:r>
        <w:t>*pourcentage par rapport au total général</w:t>
      </w:r>
    </w:p>
    <w:p w:rsidR="005413AE" w:rsidRDefault="005413AE"/>
    <w:p w:rsidR="005413AE" w:rsidRDefault="005413AE"/>
    <w:p w:rsidR="005413AE" w:rsidRDefault="005413AE"/>
    <w:p w:rsidR="005413AE" w:rsidRDefault="005413AE"/>
    <w:sectPr w:rsidR="005413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5E5"/>
    <w:rsid w:val="001B026F"/>
    <w:rsid w:val="00235447"/>
    <w:rsid w:val="00235CEB"/>
    <w:rsid w:val="005413AE"/>
    <w:rsid w:val="00574B1F"/>
    <w:rsid w:val="00664522"/>
    <w:rsid w:val="00686931"/>
    <w:rsid w:val="00775DF2"/>
    <w:rsid w:val="00823164"/>
    <w:rsid w:val="008C1BDB"/>
    <w:rsid w:val="00911CB7"/>
    <w:rsid w:val="009A56CB"/>
    <w:rsid w:val="00AE2DB5"/>
    <w:rsid w:val="00B03B8D"/>
    <w:rsid w:val="00C20493"/>
    <w:rsid w:val="00D240B1"/>
    <w:rsid w:val="00EE1A31"/>
    <w:rsid w:val="00F55F1B"/>
    <w:rsid w:val="00F835E5"/>
    <w:rsid w:val="00FB5E31"/>
    <w:rsid w:val="00FE09E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3F9B2"/>
  <w15:chartTrackingRefBased/>
  <w15:docId w15:val="{CEAE9469-EA95-4257-B2BA-2372DFF1A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019445">
      <w:bodyDiv w:val="1"/>
      <w:marLeft w:val="0"/>
      <w:marRight w:val="0"/>
      <w:marTop w:val="0"/>
      <w:marBottom w:val="0"/>
      <w:divBdr>
        <w:top w:val="none" w:sz="0" w:space="0" w:color="auto"/>
        <w:left w:val="none" w:sz="0" w:space="0" w:color="auto"/>
        <w:bottom w:val="none" w:sz="0" w:space="0" w:color="auto"/>
        <w:right w:val="none" w:sz="0" w:space="0" w:color="auto"/>
      </w:divBdr>
    </w:div>
    <w:div w:id="824274348">
      <w:bodyDiv w:val="1"/>
      <w:marLeft w:val="0"/>
      <w:marRight w:val="0"/>
      <w:marTop w:val="0"/>
      <w:marBottom w:val="0"/>
      <w:divBdr>
        <w:top w:val="none" w:sz="0" w:space="0" w:color="auto"/>
        <w:left w:val="none" w:sz="0" w:space="0" w:color="auto"/>
        <w:bottom w:val="none" w:sz="0" w:space="0" w:color="auto"/>
        <w:right w:val="none" w:sz="0" w:space="0" w:color="auto"/>
      </w:divBdr>
    </w:div>
    <w:div w:id="1631202177">
      <w:bodyDiv w:val="1"/>
      <w:marLeft w:val="0"/>
      <w:marRight w:val="0"/>
      <w:marTop w:val="0"/>
      <w:marBottom w:val="0"/>
      <w:divBdr>
        <w:top w:val="none" w:sz="0" w:space="0" w:color="auto"/>
        <w:left w:val="none" w:sz="0" w:space="0" w:color="auto"/>
        <w:bottom w:val="none" w:sz="0" w:space="0" w:color="auto"/>
        <w:right w:val="none" w:sz="0" w:space="0" w:color="auto"/>
      </w:divBdr>
    </w:div>
    <w:div w:id="205488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311</Words>
  <Characters>1589</Characters>
  <Application>Microsoft Office Word</Application>
  <DocSecurity>0</DocSecurity>
  <Lines>52</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Vjollca Ahmeti</dc:creator>
  <cp:keywords/>
  <dc:description/>
  <cp:lastModifiedBy>Vjollca Ahmeti</cp:lastModifiedBy>
  <cp:revision>10</cp:revision>
  <dcterms:created xsi:type="dcterms:W3CDTF">2024-08-15T12:26:00Z</dcterms:created>
  <dcterms:modified xsi:type="dcterms:W3CDTF">2024-08-15T15:07:00Z</dcterms:modified>
</cp:coreProperties>
</file>