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1F42E9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1F42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0239" w:rsidRDefault="001F42E9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7D724D">
          <w:rPr>
            <w:noProof/>
          </w:rPr>
          <w:t>February 20,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9B35F9">
        <w:t>9</w:t>
      </w:r>
      <w:r w:rsidR="009B35F9">
        <w:br/>
      </w:r>
      <w:r w:rsidR="009B35F9">
        <w:tab/>
      </w:r>
      <w:proofErr w:type="spellStart"/>
      <w:r w:rsidR="009B35F9">
        <w:t>snowburst</w:t>
      </w:r>
      <w:proofErr w:type="spellEnd"/>
      <w:r w:rsidR="009B35F9">
        <w:t>:</w:t>
      </w:r>
      <w:r w:rsidR="009B35F9"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1F42E9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481CB8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third-party </w:t>
      </w:r>
      <w:r>
        <w:t xml:space="preserve">libraries, i.e. </w:t>
      </w:r>
    </w:p>
    <w:p w:rsidR="00207DDE" w:rsidRDefault="00207DDE" w:rsidP="00207DDE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clapack</w:t>
      </w:r>
      <w:proofErr w:type="spellEnd"/>
      <w:r>
        <w:tab/>
      </w:r>
      <w:r>
        <w:tab/>
        <w:t xml:space="preserve">from </w:t>
      </w:r>
      <w:hyperlink r:id="rId9" w:anchor="build" w:history="1">
        <w:r w:rsidR="00D6364B">
          <w:rPr>
            <w:rStyle w:val="Hyperlink"/>
          </w:rPr>
          <w:t>http://icl.cs.utk.edu/lapack-for-windows/clapack/index.html#build</w:t>
        </w:r>
      </w:hyperlink>
    </w:p>
    <w:p w:rsidR="00481CB8" w:rsidRDefault="00481CB8" w:rsidP="00481CB8">
      <w:pPr>
        <w:pStyle w:val="ListParagraph"/>
        <w:numPr>
          <w:ilvl w:val="0"/>
          <w:numId w:val="14"/>
        </w:numPr>
        <w:spacing w:line="240" w:lineRule="auto"/>
      </w:pPr>
      <w:r>
        <w:t>sundials</w:t>
      </w:r>
      <w:r>
        <w:tab/>
        <w:t xml:space="preserve">from </w:t>
      </w:r>
      <w:hyperlink r:id="rId10" w:history="1">
        <w:r>
          <w:rPr>
            <w:rStyle w:val="Hyperlink"/>
          </w:rPr>
          <w:t>https://computation.llnl.gov/casc/sundials/main.html</w:t>
        </w:r>
      </w:hyperlink>
    </w:p>
    <w:p w:rsidR="00481CB8" w:rsidRPr="00207DDE" w:rsidRDefault="00FC6717" w:rsidP="00481CB8">
      <w:pPr>
        <w:pStyle w:val="ListParagraph"/>
        <w:numPr>
          <w:ilvl w:val="0"/>
          <w:numId w:val="14"/>
        </w:numPr>
        <w:spacing w:line="240" w:lineRule="auto"/>
        <w:rPr>
          <w:lang w:val="sv-SE"/>
        </w:rPr>
      </w:pPr>
      <w:r w:rsidRPr="00207DDE">
        <w:rPr>
          <w:lang w:val="sv-SE"/>
        </w:rPr>
        <w:t>libsbml</w:t>
      </w:r>
      <w:r w:rsidR="00BB297C" w:rsidRPr="00207DDE">
        <w:rPr>
          <w:lang w:val="sv-SE"/>
        </w:rPr>
        <w:t xml:space="preserve"> </w:t>
      </w:r>
      <w:r w:rsidR="00481CB8" w:rsidRPr="00207DDE">
        <w:rPr>
          <w:lang w:val="sv-SE"/>
        </w:rPr>
        <w:tab/>
      </w:r>
      <w:r w:rsidR="00481CB8" w:rsidRPr="00207DDE">
        <w:rPr>
          <w:lang w:val="sv-SE"/>
        </w:rPr>
        <w:tab/>
        <w:t>svn external:</w:t>
      </w:r>
      <w:r w:rsidR="00481CB8" w:rsidRPr="00207DDE">
        <w:rPr>
          <w:lang w:val="sv-SE"/>
        </w:rPr>
        <w:tab/>
        <w:t>https://sbml.svn.sourceforge.net/svnroot/sbml/trunk/libsbml</w:t>
      </w:r>
    </w:p>
    <w:p w:rsidR="00D6364B" w:rsidRPr="00D6364B" w:rsidRDefault="00D6364B" w:rsidP="00481CB8">
      <w:pPr>
        <w:pStyle w:val="ListParagraph"/>
        <w:numPr>
          <w:ilvl w:val="0"/>
          <w:numId w:val="14"/>
        </w:numPr>
        <w:spacing w:line="240" w:lineRule="auto"/>
        <w:rPr>
          <w:lang w:val="sv-SE"/>
        </w:rPr>
      </w:pPr>
      <w:r w:rsidRPr="00D6364B">
        <w:rPr>
          <w:lang w:val="sv-SE"/>
        </w:rPr>
        <w:t>snowburst</w:t>
      </w:r>
      <w:r w:rsidRPr="00D6364B">
        <w:rPr>
          <w:lang w:val="sv-SE"/>
        </w:rPr>
        <w:tab/>
        <w:t xml:space="preserve">svn external: </w:t>
      </w:r>
      <w:r>
        <w:rPr>
          <w:lang w:val="sv-SE"/>
        </w:rPr>
        <w:tab/>
      </w:r>
      <w:r w:rsidRPr="00D6364B">
        <w:rPr>
          <w:lang w:val="sv-SE"/>
        </w:rPr>
        <w:t>https://snowburst.googlecode.com/svn/</w:t>
      </w:r>
    </w:p>
    <w:p w:rsidR="00D6364B" w:rsidRPr="00D6364B" w:rsidRDefault="00481CB8" w:rsidP="00481CB8">
      <w:pPr>
        <w:pStyle w:val="ListParagraph"/>
        <w:numPr>
          <w:ilvl w:val="0"/>
          <w:numId w:val="14"/>
        </w:numPr>
        <w:spacing w:line="240" w:lineRule="auto"/>
      </w:pPr>
      <w:r w:rsidRPr="00D6364B">
        <w:t xml:space="preserve">NOMLib </w:t>
      </w:r>
      <w:r w:rsidR="00D6364B" w:rsidRPr="00D6364B">
        <w:tab/>
        <w:t xml:space="preserve">Created from </w:t>
      </w:r>
      <w:r w:rsidR="00D6364B">
        <w:tab/>
      </w:r>
      <w:proofErr w:type="spellStart"/>
      <w:r w:rsidR="00D6364B">
        <w:t>snowburst</w:t>
      </w:r>
      <w:proofErr w:type="spellEnd"/>
      <w:r w:rsidR="00D6364B">
        <w:t>/</w:t>
      </w:r>
      <w:proofErr w:type="spellStart"/>
      <w:r w:rsidR="00D6364B">
        <w:t>Nomlib</w:t>
      </w:r>
      <w:proofErr w:type="spellEnd"/>
      <w:r w:rsidR="00D6364B">
        <w:t>/</w:t>
      </w:r>
      <w:proofErr w:type="spellStart"/>
      <w:r w:rsidR="00D6364B">
        <w:t>Nomlib</w:t>
      </w:r>
      <w:proofErr w:type="spellEnd"/>
      <w:r w:rsidR="00D6364B">
        <w:t xml:space="preserve"> (see above) </w:t>
      </w:r>
    </w:p>
    <w:p w:rsidR="00481CB8" w:rsidRDefault="00BB297C" w:rsidP="00481CB8">
      <w:pPr>
        <w:pStyle w:val="ListParagraph"/>
        <w:numPr>
          <w:ilvl w:val="0"/>
          <w:numId w:val="14"/>
        </w:numPr>
        <w:spacing w:line="240" w:lineRule="auto"/>
      </w:pPr>
      <w:r>
        <w:t>SBW Core</w:t>
      </w:r>
      <w:r w:rsidR="00FC6717">
        <w:t xml:space="preserve"> </w:t>
      </w:r>
      <w:r w:rsidR="00D6364B">
        <w:tab/>
      </w:r>
      <w:proofErr w:type="spellStart"/>
      <w:r w:rsidR="00D6364B">
        <w:t>svn</w:t>
      </w:r>
      <w:proofErr w:type="spellEnd"/>
      <w:r w:rsidR="00D6364B">
        <w:t xml:space="preserve"> external:</w:t>
      </w:r>
      <w:r w:rsidR="00D6364B">
        <w:tab/>
      </w:r>
      <w:r w:rsidR="00D6364B" w:rsidRPr="00D6364B">
        <w:t>http://sbw.svn.sourceforge.net/svnroot/sbw/trunk/core</w:t>
      </w:r>
    </w:p>
    <w:p w:rsidR="00481CB8" w:rsidRDefault="00FC6717" w:rsidP="00481CB8">
      <w:pPr>
        <w:pStyle w:val="ListParagraph"/>
        <w:numPr>
          <w:ilvl w:val="0"/>
          <w:numId w:val="14"/>
        </w:numPr>
        <w:spacing w:line="240" w:lineRule="auto"/>
      </w:pPr>
      <w:r>
        <w:t>libstruct</w:t>
      </w:r>
      <w:r w:rsidR="00D6364B">
        <w:tab/>
      </w:r>
      <w:proofErr w:type="spellStart"/>
      <w:r w:rsidR="00D6364B">
        <w:t>svn</w:t>
      </w:r>
      <w:proofErr w:type="spellEnd"/>
      <w:r w:rsidR="00D6364B">
        <w:t xml:space="preserve"> external:</w:t>
      </w:r>
      <w:r w:rsidR="00D6364B">
        <w:tab/>
      </w:r>
      <w:r w:rsidR="00D6364B" w:rsidRPr="00D6364B">
        <w:t>https://libstruct.svn.sourceforge.net/svnroot/libstruct/</w:t>
      </w:r>
    </w:p>
    <w:p w:rsidR="00D6364B" w:rsidRDefault="00481CB8" w:rsidP="00580E7B">
      <w:pPr>
        <w:spacing w:line="240" w:lineRule="auto"/>
      </w:pPr>
      <w:r>
        <w:t xml:space="preserve">SVN </w:t>
      </w:r>
      <w:r w:rsidR="00051299">
        <w:t>externals are tied to a fixed revision</w:t>
      </w:r>
      <w:r w:rsidR="00580E7B">
        <w:t xml:space="preserve"> (see page 1)</w:t>
      </w:r>
      <w:r w:rsidR="00051299">
        <w:t xml:space="preserve">. </w:t>
      </w:r>
    </w:p>
    <w:p w:rsidR="00F704E3" w:rsidRDefault="00F704E3" w:rsidP="00F704E3">
      <w:pPr>
        <w:spacing w:line="240" w:lineRule="auto"/>
      </w:pPr>
      <w:r>
        <w:t xml:space="preserve">In the following, when referring to a checked out working copy, its root folder is denoted: </w:t>
      </w:r>
      <w:r w:rsidRPr="002204F7">
        <w:rPr>
          <w:i/>
        </w:rPr>
        <w:t>svn_root</w:t>
      </w:r>
      <w:r>
        <w:t xml:space="preserve">. </w:t>
      </w:r>
    </w:p>
    <w:p w:rsidR="00AB75E2" w:rsidRDefault="00AB75E2" w:rsidP="00F704E3">
      <w:pPr>
        <w:spacing w:line="240" w:lineRule="auto"/>
      </w:pPr>
      <w:r>
        <w:t>The list of the third party libraries above is in the order of dependence, i.e. in the order with which they have to be built.</w:t>
      </w:r>
    </w:p>
    <w:p w:rsidR="00F704E3" w:rsidRDefault="00F704E3" w:rsidP="00580E7B">
      <w:pPr>
        <w:spacing w:line="240" w:lineRule="auto"/>
      </w:pPr>
    </w:p>
    <w:p w:rsidR="00F704E3" w:rsidRDefault="00F704E3" w:rsidP="00F704E3">
      <w:pPr>
        <w:pStyle w:val="Heading2"/>
      </w:pPr>
      <w:r>
        <w:t>Using CMake</w:t>
      </w:r>
    </w:p>
    <w:p w:rsidR="00F704E3" w:rsidRDefault="00F704E3" w:rsidP="00580E7B">
      <w:pPr>
        <w:spacing w:line="240" w:lineRule="auto"/>
      </w:pPr>
      <w:r>
        <w:t>To created build files for each of the necessary third party libraries, the CMake GUI was used. Location for generated build files were chosen to be c:\rrBuilds\(name_of_third_party_lib).</w:t>
      </w:r>
    </w:p>
    <w:p w:rsidR="008F707A" w:rsidRDefault="00481CB8" w:rsidP="00580E7B">
      <w:pPr>
        <w:spacing w:line="240" w:lineRule="auto"/>
      </w:pPr>
      <w:r>
        <w:t xml:space="preserve">When generating </w:t>
      </w:r>
      <w:proofErr w:type="spellStart"/>
      <w:r>
        <w:t>makefiles</w:t>
      </w:r>
      <w:proofErr w:type="spellEnd"/>
      <w:r>
        <w:t xml:space="preserve"> by CMake, the CMake install prefix target is set to </w:t>
      </w:r>
      <w:r w:rsidR="00BB297C">
        <w:t>c:</w:t>
      </w:r>
      <w:r w:rsidR="00580E7B">
        <w:t>/</w:t>
      </w:r>
      <w:r>
        <w:t>rrThirdPartyInstalls</w:t>
      </w:r>
      <w:r w:rsidR="00BB297C">
        <w:t xml:space="preserve">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Default="00CD55EA" w:rsidP="00580E7B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="00481CB8">
        <w:t>c:/rrThirdPartyInstalls</w:t>
      </w:r>
    </w:p>
    <w:p w:rsidR="00481CB8" w:rsidRDefault="00481CB8" w:rsidP="00580E7B">
      <w:pPr>
        <w:shd w:val="clear" w:color="auto" w:fill="FFFFFF"/>
        <w:spacing w:after="0" w:line="240" w:lineRule="auto"/>
      </w:pPr>
    </w:p>
    <w:p w:rsidR="00481CB8" w:rsidRDefault="00481CB8" w:rsidP="00580E7B">
      <w:pPr>
        <w:shd w:val="clear" w:color="auto" w:fill="FFFFFF"/>
        <w:spacing w:after="0" w:line="240" w:lineRule="auto"/>
      </w:pPr>
      <w:r>
        <w:t xml:space="preserve">This location will </w:t>
      </w:r>
      <w:r w:rsidR="00F704E3">
        <w:t xml:space="preserve">then </w:t>
      </w:r>
      <w:r>
        <w:t>contain necessary headers and libraries for each of the above libraries.</w:t>
      </w:r>
      <w:r w:rsidR="00D6364B">
        <w:t xml:space="preserve"> </w:t>
      </w:r>
      <w:proofErr w:type="spellStart"/>
      <w:r w:rsidR="00D6364B">
        <w:t>C</w:t>
      </w:r>
      <w:r w:rsidR="00F704E3">
        <w:t>L</w:t>
      </w:r>
      <w:r w:rsidR="00D6364B">
        <w:t>apack</w:t>
      </w:r>
      <w:proofErr w:type="spellEnd"/>
      <w:r w:rsidR="00D6364B">
        <w:t xml:space="preserve"> don't have a install target, so its build output </w:t>
      </w:r>
      <w:r w:rsidR="00F704E3">
        <w:t xml:space="preserve">(.lib files) </w:t>
      </w:r>
      <w:r w:rsidR="00D6364B">
        <w:t xml:space="preserve">are </w:t>
      </w:r>
      <w:r w:rsidR="00F704E3">
        <w:t>found in the folders in where CMake generates the make files (for now).</w:t>
      </w:r>
    </w:p>
    <w:p w:rsidR="00F704E3" w:rsidRDefault="00274623" w:rsidP="00580E7B">
      <w:pPr>
        <w:pStyle w:val="Heading3"/>
      </w:pPr>
      <w:r>
        <w:t>CMake and Visual Studio</w:t>
      </w:r>
      <w:r w:rsidR="00BB297C">
        <w:t xml:space="preserve"> </w:t>
      </w:r>
    </w:p>
    <w:p w:rsidR="00274623" w:rsidRDefault="00274623" w:rsidP="00274623">
      <w:pPr>
        <w:pStyle w:val="Heading3"/>
      </w:pPr>
      <w:r>
        <w:t xml:space="preserve">CMake and </w:t>
      </w:r>
      <w:proofErr w:type="spellStart"/>
      <w:r>
        <w:t>CodeGear</w:t>
      </w:r>
      <w:proofErr w:type="spellEnd"/>
    </w:p>
    <w:p w:rsidR="00274623" w:rsidRPr="00274623" w:rsidRDefault="00274623" w:rsidP="00274623">
      <w:r>
        <w:t>Some quirks...</w:t>
      </w:r>
    </w:p>
    <w:p w:rsidR="00F704E3" w:rsidRDefault="00F704E3">
      <w:r>
        <w:br w:type="page"/>
      </w:r>
    </w:p>
    <w:p w:rsidR="00FC6717" w:rsidRDefault="00F704E3" w:rsidP="00F704E3">
      <w:pPr>
        <w:pStyle w:val="Heading2"/>
      </w:pPr>
      <w:r>
        <w:lastRenderedPageBreak/>
        <w:t xml:space="preserve">Compiling </w:t>
      </w:r>
      <w:proofErr w:type="spellStart"/>
      <w:r>
        <w:t>clapack</w:t>
      </w:r>
      <w:proofErr w:type="spellEnd"/>
    </w:p>
    <w:p w:rsidR="00823DEE" w:rsidRPr="00823DEE" w:rsidRDefault="00823DEE" w:rsidP="00823DEE">
      <w:pPr>
        <w:pStyle w:val="Heading3"/>
      </w:pPr>
      <w:proofErr w:type="spellStart"/>
      <w:r>
        <w:t>CodeGear</w:t>
      </w:r>
      <w:proofErr w:type="spellEnd"/>
      <w:r>
        <w:t xml:space="preserve"> XE</w:t>
      </w:r>
    </w:p>
    <w:p w:rsidR="00823DEE" w:rsidRDefault="00823DEE">
      <w:proofErr w:type="spellStart"/>
      <w:r>
        <w:t>CLapack</w:t>
      </w:r>
      <w:proofErr w:type="spellEnd"/>
      <w:r>
        <w:t xml:space="preserve"> compiles "almost" with no problem. Initially, the check for </w:t>
      </w:r>
      <w:proofErr w:type="spellStart"/>
      <w:r>
        <w:t>NaN</w:t>
      </w:r>
      <w:proofErr w:type="spellEnd"/>
      <w:r>
        <w:t xml:space="preserve"> check seem to fail. The failures result seem to be recorded in a new generated header, </w:t>
      </w:r>
      <w:proofErr w:type="spellStart"/>
      <w:r w:rsidRPr="00823DEE">
        <w:t>arith.h</w:t>
      </w:r>
      <w:proofErr w:type="spellEnd"/>
      <w:r>
        <w:t>. After that, the rest of the library compiles with no errors (but many warnings).</w:t>
      </w:r>
    </w:p>
    <w:p w:rsidR="00823DEE" w:rsidRDefault="00823DEE"/>
    <w:p w:rsidR="00823DEE" w:rsidRDefault="00823DEE"/>
    <w:p w:rsidR="00F704E3" w:rsidRDefault="00F704E3">
      <w:r>
        <w:br w:type="page"/>
      </w:r>
    </w:p>
    <w:p w:rsidR="00F704E3" w:rsidRDefault="00F704E3" w:rsidP="00F704E3">
      <w:pPr>
        <w:pStyle w:val="Heading2"/>
      </w:pPr>
      <w:r>
        <w:lastRenderedPageBreak/>
        <w:t>Compiling sundials</w:t>
      </w:r>
    </w:p>
    <w:p w:rsidR="00823DEE" w:rsidRDefault="00823DEE" w:rsidP="00823DEE">
      <w:pPr>
        <w:pStyle w:val="Heading3"/>
      </w:pPr>
      <w:proofErr w:type="spellStart"/>
      <w:r>
        <w:t>CodeGear</w:t>
      </w:r>
      <w:proofErr w:type="spellEnd"/>
      <w:r>
        <w:t xml:space="preserve"> XE</w:t>
      </w:r>
    </w:p>
    <w:p w:rsidR="00823DEE" w:rsidRDefault="00823DEE" w:rsidP="00823DEE">
      <w:r>
        <w:t>Sundials libraries compiles with no errors.</w:t>
      </w:r>
    </w:p>
    <w:p w:rsidR="00823DEE" w:rsidRPr="00823DEE" w:rsidRDefault="00823DEE" w:rsidP="00823DEE"/>
    <w:p w:rsidR="00F704E3" w:rsidRPr="00823DEE" w:rsidRDefault="00F704E3" w:rsidP="00823DEE">
      <w:pPr>
        <w:pStyle w:val="Heading3"/>
        <w:numPr>
          <w:ilvl w:val="0"/>
          <w:numId w:val="0"/>
        </w:numPr>
        <w:ind w:left="720"/>
        <w:rPr>
          <w:sz w:val="26"/>
          <w:szCs w:val="26"/>
        </w:rPr>
      </w:pPr>
      <w:r>
        <w:br w:type="page"/>
      </w:r>
    </w:p>
    <w:p w:rsidR="00FC6717" w:rsidRDefault="00FC6717" w:rsidP="00580E7B">
      <w:pPr>
        <w:pStyle w:val="Heading2"/>
      </w:pPr>
      <w:bookmarkStart w:id="3" w:name="_Toc313356868"/>
      <w:r w:rsidRPr="00F57F40">
        <w:lastRenderedPageBreak/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 xml:space="preserve">in that document is to </w:t>
      </w:r>
      <w:r w:rsidR="00DE6679" w:rsidRPr="00F704E3">
        <w:rPr>
          <w:b/>
        </w:rPr>
        <w:t>download win-dependencies</w:t>
      </w:r>
      <w:r w:rsidR="00DE6679">
        <w:t>.  In the following only win32 (not x64) is being considered.</w:t>
      </w:r>
      <w:r w:rsidR="00F704E3">
        <w:t xml:space="preserve"> 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t xml:space="preserve">See </w:t>
      </w:r>
      <w:hyperlink r:id="rId11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F704E3" w:rsidP="00F704E3">
      <w:pPr>
        <w:pStyle w:val="Heading3"/>
      </w:pPr>
      <w:r>
        <w:t xml:space="preserve"> </w:t>
      </w:r>
      <w:proofErr w:type="spellStart"/>
      <w:r>
        <w:t>CodeGear</w:t>
      </w:r>
      <w:proofErr w:type="spellEnd"/>
      <w:r>
        <w:t xml:space="preserve"> XE</w:t>
      </w:r>
    </w:p>
    <w:p w:rsidR="0038521A" w:rsidRDefault="0038521A" w:rsidP="0038521A">
      <w:r>
        <w:t xml:space="preserve">The libraries in libsbml/dependencies/lib are pre built using Visual Studio and can't directly be linked using </w:t>
      </w:r>
      <w:proofErr w:type="spellStart"/>
      <w:r>
        <w:t>CodeGear</w:t>
      </w:r>
      <w:proofErr w:type="spellEnd"/>
      <w:r>
        <w:t xml:space="preserve"> XE. To be able to use the </w:t>
      </w:r>
      <w:proofErr w:type="spellStart"/>
      <w:r>
        <w:t>libs</w:t>
      </w:r>
      <w:proofErr w:type="spellEnd"/>
      <w:r>
        <w:t xml:space="preserve"> in dependencies with XE, they need to be converted using the utility coff2omf. The following command are executed in a terminal window:</w:t>
      </w:r>
    </w:p>
    <w:p w:rsidR="0038521A" w:rsidRDefault="0038521A" w:rsidP="0038521A">
      <w:pPr>
        <w:pStyle w:val="Quote"/>
      </w:pPr>
      <w:r>
        <w:t>&gt;coff2omf .exe libxml2.lib libxml_xe.lib</w:t>
      </w:r>
    </w:p>
    <w:p w:rsidR="0038521A" w:rsidRPr="0038521A" w:rsidRDefault="0038521A" w:rsidP="0038521A"/>
    <w:p w:rsidR="00F704E3" w:rsidRPr="00F704E3" w:rsidRDefault="00F704E3" w:rsidP="00F704E3"/>
    <w:p w:rsidR="00234DF6" w:rsidRDefault="00234DF6" w:rsidP="00580E7B">
      <w:pPr>
        <w:pStyle w:val="Heading3"/>
      </w:pPr>
      <w:bookmarkStart w:id="5" w:name="_Toc313356870"/>
      <w:r>
        <w:t>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2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F704E3" w:rsidRDefault="00F704E3">
      <w:r>
        <w:br w:type="page"/>
      </w:r>
    </w:p>
    <w:p w:rsidR="00344871" w:rsidRDefault="00344871" w:rsidP="00580E7B">
      <w:pPr>
        <w:pStyle w:val="Heading2"/>
      </w:pPr>
      <w:bookmarkStart w:id="7" w:name="_Toc313356872"/>
      <w:r>
        <w:lastRenderedPageBreak/>
        <w:t>Compiling SBW core</w:t>
      </w:r>
      <w:bookmarkEnd w:id="7"/>
    </w:p>
    <w:p w:rsidR="00AB75E2" w:rsidRDefault="00AB75E2" w:rsidP="00AB75E2">
      <w:r>
        <w:t>The SBW core library is needed for building libstruct, see below.</w:t>
      </w:r>
    </w:p>
    <w:p w:rsidR="00AB75E2" w:rsidRPr="00AB75E2" w:rsidRDefault="00AB75E2" w:rsidP="00AB75E2">
      <w:pPr>
        <w:pStyle w:val="Heading3"/>
      </w:pPr>
      <w:r>
        <w:t>Visual Studio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</w:t>
      </w:r>
      <w:r w:rsidR="00AB75E2">
        <w:t>.</w:t>
      </w:r>
    </w:p>
    <w:p w:rsidR="00F704E3" w:rsidRDefault="00AB75E2" w:rsidP="00AB75E2">
      <w:pPr>
        <w:pStyle w:val="Heading3"/>
      </w:pPr>
      <w:proofErr w:type="spellStart"/>
      <w:r>
        <w:t>CodeGear</w:t>
      </w:r>
      <w:proofErr w:type="spellEnd"/>
      <w:r>
        <w:t xml:space="preserve"> XE</w:t>
      </w:r>
      <w:r w:rsidR="00F704E3">
        <w:br w:type="page"/>
      </w:r>
    </w:p>
    <w:p w:rsidR="00C25C6C" w:rsidRDefault="00C25C6C" w:rsidP="00580E7B">
      <w:pPr>
        <w:pStyle w:val="Heading2"/>
      </w:pPr>
      <w:bookmarkStart w:id="8" w:name="_Toc313356873"/>
      <w:r>
        <w:lastRenderedPageBreak/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7D724D" w:rsidRDefault="007D724D" w:rsidP="00580E7B">
      <w:pPr>
        <w:spacing w:line="240" w:lineRule="auto"/>
      </w:pPr>
      <w:r>
        <w:t xml:space="preserve">If </w:t>
      </w:r>
      <w:proofErr w:type="spellStart"/>
      <w:r>
        <w:t>libSBML</w:t>
      </w:r>
      <w:proofErr w:type="spellEnd"/>
      <w:r>
        <w:t xml:space="preserve"> is compiled with CPP_NAMESPACES, the following flag need to be added to CMAKE_CXX_FLAGS,  </w:t>
      </w:r>
      <w:r w:rsidRPr="007D724D">
        <w:t>-DLIBSBML_USE_CPP_NAMESPACE</w:t>
      </w:r>
      <w:r>
        <w:t>.</w:t>
      </w:r>
    </w:p>
    <w:p w:rsidR="007D724D" w:rsidRDefault="007D724D" w:rsidP="00580E7B">
      <w:pPr>
        <w:spacing w:line="240" w:lineRule="auto"/>
      </w:pPr>
      <w:r>
        <w:t>If not added, you will get namespace name excepted compile errors.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3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lastRenderedPageBreak/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8B3B7E">
      <w:pPr>
        <w:pStyle w:val="Heading2"/>
      </w:pPr>
      <w:r>
        <w:t xml:space="preserve"> </w:t>
      </w:r>
      <w:r w:rsidR="008B3B7E">
        <w:t>Compiling Sundials CVODE</w:t>
      </w:r>
    </w:p>
    <w:p w:rsidR="008B3B7E" w:rsidRPr="008B3B7E" w:rsidRDefault="008B3B7E" w:rsidP="008B3B7E"/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Colors  </w:t>
      </w:r>
      <w:r w:rsidR="00D25F27" w:rsidRPr="00D25F27">
        <w:rPr>
          <w:color w:val="000000" w:themeColor="text1"/>
          <w:shd w:val="clear" w:color="auto" w:fill="D6E3BC" w:themeFill="accent3" w:themeFillTint="66"/>
        </w:rPr>
        <w:t>Green</w:t>
      </w:r>
      <w:r w:rsidRPr="00D25F27">
        <w:rPr>
          <w:color w:val="000000" w:themeColor="text1"/>
          <w:shd w:val="clear" w:color="auto" w:fill="D6E3BC" w:themeFill="accent3" w:themeFillTint="66"/>
        </w:rPr>
        <w:t xml:space="preserve">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07075">
        <w:rPr>
          <w:highlight w:val="lightGray"/>
          <w:shd w:val="clear" w:color="auto" w:fill="DDD9C3" w:themeFill="background2" w:themeFillShade="E6"/>
        </w:rPr>
        <w:t>Grey   - on hold</w:t>
      </w:r>
      <w:r>
        <w:t xml:space="preserve"> White - Not Started</w:t>
      </w:r>
      <w:r w:rsidR="00D25F27">
        <w:t xml:space="preserve"> </w:t>
      </w:r>
      <w:r w:rsidR="00D25F27" w:rsidRPr="00307075">
        <w:rPr>
          <w:shd w:val="clear" w:color="auto" w:fill="DAEEF3" w:themeFill="accent5" w:themeFillTint="33"/>
        </w:rPr>
        <w:t>Blue - To be tested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rrSupportCode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4E6243" w:rsidP="005C7633">
            <w:r>
              <w:t>Rewriting all functions to "regular" ones, i.e. non static.</w:t>
            </w:r>
          </w:p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5F05DC" w:rsidP="005C7633">
            <w:proofErr w:type="spellStart"/>
            <w:r>
              <w:t>rrModelState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>Factorial should be '</w:t>
            </w:r>
            <w:proofErr w:type="spellStart"/>
            <w:r>
              <w:t>int</w:t>
            </w:r>
            <w:proofErr w:type="spellEnd"/>
            <w:r>
              <w:t>' ?</w:t>
            </w:r>
          </w:p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DB2AD6" w:rsidTr="00567956">
        <w:tc>
          <w:tcPr>
            <w:tcW w:w="3729" w:type="dxa"/>
            <w:shd w:val="clear" w:color="auto" w:fill="D6E3BC" w:themeFill="accent3" w:themeFillTint="66"/>
          </w:tcPr>
          <w:p w:rsidR="00DB2AD6" w:rsidRDefault="00DB2AD6" w:rsidP="007E71CE"/>
        </w:tc>
        <w:tc>
          <w:tcPr>
            <w:tcW w:w="3646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1823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4410" w:type="dxa"/>
            <w:shd w:val="clear" w:color="auto" w:fill="D6E3BC" w:themeFill="accent3" w:themeFillTint="66"/>
          </w:tcPr>
          <w:p w:rsidR="00DB2AD6" w:rsidRDefault="00DB2AD6" w:rsidP="005C7633"/>
        </w:tc>
      </w:tr>
    </w:tbl>
    <w:p w:rsidR="00DB2AD6" w:rsidRDefault="00DB2AD6" w:rsidP="00DB2AD6">
      <w:pPr>
        <w:pStyle w:val="Heading3"/>
        <w:numPr>
          <w:ilvl w:val="0"/>
          <w:numId w:val="0"/>
        </w:numPr>
        <w:ind w:left="720"/>
      </w:pPr>
    </w:p>
    <w:p w:rsidR="00DB2AD6" w:rsidRPr="00DB2AD6" w:rsidRDefault="00DB2AD6" w:rsidP="00DB2AD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5E6B65" w:rsidRDefault="005E6B65" w:rsidP="005E6B65">
      <w:pPr>
        <w:pStyle w:val="Heading3"/>
      </w:pPr>
      <w:r>
        <w:lastRenderedPageBreak/>
        <w:t xml:space="preserve">Conversion notes </w:t>
      </w:r>
    </w:p>
    <w:p w:rsidR="00DB2AD6" w:rsidRDefault="00DB2AD6" w:rsidP="00DB2AD6">
      <w:r>
        <w:t>General conversions</w:t>
      </w:r>
    </w:p>
    <w:tbl>
      <w:tblPr>
        <w:tblStyle w:val="LightList-Accent1"/>
        <w:tblW w:w="13521" w:type="dxa"/>
        <w:tblLook w:val="04A0"/>
      </w:tblPr>
      <w:tblGrid>
        <w:gridCol w:w="5148"/>
        <w:gridCol w:w="4770"/>
        <w:gridCol w:w="3603"/>
      </w:tblGrid>
      <w:tr w:rsidR="00DB2AD6" w:rsidTr="00DB2AD6">
        <w:trPr>
          <w:cnfStyle w:val="100000000000"/>
          <w:trHeight w:val="380"/>
        </w:trPr>
        <w:tc>
          <w:tcPr>
            <w:cnfStyle w:val="001000000000"/>
            <w:tcW w:w="5148" w:type="dxa"/>
          </w:tcPr>
          <w:p w:rsidR="00DB2AD6" w:rsidRDefault="00DB2AD6" w:rsidP="00DB2AD6">
            <w:r>
              <w:t>C#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100000000000"/>
            </w:pPr>
            <w:r>
              <w:t>C++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100000000000"/>
            </w:pPr>
            <w:r>
              <w:t>notes</w:t>
            </w:r>
          </w:p>
        </w:tc>
      </w:tr>
      <w:tr w:rsidR="00DB2AD6" w:rsidRPr="00DB2AD6" w:rsidTr="00DB2AD6">
        <w:trPr>
          <w:cnfStyle w:val="000000100000"/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proofErr w:type="spellStart"/>
            <w:r w:rsidRPr="00DB2AD6">
              <w:rPr>
                <w:b w:val="0"/>
              </w:rPr>
              <w:t>convertSpeciesToY</w:t>
            </w:r>
            <w:proofErr w:type="spellEnd"/>
            <w:r w:rsidRPr="00DB2AD6">
              <w:rPr>
                <w:b w:val="0"/>
              </w:rPr>
              <w:t xml:space="preserve">(string </w:t>
            </w:r>
            <w:proofErr w:type="spellStart"/>
            <w:r w:rsidRPr="00DB2AD6">
              <w:rPr>
                <w:b w:val="0"/>
              </w:rPr>
              <w:t>str</w:t>
            </w:r>
            <w:proofErr w:type="spellEnd"/>
            <w:r w:rsidRPr="00DB2AD6">
              <w:rPr>
                <w:b w:val="0"/>
              </w:rPr>
              <w:t>)</w:t>
            </w:r>
          </w:p>
        </w:tc>
        <w:tc>
          <w:tcPr>
            <w:tcW w:w="4770" w:type="dxa"/>
          </w:tcPr>
          <w:p w:rsidR="00DB2AD6" w:rsidRPr="00DB2AD6" w:rsidRDefault="00DB2AD6" w:rsidP="00DB2AD6">
            <w:pPr>
              <w:cnfStyle w:val="000000100000"/>
            </w:pPr>
            <w:proofErr w:type="spellStart"/>
            <w:r w:rsidRPr="00DB2AD6">
              <w:t>convertSpeciesToY</w:t>
            </w:r>
            <w:proofErr w:type="spellEnd"/>
            <w:r w:rsidRPr="00DB2AD6">
              <w:t xml:space="preserve">(const string&amp; </w:t>
            </w:r>
            <w:proofErr w:type="spellStart"/>
            <w:r w:rsidRPr="00DB2AD6">
              <w:t>str</w:t>
            </w:r>
            <w:proofErr w:type="spellEnd"/>
            <w:r w:rsidRPr="00DB2AD6">
              <w:t>)</w:t>
            </w:r>
          </w:p>
        </w:tc>
        <w:tc>
          <w:tcPr>
            <w:tcW w:w="3603" w:type="dxa"/>
          </w:tcPr>
          <w:p w:rsidR="00DB2AD6" w:rsidRPr="00DB2AD6" w:rsidRDefault="00DB2AD6" w:rsidP="00DB2AD6">
            <w:pPr>
              <w:cnfStyle w:val="000000100000"/>
            </w:pPr>
            <w:r>
              <w:t xml:space="preserve">Pass by reference in </w:t>
            </w:r>
            <w:proofErr w:type="spellStart"/>
            <w:r>
              <w:t>c++</w:t>
            </w:r>
            <w:proofErr w:type="spellEnd"/>
          </w:p>
        </w:tc>
      </w:tr>
      <w:tr w:rsidR="00DB2AD6" w:rsidRPr="00DB2AD6" w:rsidTr="00DB2AD6">
        <w:trPr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static </w:t>
            </w:r>
            <w:proofErr w:type="spellStart"/>
            <w:r w:rsidRPr="00DB2AD6">
              <w:rPr>
                <w:b w:val="0"/>
              </w:rPr>
              <w:t>ModelGenerator</w:t>
            </w:r>
            <w:proofErr w:type="spellEnd"/>
            <w:r w:rsidRPr="00DB2AD6">
              <w:rPr>
                <w:b w:val="0"/>
              </w:rPr>
              <w:t xml:space="preserve"> _instance;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vector&lt;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>&gt; _</w:t>
            </w:r>
            <w:proofErr w:type="spellStart"/>
            <w:r w:rsidRPr="00DB2AD6">
              <w:rPr>
                <w:b w:val="0"/>
              </w:rPr>
              <w:t>LocalParameterDimensions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string _</w:t>
            </w:r>
            <w:proofErr w:type="spellStart"/>
            <w:r w:rsidRPr="00DB2AD6">
              <w:rPr>
                <w:b w:val="0"/>
              </w:rPr>
              <w:t>ModelName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NumBoundarySpecies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NumCompartments</w:t>
            </w:r>
            <w:proofErr w:type="spellEnd"/>
            <w:r w:rsidRPr="00DB2AD6">
              <w:rPr>
                <w:b w:val="0"/>
              </w:rPr>
              <w:t>;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000000000000"/>
            </w:pPr>
            <w:r w:rsidRPr="00DB2AD6">
              <w:t xml:space="preserve">private: 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 xml:space="preserve">static </w:t>
            </w:r>
            <w:proofErr w:type="spellStart"/>
            <w:r w:rsidRPr="00DB2AD6">
              <w:t>ModelGenerator</w:t>
            </w:r>
            <w:proofErr w:type="spellEnd"/>
            <w:r w:rsidRPr="00DB2AD6">
              <w:t xml:space="preserve"> _instance;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vector&lt;</w:t>
            </w:r>
            <w:proofErr w:type="spellStart"/>
            <w:r w:rsidRPr="00DB2AD6">
              <w:t>int</w:t>
            </w:r>
            <w:proofErr w:type="spellEnd"/>
            <w:r w:rsidRPr="00DB2AD6">
              <w:t>&gt; _</w:t>
            </w:r>
            <w:proofErr w:type="spellStart"/>
            <w:r w:rsidRPr="00DB2AD6">
              <w:t>LocalParameterDimensions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string _</w:t>
            </w:r>
            <w:proofErr w:type="spellStart"/>
            <w:r w:rsidRPr="00DB2AD6">
              <w:t>ModelName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NumBoundarySpecies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NumCompartments</w:t>
            </w:r>
            <w:proofErr w:type="spellEnd"/>
            <w:r w:rsidRPr="00DB2AD6">
              <w:t>;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000000000000"/>
            </w:pPr>
            <w:r>
              <w:t xml:space="preserve">Have one private, protected, public section in </w:t>
            </w:r>
            <w:proofErr w:type="spellStart"/>
            <w:r>
              <w:t>c++</w:t>
            </w:r>
            <w:proofErr w:type="spellEnd"/>
            <w:r>
              <w:t xml:space="preserve"> header .</w:t>
            </w:r>
          </w:p>
        </w:tc>
      </w:tr>
    </w:tbl>
    <w:p w:rsidR="00DB2AD6" w:rsidRPr="00DB2AD6" w:rsidRDefault="00DB2AD6" w:rsidP="00DB2AD6"/>
    <w:tbl>
      <w:tblPr>
        <w:tblStyle w:val="LightList-Accent1"/>
        <w:tblW w:w="13608" w:type="dxa"/>
        <w:tblLook w:val="04A0"/>
      </w:tblPr>
      <w:tblGrid>
        <w:gridCol w:w="3801"/>
        <w:gridCol w:w="4878"/>
        <w:gridCol w:w="4929"/>
      </w:tblGrid>
      <w:tr w:rsidR="00CA5519" w:rsidTr="00DB2AD6">
        <w:trPr>
          <w:cnfStyle w:val="100000000000"/>
        </w:trPr>
        <w:tc>
          <w:tcPr>
            <w:cnfStyle w:val="001000000000"/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4930" w:type="dxa"/>
          </w:tcPr>
          <w:p w:rsidR="00CA5519" w:rsidRDefault="00CA5519" w:rsidP="005E6B65">
            <w:pPr>
              <w:cnfStyle w:val="100000000000"/>
            </w:pPr>
            <w:r>
              <w:t>Notes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100000000000"/>
            </w:pPr>
            <w:r>
              <w:t>Depends on</w:t>
            </w:r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100000"/>
            </w:pPr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>
            <w:pPr>
              <w:cnfStyle w:val="000000100000"/>
            </w:pPr>
          </w:p>
          <w:p w:rsidR="00CA5519" w:rsidRDefault="00CA5519" w:rsidP="005E6B65">
            <w:pPr>
              <w:cnfStyle w:val="000000100000"/>
            </w:pPr>
            <w:r>
              <w:t>Factorial - should only deal with integers?</w:t>
            </w:r>
          </w:p>
          <w:p w:rsidR="00CA5519" w:rsidRDefault="00CA5519" w:rsidP="005E6B65">
            <w:pPr>
              <w:cnfStyle w:val="0000001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CA5519" w:rsidTr="00DB2AD6"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PendingAssignment.cs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0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000000"/>
            </w:pPr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Pr>
              <w:cnfStyle w:val="000000000000"/>
            </w:pPr>
            <w:proofErr w:type="spellStart"/>
            <w:r w:rsidRPr="00766583">
              <w:t>TPerformEventAssignmentDelegate.cs</w:t>
            </w:r>
            <w:proofErr w:type="spellEnd"/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</w:tc>
        <w:tc>
          <w:tcPr>
            <w:tcW w:w="4930" w:type="dxa"/>
          </w:tcPr>
          <w:p w:rsidR="00CA5519" w:rsidRDefault="004169A8" w:rsidP="005E6B65">
            <w:pPr>
              <w:cnfStyle w:val="000000100000"/>
            </w:pPr>
            <w:r>
              <w:t>Function pointer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766583" w:rsidTr="00DB2AD6">
        <w:tc>
          <w:tcPr>
            <w:cnfStyle w:val="001000000000"/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4930" w:type="dxa"/>
          </w:tcPr>
          <w:p w:rsidR="00766583" w:rsidRDefault="004169A8" w:rsidP="005E6B65">
            <w:pPr>
              <w:cnfStyle w:val="000000000000"/>
            </w:pPr>
            <w:r>
              <w:t>Function pointer</w:t>
            </w:r>
          </w:p>
        </w:tc>
        <w:tc>
          <w:tcPr>
            <w:tcW w:w="4950" w:type="dxa"/>
          </w:tcPr>
          <w:p w:rsidR="00766583" w:rsidRDefault="00766583" w:rsidP="005E6B65">
            <w:pPr>
              <w:cnfStyle w:val="000000000000"/>
            </w:pPr>
          </w:p>
        </w:tc>
      </w:tr>
      <w:tr w:rsidR="004169A8" w:rsidTr="00DB2AD6">
        <w:trPr>
          <w:cnfStyle w:val="000000100000"/>
        </w:trPr>
        <w:tc>
          <w:tcPr>
            <w:cnfStyle w:val="001000000000"/>
            <w:tcW w:w="3728" w:type="dxa"/>
          </w:tcPr>
          <w:p w:rsidR="004169A8" w:rsidRPr="00766583" w:rsidRDefault="00D56FA2" w:rsidP="005E6B65">
            <w:proofErr w:type="spellStart"/>
            <w:r>
              <w:t>ModelState.cs</w:t>
            </w:r>
            <w:proofErr w:type="spellEnd"/>
          </w:p>
        </w:tc>
        <w:tc>
          <w:tcPr>
            <w:tcW w:w="4930" w:type="dxa"/>
          </w:tcPr>
          <w:p w:rsidR="004169A8" w:rsidRDefault="004169A8" w:rsidP="005E6B65">
            <w:pPr>
              <w:cnfStyle w:val="000000100000"/>
            </w:pPr>
          </w:p>
        </w:tc>
        <w:tc>
          <w:tcPr>
            <w:tcW w:w="4950" w:type="dxa"/>
          </w:tcPr>
          <w:p w:rsidR="004169A8" w:rsidRDefault="00D56FA2" w:rsidP="005E6B65">
            <w:pPr>
              <w:cnfStyle w:val="000000100000"/>
            </w:pPr>
            <w:proofErr w:type="spellStart"/>
            <w:r>
              <w:t>IModel.cs</w:t>
            </w:r>
            <w:proofErr w:type="spellEnd"/>
          </w:p>
        </w:tc>
      </w:tr>
      <w:tr w:rsidR="00D56FA2" w:rsidTr="00DB2AD6">
        <w:tc>
          <w:tcPr>
            <w:cnfStyle w:val="001000000000"/>
            <w:tcW w:w="3728" w:type="dxa"/>
          </w:tcPr>
          <w:p w:rsidR="00D56FA2" w:rsidRDefault="00D56FA2" w:rsidP="005E6B65">
            <w:proofErr w:type="spellStart"/>
            <w:r>
              <w:t>IMode</w:t>
            </w:r>
            <w:r w:rsidR="00365044">
              <w:t>l</w:t>
            </w:r>
            <w:r>
              <w:t>.cs</w:t>
            </w:r>
            <w:proofErr w:type="spellEnd"/>
          </w:p>
        </w:tc>
        <w:tc>
          <w:tcPr>
            <w:tcW w:w="4930" w:type="dxa"/>
          </w:tcPr>
          <w:p w:rsidR="00D56FA2" w:rsidRDefault="00D56FA2" w:rsidP="005E6B65">
            <w:pPr>
              <w:cnfStyle w:val="000000000000"/>
            </w:pPr>
            <w:r>
              <w:t>Interface class</w:t>
            </w:r>
          </w:p>
        </w:tc>
        <w:tc>
          <w:tcPr>
            <w:tcW w:w="4950" w:type="dxa"/>
          </w:tcPr>
          <w:p w:rsidR="00D56FA2" w:rsidRDefault="00D56FA2" w:rsidP="005E6B65">
            <w:pPr>
              <w:cnfStyle w:val="000000000000"/>
            </w:pPr>
            <w:proofErr w:type="spellStart"/>
            <w:r>
              <w:t>TEventDelayDelegate.cs</w:t>
            </w:r>
            <w:proofErr w:type="spellEnd"/>
          </w:p>
          <w:p w:rsidR="00365044" w:rsidRDefault="00365044" w:rsidP="005E6B65">
            <w:pPr>
              <w:cnfStyle w:val="000000000000"/>
            </w:pPr>
            <w:proofErr w:type="spellStart"/>
            <w:r w:rsidRPr="00365044">
              <w:t>TEventAssignmentDelegate</w:t>
            </w:r>
            <w:proofErr w:type="spellEnd"/>
          </w:p>
          <w:p w:rsidR="00365044" w:rsidRDefault="00365044" w:rsidP="005E6B65">
            <w:pPr>
              <w:cnfStyle w:val="000000000000"/>
            </w:pPr>
          </w:p>
        </w:tc>
      </w:tr>
      <w:tr w:rsidR="002B2265" w:rsidTr="00DB2AD6">
        <w:trPr>
          <w:cnfStyle w:val="000000100000"/>
        </w:trPr>
        <w:tc>
          <w:tcPr>
            <w:cnfStyle w:val="001000000000"/>
            <w:tcW w:w="3728" w:type="dxa"/>
          </w:tcPr>
          <w:p w:rsidR="002B2265" w:rsidRDefault="002B2265" w:rsidP="005E6B65">
            <w:proofErr w:type="spellStart"/>
            <w:r>
              <w:t>RoadRunner.cs</w:t>
            </w:r>
            <w:proofErr w:type="spellEnd"/>
          </w:p>
        </w:tc>
        <w:tc>
          <w:tcPr>
            <w:tcW w:w="4930" w:type="dxa"/>
          </w:tcPr>
          <w:p w:rsidR="002B2265" w:rsidRDefault="002B2265" w:rsidP="005E6B65">
            <w:pPr>
              <w:cnfStyle w:val="000000100000"/>
            </w:pPr>
            <w:r>
              <w:t xml:space="preserve">Need </w:t>
            </w:r>
            <w:proofErr w:type="spellStart"/>
            <w:r>
              <w:t>CvodeInterface.cs</w:t>
            </w:r>
            <w:proofErr w:type="spellEnd"/>
            <w:r>
              <w:t xml:space="preserve"> to be converted.</w:t>
            </w:r>
          </w:p>
        </w:tc>
        <w:tc>
          <w:tcPr>
            <w:tcW w:w="4950" w:type="dxa"/>
          </w:tcPr>
          <w:p w:rsidR="002B2265" w:rsidRDefault="002B2265" w:rsidP="005E6B65">
            <w:pPr>
              <w:cnfStyle w:val="000000100000"/>
            </w:pPr>
            <w:proofErr w:type="spellStart"/>
            <w:r>
              <w:t>CvodeInterface.cs</w:t>
            </w:r>
            <w:proofErr w:type="spellEnd"/>
          </w:p>
        </w:tc>
      </w:tr>
      <w:tr w:rsidR="003E6CE8" w:rsidTr="00DB2AD6">
        <w:tc>
          <w:tcPr>
            <w:cnfStyle w:val="001000000000"/>
            <w:tcW w:w="3728" w:type="dxa"/>
          </w:tcPr>
          <w:p w:rsidR="003E6CE8" w:rsidRDefault="003E6CE8" w:rsidP="005E6B65">
            <w:proofErr w:type="spellStart"/>
            <w:r>
              <w:t>ModelGenerator.cs</w:t>
            </w:r>
            <w:proofErr w:type="spellEnd"/>
          </w:p>
        </w:tc>
        <w:tc>
          <w:tcPr>
            <w:tcW w:w="4930" w:type="dxa"/>
          </w:tcPr>
          <w:p w:rsidR="003E6CE8" w:rsidRDefault="003E6CE8" w:rsidP="005E6B65">
            <w:pPr>
              <w:cnfStyle w:val="000000000000"/>
            </w:pPr>
            <w:r>
              <w:t>Huge....</w:t>
            </w:r>
          </w:p>
        </w:tc>
        <w:tc>
          <w:tcPr>
            <w:tcW w:w="4950" w:type="dxa"/>
          </w:tcPr>
          <w:p w:rsidR="003E6CE8" w:rsidRDefault="003E6CE8" w:rsidP="005E6B65">
            <w:pPr>
              <w:cnfStyle w:val="000000000000"/>
            </w:pPr>
          </w:p>
        </w:tc>
      </w:tr>
    </w:tbl>
    <w:p w:rsidR="004169A8" w:rsidRDefault="004169A8" w:rsidP="005E6B65"/>
    <w:p w:rsidR="00DB2AD6" w:rsidRDefault="00DB2AD6" w:rsidP="00DB2AD6">
      <w:pPr>
        <w:pStyle w:val="Heading2"/>
      </w:pPr>
      <w:r>
        <w:t>Tests</w:t>
      </w:r>
    </w:p>
    <w:p w:rsidR="00DB2AD6" w:rsidRPr="00DB2AD6" w:rsidRDefault="00DB2AD6" w:rsidP="00DB2AD6">
      <w:r>
        <w:lastRenderedPageBreak/>
        <w:t>Various test applications are located in Testing folder. These test are there to test various concepts, classes throughout the conversion process.</w:t>
      </w:r>
    </w:p>
    <w:p w:rsidR="004169A8" w:rsidRDefault="004169A8"/>
    <w:p w:rsidR="00DB2AD6" w:rsidRDefault="00DB2AD6">
      <w:pPr>
        <w:sectPr w:rsidR="00DB2AD6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DB2AD6" w:rsidRPr="00DB2AD6" w:rsidRDefault="00DB2AD6" w:rsidP="00DB2AD6"/>
    <w:p w:rsidR="00B8211B" w:rsidRDefault="00B8211B" w:rsidP="00B8211B">
      <w:pPr>
        <w:pStyle w:val="Heading1"/>
      </w:pPr>
      <w:r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753" w:rsidRDefault="002E1753" w:rsidP="00580239">
      <w:pPr>
        <w:spacing w:after="0" w:line="240" w:lineRule="auto"/>
      </w:pPr>
      <w:r>
        <w:separator/>
      </w:r>
    </w:p>
  </w:endnote>
  <w:endnote w:type="continuationSeparator" w:id="0">
    <w:p w:rsidR="002E1753" w:rsidRDefault="002E1753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F704E3" w:rsidRDefault="00F704E3">
        <w:pPr>
          <w:pStyle w:val="Footer"/>
          <w:jc w:val="right"/>
        </w:pPr>
        <w:r>
          <w:t xml:space="preserve">Page | </w:t>
        </w:r>
        <w:fldSimple w:instr=" PAGE   \* MERGEFORMAT ">
          <w:r w:rsidR="007D724D">
            <w:rPr>
              <w:noProof/>
            </w:rPr>
            <w:t>6</w:t>
          </w:r>
        </w:fldSimple>
        <w:r>
          <w:t xml:space="preserve"> </w:t>
        </w:r>
      </w:p>
    </w:sdtContent>
  </w:sdt>
  <w:p w:rsidR="00F704E3" w:rsidRDefault="00F70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753" w:rsidRDefault="002E1753" w:rsidP="00580239">
      <w:pPr>
        <w:spacing w:after="0" w:line="240" w:lineRule="auto"/>
      </w:pPr>
      <w:r>
        <w:separator/>
      </w:r>
    </w:p>
  </w:footnote>
  <w:footnote w:type="continuationSeparator" w:id="0">
    <w:p w:rsidR="002E1753" w:rsidRDefault="002E1753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4586"/>
    <w:multiLevelType w:val="hybridMultilevel"/>
    <w:tmpl w:val="D3BC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E46400"/>
    <w:multiLevelType w:val="hybridMultilevel"/>
    <w:tmpl w:val="3D74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62A4E"/>
    <w:multiLevelType w:val="hybridMultilevel"/>
    <w:tmpl w:val="7ABA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8B7A4B"/>
    <w:multiLevelType w:val="hybridMultilevel"/>
    <w:tmpl w:val="D4C2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4CA7"/>
    <w:rsid w:val="00055CDA"/>
    <w:rsid w:val="00070D6E"/>
    <w:rsid w:val="00075A83"/>
    <w:rsid w:val="000B3FB8"/>
    <w:rsid w:val="000E3746"/>
    <w:rsid w:val="001365F8"/>
    <w:rsid w:val="00157475"/>
    <w:rsid w:val="001F3779"/>
    <w:rsid w:val="001F42E9"/>
    <w:rsid w:val="00207DDE"/>
    <w:rsid w:val="002204F7"/>
    <w:rsid w:val="00234A9C"/>
    <w:rsid w:val="00234DF6"/>
    <w:rsid w:val="0024307E"/>
    <w:rsid w:val="00260290"/>
    <w:rsid w:val="00274623"/>
    <w:rsid w:val="00285518"/>
    <w:rsid w:val="002B2265"/>
    <w:rsid w:val="002E1753"/>
    <w:rsid w:val="002F46A9"/>
    <w:rsid w:val="002F6265"/>
    <w:rsid w:val="003024C8"/>
    <w:rsid w:val="003053C7"/>
    <w:rsid w:val="00307075"/>
    <w:rsid w:val="003225C9"/>
    <w:rsid w:val="00344871"/>
    <w:rsid w:val="00364698"/>
    <w:rsid w:val="00365044"/>
    <w:rsid w:val="003839E9"/>
    <w:rsid w:val="0038521A"/>
    <w:rsid w:val="00394C75"/>
    <w:rsid w:val="003A651A"/>
    <w:rsid w:val="003C774C"/>
    <w:rsid w:val="003E6CE8"/>
    <w:rsid w:val="00410A91"/>
    <w:rsid w:val="00413E34"/>
    <w:rsid w:val="004169A8"/>
    <w:rsid w:val="00481CB8"/>
    <w:rsid w:val="00494282"/>
    <w:rsid w:val="004A400E"/>
    <w:rsid w:val="004A62EE"/>
    <w:rsid w:val="004E6243"/>
    <w:rsid w:val="00562C3C"/>
    <w:rsid w:val="00567956"/>
    <w:rsid w:val="00580239"/>
    <w:rsid w:val="00580E7B"/>
    <w:rsid w:val="0059213F"/>
    <w:rsid w:val="00597DBB"/>
    <w:rsid w:val="005A683F"/>
    <w:rsid w:val="005C16A3"/>
    <w:rsid w:val="005C7633"/>
    <w:rsid w:val="005E6B65"/>
    <w:rsid w:val="005F05DC"/>
    <w:rsid w:val="006109FB"/>
    <w:rsid w:val="00617AAC"/>
    <w:rsid w:val="006B1EA0"/>
    <w:rsid w:val="006C1494"/>
    <w:rsid w:val="006F2AE7"/>
    <w:rsid w:val="0071078C"/>
    <w:rsid w:val="00727C45"/>
    <w:rsid w:val="00766583"/>
    <w:rsid w:val="00783554"/>
    <w:rsid w:val="007B6A77"/>
    <w:rsid w:val="007D724D"/>
    <w:rsid w:val="007E002B"/>
    <w:rsid w:val="007E71CE"/>
    <w:rsid w:val="00823DEE"/>
    <w:rsid w:val="008A253B"/>
    <w:rsid w:val="008B3B7E"/>
    <w:rsid w:val="008C2432"/>
    <w:rsid w:val="008F707A"/>
    <w:rsid w:val="00950E14"/>
    <w:rsid w:val="009B35F9"/>
    <w:rsid w:val="009D0F6E"/>
    <w:rsid w:val="00A01444"/>
    <w:rsid w:val="00A069D8"/>
    <w:rsid w:val="00A702FA"/>
    <w:rsid w:val="00AA3285"/>
    <w:rsid w:val="00AB75E2"/>
    <w:rsid w:val="00B57560"/>
    <w:rsid w:val="00B8211B"/>
    <w:rsid w:val="00BB297C"/>
    <w:rsid w:val="00C25C6C"/>
    <w:rsid w:val="00CA5519"/>
    <w:rsid w:val="00CD55EA"/>
    <w:rsid w:val="00CD6130"/>
    <w:rsid w:val="00D06208"/>
    <w:rsid w:val="00D20C97"/>
    <w:rsid w:val="00D25F27"/>
    <w:rsid w:val="00D542A0"/>
    <w:rsid w:val="00D56FA2"/>
    <w:rsid w:val="00D6364B"/>
    <w:rsid w:val="00D83380"/>
    <w:rsid w:val="00DA385B"/>
    <w:rsid w:val="00DB2AD6"/>
    <w:rsid w:val="00DE6679"/>
    <w:rsid w:val="00DF4222"/>
    <w:rsid w:val="00E165B7"/>
    <w:rsid w:val="00F13D4E"/>
    <w:rsid w:val="00F57F40"/>
    <w:rsid w:val="00F704E3"/>
    <w:rsid w:val="00F8378A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B2A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nowburst.googlecode.com/svn/NOMLib/help/html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tracker/?func=detail&amp;atid=942737&amp;aid=3441615&amp;group_id=719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putation.llnl.gov/casc/sundials/ma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cl.cs.utk.edu/lapack-for-windows/clapack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77626-7CA8-4DE4-A1D2-6D303EC1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7461</TotalTime>
  <Pages>16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7</cp:revision>
  <cp:lastPrinted>2012-01-27T19:32:00Z</cp:lastPrinted>
  <dcterms:created xsi:type="dcterms:W3CDTF">2012-01-30T22:42:00Z</dcterms:created>
  <dcterms:modified xsi:type="dcterms:W3CDTF">2012-02-20T21:28:00Z</dcterms:modified>
</cp:coreProperties>
</file>