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F4E79"/>
          <w:sz w:val="36"/>
          <w:szCs w:val="36"/>
        </w:rPr>
        <w:t xml:space="preserve">WAFS Workstation Technical Specification</w:t>
      </w:r>
    </w:p>
    <w:p>
      <w:pPr>
        <w:spacing w:after="60"/>
        <w:jc w:val="center"/>
      </w:pPr>
      <w:r>
        <w:rPr>
          <w:rFonts w:ascii="Arial" w:cs="Arial" w:eastAsia="Arial" w:hAnsi="Arial"/>
          <w:color w:val="2E75B6"/>
          <w:sz w:val="28"/>
          <w:szCs w:val="28"/>
        </w:rPr>
        <w:t xml:space="preserve">Addendum B: Operational Design Learnings from METLAB2</w:t>
      </w:r>
    </w:p>
    <w:p>
      <w:pPr>
        <w:spacing w:after="200"/>
        <w:jc w:val="center"/>
      </w:pPr>
      <w:r>
        <w:rPr>
          <w:rFonts w:ascii="Arial" w:cs="Arial" w:eastAsia="Arial" w:hAnsi="Arial"/>
          <w:color w:val="666666"/>
          <w:sz w:val="22"/>
          <w:szCs w:val="22"/>
        </w:rPr>
        <w:t xml:space="preserve">Document Reference: WAFS-WS-SPEC-2026-001-B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Version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w:t>
            </w:r>
          </w:p>
        </w:tc>
      </w:tr>
      <w:tr>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21 March 2026</w:t>
            </w:r>
          </w:p>
        </w:tc>
      </w:tr>
      <w:tr>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Draft</w:t>
            </w:r>
          </w:p>
        </w:tc>
      </w:tr>
      <w:tr>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Commercial-in-Confidence</w:t>
            </w:r>
          </w:p>
        </w:tc>
      </w:tr>
      <w:tr>
        <w:tc>
          <w:tcPr>
            <w:tcW w:type="dxa" w:w="2340"/>
            <w:tcBorders>
              <w:top w:val="single" w:color="CCCCCC" w:sz="1"/>
              <w:left w:val="single" w:color="CCCCCC" w:sz="1"/>
              <w:bottom w:val="single" w:color="CCCCCC" w:sz="1"/>
              <w:right w:val="single" w:color="CCCCCC" w:sz="1"/>
            </w:tcBorders>
            <w:shd w:fill="E8EFF5" w:val="clear"/>
            <w:tcMar>
              <w:top w:type="dxa" w:w="80"/>
              <w:left w:type="dxa" w:w="120"/>
              <w:bottom w:type="dxa" w:w="80"/>
              <w:right w:type="dxa" w:w="120"/>
            </w:tcMar>
          </w:tcPr>
          <w:p>
            <w:r>
              <w:rPr>
                <w:rFonts w:ascii="Arial" w:cs="Arial" w:eastAsia="Arial" w:hAnsi="Arial"/>
                <w:b/>
                <w:bCs/>
                <w:sz w:val="20"/>
                <w:szCs w:val="20"/>
              </w:rPr>
              <w:t xml:space="preserve">Source Analysis</w:t>
            </w:r>
          </w:p>
        </w:tc>
        <w:tc>
          <w:tcPr>
            <w:tcW w:type="dxa" w:w="70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WAFS-METLAB2 User Manual (July 2012) and System Administration Manual (July 2012), both copyright GST</w:t>
            </w:r>
          </w:p>
        </w:tc>
      </w:tr>
    </w:tbl>
    <w:p>
      <w:pPr>
        <w:spacing w:after="200"/>
      </w:pPr>
    </w:p>
    <w:p>
      <w:pPr>
        <w:pStyle w:val="Heading1"/>
      </w:pPr>
      <w:r>
        <w:t xml:space="preserve">1. Purpose and Scope</w:t>
      </w:r>
    </w:p>
    <w:p>
      <w:pPr>
        <w:spacing w:after="120"/>
      </w:pPr>
      <w:r>
        <w:rPr>
          <w:rFonts w:ascii="Arial" w:cs="Arial" w:eastAsia="Arial" w:hAnsi="Arial"/>
          <w:sz w:val="22"/>
          <w:szCs w:val="22"/>
        </w:rPr>
        <w:t xml:space="preserve">This addendum captures operational design patterns, workflow conventions, and functional behaviours observed in the WAFS-METLAB2 workstation that should inform the design and implementation of the Cirrus workstation. These are not copied features but rather proven interaction patterns refined through two decades of operational deployment at meteorological offices worldwide.</w:t>
      </w:r>
    </w:p>
    <w:p>
      <w:pPr>
        <w:spacing w:after="120"/>
      </w:pPr>
      <w:r>
        <w:rPr>
          <w:rFonts w:ascii="Arial" w:cs="Arial" w:eastAsia="Arial" w:hAnsi="Arial"/>
          <w:sz w:val="22"/>
          <w:szCs w:val="22"/>
        </w:rPr>
        <w:t xml:space="preserve">Each requirement is assigned an identifier in the form ML2-nnn and is intended to supplement the primary Technical Specification (WAFS-WS-SPEC-2026-001) and Addendum A. Where a requirement overlaps with an existing specification entry, the more detailed or operationally specific formulation in this addendum takes precedence.</w:t>
      </w:r>
    </w:p>
    <w:p>
      <w:pPr>
        <w:pStyle w:val="Heading1"/>
      </w:pPr>
      <w:r>
        <w:t xml:space="preserve">2. Workspace and Layer Compositing</w:t>
      </w:r>
    </w:p>
    <w:p>
      <w:pPr>
        <w:spacing w:after="120"/>
      </w:pPr>
      <w:r>
        <w:rPr>
          <w:rFonts w:ascii="Arial" w:cs="Arial" w:eastAsia="Arial" w:hAnsi="Arial"/>
          <w:sz w:val="22"/>
          <w:szCs w:val="22"/>
        </w:rPr>
        <w:t xml:space="preserve">METLAB2’s workspace system is one of its most operationally significant features. It allows forecasters to build composite analysis products by layering geo-referenced data from different source modules. The Cirrus layer manager must replicate and extend this capability.</w:t>
      </w:r>
    </w:p>
    <w:p>
      <w:pPr>
        <w:pStyle w:val="Heading2"/>
      </w:pPr>
      <w:r>
        <w:t xml:space="preserve">2.1 Core Workspace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ML2-001</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allow any geo-referenced product displayed in a map window to be posted to a persistent workspace layer stack via a single action.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Post to Workspace is a one-click operation. Friction must be minimal for forecasters building composite views.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ML2-002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layers shall support toggle visibility, deletion, and colour/attribute modification per layer, managed from a dedicated layer panel.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provides Toggle Product, Delete Product, and Change Color modes within the Workspace panel.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ML2-003</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provide a Follow Valid Time mode that automatically hides workspace layers whose valid time does not match the currently displayed product.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Critical for temporal consistency when overlaying e.g. lightning data on radar. METLAB2 implements this and it is essential for animation of composited workspaces.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ML2-004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Workspace layers shall be included in animation loops when an Include Workspace toggle is active, with valid-time matching applied per frame.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explicitly provides this for animating multi-source workspaces. Without it, forecasters cannot animate composited products.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ML2-005</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Only geo-referenced products shall be compositable as overlays. Non-geo-referenced products (e.g. T4 raster charts) shall be displayed independently without overlay capability. The system shall clearly indicate when a product cannot be overlaid.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silently fails to overlay DIFAX. Cirrus should provide explicit feedback.</w:t>
            </w:r>
          </w:p>
        </w:tc>
      </w:tr>
    </w:tbl>
    <w:p>
      <w:pPr>
        <w:pStyle w:val="Heading2"/>
      </w:pPr>
      <w:r>
        <w:t xml:space="preserve">2.2 Folder and Saved Product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ML2-006</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support both static folders (snapshot of composited products saved to disk) and dynamic/macro folders (saved query definitions that re-execute against current database content on each access).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distinguishes between static folders and macro folders. Both patterns are operationally important: static for archival/briefing, dynamic for recurring analysis.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ML2-007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Folders shall support configurable sort order: newest first, oldest first, or alphabetical.</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provides all three sort modes in the folder view.</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ML2-008</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Overlay composites shall be saveable to folders as a single combined product, preserving layer relationships.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Post Overlay to Folder saves the entire composite. Forecasters use this to prepare briefing packages.</w:t>
            </w:r>
          </w:p>
        </w:tc>
      </w:tr>
    </w:tbl>
    <w:p>
      <w:r>
        <w:br w:type="page"/>
      </w:r>
    </w:p>
    <w:p>
      <w:pPr>
        <w:pStyle w:val="Heading1"/>
      </w:pPr>
      <w:r>
        <w:t xml:space="preserve">3. Station Model Plots and Conditional Display</w:t>
      </w:r>
    </w:p>
    <w:p>
      <w:pPr>
        <w:spacing w:after="120"/>
      </w:pPr>
      <w:r>
        <w:rPr>
          <w:rFonts w:ascii="Arial" w:cs="Arial" w:eastAsia="Arial" w:hAnsi="Arial"/>
          <w:sz w:val="22"/>
          <w:szCs w:val="22"/>
        </w:rPr>
        <w:t xml:space="preserve">METLAB2’s station model display includes a sophisticated conditional filtering and contouring system that is essential for operational meteorology. These patterns must be preserved in Cirrus.</w:t>
      </w:r>
    </w:p>
    <w:p>
      <w:pPr>
        <w:pStyle w:val="Heading2"/>
      </w:pPr>
      <w:r>
        <w:t xml:space="preserve">3.1 Station Display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ML2-009</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Station model plots shall support the full WMO parameter set for each source type: surface (including present Wx, visibility, temp, sky cover, wind, dewpoint, sea-level pressure, tendency, precipitation, wave, swell, gusts, min/max temp, snow depth), upper air, FD wind, flight conditions (IFR/MVFR/VFR by present weather and sky cover separately), surface derived parameters (relative humidity, dewpoint depression, specific humidity, theta, theta-W, wet-bulb temp), upper derived, thickness/shear computations across standard layer pairs, and tropopause/max wind.</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provides all of these as selectable station parameters. Missing any of these in a procurement evaluation would be a compliance gap.</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 plot density shall be controlled by a thinning slider (values 0–9), allowing users to adjust display density without modifying the underlying data query. When a station is thinned from display, a cross-mark shall optionally indicate its position.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thinning is used constantly by forecasters to manage visual clutter at different zoom levels. The cross-mark feature is particularly valued because it shows where data exists even when too dense to plot.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ML2-011</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Model grid-point data shall support AutoThin: automatic density adjustment based on current zoom level, so that zooming in progressively reveals more grid points without manual slider adjustment.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AutoThin eliminates a tedious manual step. Cirrus should implement this as the default behaviour.</w:t>
            </w:r>
          </w:p>
        </w:tc>
      </w:tr>
    </w:tbl>
    <w:p>
      <w:pPr>
        <w:pStyle w:val="Heading2"/>
      </w:pPr>
      <w:r>
        <w:t xml:space="preserve">3.2 Conditional Display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provide a conditional display tool that filters station plots by user-defined parameter thresholds, supporting low-value and high-value range bounds per parameter.</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conditional tool is used operationally to highlight e.g. all stations with visibility &lt; 1 SM or temperature &lt; 0°C.</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conditional parameters shall be linkable with AND/OR conjunctions, with AND taking precedence over OR in evaluation order.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supports compound conditionals. This is essential for complex hazard identification.</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ML2-014</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Conditional display shall support geographic region restriction via polygon drawing. Without a region defined, conditions apply to the entire domain.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REGION pushbutton allows a polygon trace to scope conditionals spatially.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Station-based alerts shall be definable from conditional parameters: when stations meeting the defined thresholds are received, the system shall notify the operator via visual and audible alert.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bridges conditionals directly into its alert subsystem. This is the operational workflow: define a hazard threshold, then promote it to an alert.</w:t>
            </w:r>
          </w:p>
        </w:tc>
      </w:tr>
    </w:tbl>
    <w:p>
      <w:pPr>
        <w:pStyle w:val="Heading1"/>
      </w:pPr>
      <w:r>
        <w:t xml:space="preserve">4. Contouring and Grid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ML2-016</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contouring engine shall support user-configurable min, max, and interval values, with separate colour and line-style attributes for regular contours, highlight (Nth) contours, and contour label text.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provides granular control over contour appearance including highlight every Nth contour with distinct styling.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Contour extrema (H/L centres) shall be automatically labelled, with a configurable influence radius slider controlling labelling sensitivity (higher values reduce noise by enlarging the neighbourhood search).</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influence slider for extrema labelling is a subtle but operationally important feature. Without it, noisy data produces dozens of spurious H/L labels.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ML2-018</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support both contour display and grid-point value display for model data, switchable by toggle. The ICAO(+) format option shall display unsigned negative values and positive values prefixed with + for wind-temperature charts.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ICAO(+) format is specifically required for WAFS wind-temperature products.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Observational contouring shall allow user-defined grid boundaries, grid spacing (in degrees), and data influence radius to control analysis resolution. A Set Grid to Screen button shall automatically populate grid boundaries from the current view extent.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provides full user control over the objective analysis grid, which is critical for stations-based contouring.</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ML2-020</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Wind data shall be displayable as flags (barbs), arrows (length-scaled, thickness-scaled, or both), or streamlines, selectable per model source.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offers five wind display modes. All are operationally relevant for different analysis contexts.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Contour smoothing shall be togglable, applying spline interpolation to reduce jagged appearance of contoured fields.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operational requirement.</w:t>
            </w:r>
          </w:p>
        </w:tc>
      </w:tr>
    </w:tbl>
    <w:p>
      <w:r>
        <w:br w:type="page"/>
      </w:r>
    </w:p>
    <w:p>
      <w:pPr>
        <w:pStyle w:val="Heading1"/>
      </w:pPr>
      <w:r>
        <w:t xml:space="preserve">5. Analysis Tools and Derived Products</w:t>
      </w:r>
    </w:p>
    <w:p>
      <w:pPr>
        <w:pStyle w:val="Heading2"/>
      </w:pPr>
      <w:r>
        <w:t xml:space="preserve">5.1 Thermodynamic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Thermodynamic profile display shall calculate and present the following derived indices: K Index, Lifted Index, Sweat Index, Total Totals Index, Boyden Index, Bradburry Index, Rackliff Index, Modified Jefferson Index, Gold Temperature, Precipitable Water, Tropopause height, and Maximum wind height.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calculates all of these. Any missing index would be noticed by experienced forecasters.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Height units in profiles shall be switchable between hPa (default), metres, feet, and flight level, with calculation method selectable between geopotential, ICAO standard atmosphere, and ICAO standard atmosphere corrected.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provides all three height calculation methods with unit switching. Flight level display is essential for aviation meteorology.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ML2-024</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Profiles shall support selection of stations via GEO mode: a geographic map popup from which the user clicks a station location to immediately retrieve and display the profile for that station.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GEO mode is used across profiles, time profiles, time series, and cross-sections. It is the primary station selection method.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 profiles, time profiles, cross-section parameters, and time series shall be overlayable via the Post to Workspace mechanism.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uses workspace compositing as the universal overlay mechanism for graph products. This pattern should be unified in Cirrus.</w:t>
            </w:r>
          </w:p>
        </w:tc>
      </w:tr>
    </w:tbl>
    <w:p>
      <w:pPr>
        <w:pStyle w:val="Heading2"/>
      </w:pPr>
      <w:r>
        <w:t xml:space="preserve">5.2 Cross-Sections and Time Series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ML2-026</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Vertical cross-sections shall support sequential multi-station selection from a geographic display, with left-mouse for intermediate stations and middle-mouse (or equivalent modifier) for the final station.</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cross-section station selection is intuitive and well-established. Cirrus should provide an equivalent multi-point selection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Cross-section and time-profile graphs shall each support three display modes: isolines (contours), raw values (station observations or grid points), and filled contours, switchable by toggle.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three display modes are used operationally depending on the analysis context.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ML2-028</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Graph vertical axis extent shall be changeable via the Projection action, selecting from pre-configured pressure range backgrounds (e.g. 1000–500 hPa, 1000–100 hPa).</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uses the projection system to control graph axes. Cirrus can implement this more directly but must provide equivalent control.</w:t>
            </w:r>
          </w:p>
        </w:tc>
      </w:tr>
    </w:tbl>
    <w:p>
      <w:pPr>
        <w:pStyle w:val="Heading2"/>
      </w:pPr>
      <w:r>
        <w:t xml:space="preserve">5.3 Specialist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ML2-029</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provide a geostrophic wind calculator accessible by Shift+Ctrl+click-drag between two isobars, displaying computed geostrophic wind speed and a table of values adjusted for air-sea temperature difference.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Niche but valued tool for marine forecasters. METLAB2 implements this as a contextual tool on pressure contour displays.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ML2-030</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 magnifier tool shall be available for raster chart products (T4/advisory PNGs), enabling roam-and-magnify inspection of chart detail within small display windows.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Magnifier is specifically designed for T4 charts in multi-pane layouts where individual panes may be small.</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ML2-031</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 briefing cursor mode shall provide an enlarged, high-visibility cursor (red) for use during weather briefing presentations.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Simple but operationally important for briefing rooms. METLAB2 provides Normal and Briefing cursor modes.</w:t>
            </w:r>
          </w:p>
        </w:tc>
      </w:tr>
    </w:tbl>
    <w:p>
      <w:r>
        <w:br w:type="page"/>
      </w:r>
    </w:p>
    <w:p>
      <w:pPr>
        <w:pStyle w:val="Heading1"/>
      </w:pPr>
      <w:r>
        <w:t xml:space="preserve">6. Drawing and Annotation Toolkit</w:t>
      </w:r>
    </w:p>
    <w:p>
      <w:pPr>
        <w:spacing w:after="120"/>
      </w:pPr>
      <w:r>
        <w:rPr>
          <w:rFonts w:ascii="Arial" w:cs="Arial" w:eastAsia="Arial" w:hAnsi="Arial"/>
          <w:sz w:val="22"/>
          <w:szCs w:val="22"/>
        </w:rPr>
        <w:t xml:space="preserve">METLAB2 includes a comprehensive drawing toolkit that allows forecasters to annotate products with meteorological symbols, fronts, text, and other features. This is a significant gap in the current Cirrus specification.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provide a drawing toolkit with the following object types: freeform lines, fronts (cold, warm, occluded, stationary, trough, convergence, ITCZ), fill areas (polygons with colour fill), map symbols (standard meteorological), wind flags, text annotations with configurable font and colour, legends (templated with user-editable labels), and range rings with distance readout in NM and km.</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Draw module provides all of these. Frontal analysis annotation is a core forecaster workflow.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 and front smoothing shall be available as a pre-draw option, applying spline interpolation to mouse-drawn paths.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smoothing produces professional-looking frontal analyses from freehand mouse input.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ML2-034</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Line thickness shall be adjustable for lines and fill-area borders.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Standard drawing requirement.</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ML2-035</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Annotated products shall be saveable to folders and recallable, preserving all drawing objects as an overlay on the original product.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Forecasters annotate products and save them for shift handover or briefing. The annotation must persist.</w:t>
            </w:r>
          </w:p>
        </w:tc>
      </w:tr>
    </w:tbl>
    <w:p>
      <w:pPr>
        <w:pStyle w:val="Heading1"/>
      </w:pPr>
      <w:r>
        <w:t xml:space="preserve">7. Animation and Temporal Navigation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ML2-036</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Animation shall support forward, reverse, step-forward, step-back, stop, and pause controls.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Full VCR-style controls are expected by operational users. METLAB2 provides all six.</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rate shall be adjustable via slider during playback.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rate adjustment is essential for identifying features in different temporal contexts.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ML2-038</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Dwell time (pause duration at end of loop before restart) shall be separately configurable from animation rate.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Dwell time lets forecasters examine the final frame before the loop restarts. METLAB2 provides this as a dedicated slider.</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Individual frames shall be deletable from an animation sequence without stopping the loop.</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Delete Current Image allows removal of bad or irrelevant frames mid-animation.</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ML2-040</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 All On / All Off toggle shall allow rapid selection or deselection of all available products in the animation product list, with individual frame deselection also available.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provides both bulk and individual frame selection. The default is all frames selected.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ML2-041</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 Start Animation shall begin animation automatically when entering the animation mode, without requiring manual Start.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Reduces clicks for a frequently used action.</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ML2-042</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Automatic Update shall append new products to the animation loop as they arrive in the database, dropping the oldest frame to maintain loop length.</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Auto Update keeps animation loops current without user intervention. Essential for monitoring.</w:t>
            </w:r>
          </w:p>
        </w:tc>
      </w:tr>
    </w:tbl>
    <w:p>
      <w:r>
        <w:br w:type="page"/>
      </w:r>
    </w:p>
    <w:p>
      <w:pPr>
        <w:pStyle w:val="Heading1"/>
      </w:pPr>
      <w:r>
        <w:t xml:space="preserve">8. Alerting and Automated Bulletin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ML2-043</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Alerts shall be definable from three contexts: alphanumeric bulletin header matching (TTAAii CCCC pattern), radar product type receipt, and station conditional thresholds with optional geographic region scoping.</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provides context-specific alert definition from within each relevant module. The alert is configured where the data lives.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ML2-044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AutoPrint subsystem shall support regex-based pattern matching against incoming bulletin headers, with configurable actions per pattern: print to local printer, email to one or more addresses, and copy to one or more local directories. Each action shall be independently enableable per pattern set.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AutoPrint is a powerful operational automation tool. Airlines and met offices use it to route critical bulletins (volcanic ash, tropical cyclone) to printers, email distribution lists, and archive directories simultaneously.</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ML2-045</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AutoPrint pattern sets shall support configurable file retention periods (in days) for copied bulletins.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defaults to 3 days retention. This prevents unbounded disk growth.</w:t>
            </w:r>
          </w:p>
        </w:tc>
      </w:tr>
    </w:tbl>
    <w:p>
      <w:pPr>
        <w:pStyle w:val="Heading1"/>
      </w:pPr>
      <w:r>
        <w:t xml:space="preserve">9. Data Reception Monitoring and Diagnostics</w:t>
      </w:r>
    </w:p>
    <w:p>
      <w:pPr>
        <w:spacing w:after="120"/>
      </w:pPr>
      <w:r>
        <w:rPr>
          <w:rFonts w:ascii="Arial" w:cs="Arial" w:eastAsia="Arial" w:hAnsi="Arial"/>
          <w:sz w:val="22"/>
          <w:szCs w:val="22"/>
        </w:rPr>
        <w:t xml:space="preserve">METLAB2’s WAFS Ingest Status Monitor (WISM) provides comprehensive operational visibility into data flow. Cirrus must provide equivalent or superior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ML2-046</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provide a data ingest status monitor displaying per-data-type file lists (alpha, BUFR, GRIB, T4) with WMO headers, dates, and reception times, filterable by date and by TTAAii CCCC pattern search.</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WISM is the system administrator’s primary diagnostic tool for confirming data flow.</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ML2-047</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ingest monitor shall provide daily and hourly reception reports showing processed file counts per data type, received TAR file counts and sizes, unfaired file counts, and difference calculations to identify gaps.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Daily/Hourly IP Reports provide trend analysis for diagnosing reception problems over time.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ML2-048</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ingest monitor shall display a histogram and timeline visualisation of data reception patterns over a 24-hour period, showing temporal distribution of file arrivals.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T4 and GRIB status views include histograms. These visually reveal broadcast patterns and gaps.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ML2-049</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flag and separately list files received with invalid or improper transmission headers.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Invalid List isolates corrupt or malformed data for administrator review.</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ML2-050</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The system shall transmit a periodic heartbeat message and provide a heartbeat status display confirming connectivity.</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sends hourly BMBB99 heartbeat. Cirrus should implement an equivalent health-check mechanism.</w:t>
            </w:r>
          </w:p>
        </w:tc>
      </w:tr>
    </w:tbl>
    <w:p>
      <w:pPr>
        <w:pStyle w:val="Heading1"/>
      </w:pPr>
      <w:r>
        <w:t xml:space="preserve">10. User Interface Conventions and Workflow Patterns</w:t>
      </w:r>
    </w:p>
    <w:p>
      <w:pPr>
        <w:spacing w:after="120"/>
      </w:pPr>
      <w:r>
        <w:rPr>
          <w:rFonts w:ascii="Arial" w:cs="Arial" w:eastAsia="Arial" w:hAnsi="Arial"/>
          <w:sz w:val="22"/>
          <w:szCs w:val="22"/>
        </w:rPr>
        <w:t xml:space="preserve">The following UI patterns from METLAB2 represent operationally refined conventions that Cirrus should adopt or improve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4960"/>
        <w:gridCol w:w="3500"/>
      </w:tblGrid>
      <w:tr>
        <w:tc>
          <w:tcPr>
            <w:tcW w:type="dxa" w:w="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Requirement</w:t>
            </w:r>
          </w:p>
        </w:tc>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ML2-051</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Each display window shall show a title bar with the product type, name, and valid time of the currently displayed product.</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window title bars provide at-a-glance product identification. This is essential when running multi-pane layouts.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ML2-052</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Alert status messages shall be displayed in a persistent, visible status area, distinct from cursor readout and product labels.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uses separate screen areas for cursor feedback (upper-left), alert messages (upper-centre), and product labels. These must not overlap.</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ML2-053</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Control panels shall be context-sensitive: selecting a data source shall update the control panel to show only widgets relevant to that source type.</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dynamically adjusts the control panel based on the active source module. This reduces clutter and cognitive load.</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ML2-054</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 system shall support User Window Profiles: named, saveable arrangements of window layouts and source configurations that can be selected at launch and switched during operation.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provides profiles like 1st_Shift_Dispatch, Brief_National, Radar_Satellite_Brief. These represent role-based operational configurations.</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ML2-055</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An Auto Exit mode shall automatically return the user to the previous control panel after completing a single action (e.g. posting to folder), with the option to disable Auto Exit for repeated actions.</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Small but significant workflow optimisation from METLAB2 that reduces navigation clicks.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ML2-056</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 lists shall be ordered by time with most recent first (default), and the most recent product shall be automatically selected and displayed on module entry.</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METLAB2 convention: latest data is always immediately visible. Users should never need to scroll to find the current product.</w:t>
            </w:r>
          </w:p>
        </w:tc>
      </w:tr>
      <w:tr>
        <w:tc>
          <w:tcPr>
            <w:tcW w:type="dxa" w:w="9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ML2-057</w:t>
            </w:r>
          </w:p>
        </w:tc>
        <w:tc>
          <w:tcPr>
            <w:tcW w:type="dxa" w:w="49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Select Bulletins shall provide a pre-configured list of common bulletin names aliased to their TTAAii CCCC identifiers, allowing one-click retrieval of frequently accessed bulletins (e.g. Tropical Discussion → AXNT20 KNHC).</w:t>
            </w:r>
          </w:p>
        </w:tc>
        <w:tc>
          <w:tcPr>
            <w:tcW w:type="dxa" w:w="35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METLAB2 Select Bulletins eliminates the need for operators to memorise WMO headers. This is a major usability feature for less experienced staff.</w:t>
            </w:r>
          </w:p>
        </w:tc>
      </w:tr>
    </w:tbl>
    <w:p>
      <w:r>
        <w:br w:type="page"/>
      </w:r>
    </w:p>
    <w:p>
      <w:pPr>
        <w:pStyle w:val="Heading1"/>
      </w:pPr>
      <w:r>
        <w:t xml:space="preserve">11. Cross-Reference to Primary Specification</w:t>
      </w:r>
    </w:p>
    <w:p>
      <w:pPr>
        <w:spacing w:after="120"/>
      </w:pPr>
      <w:r>
        <w:rPr>
          <w:rFonts w:ascii="Arial" w:cs="Arial" w:eastAsia="Arial" w:hAnsi="Arial"/>
          <w:sz w:val="22"/>
          <w:szCs w:val="22"/>
        </w:rPr>
        <w:t xml:space="preserve">The following table maps each ML2 requirement to the relevant section of the primary Technical Specification or Addendum A, indicating whether it is new content, a refinement of an existing requirement, or a gap that was previously unaddressed.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300"/>
        <w:gridCol w:w="2200"/>
        <w:gridCol w:w="2760"/>
      </w:tblGrid>
      <w:tr>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ML2 ID</w:t>
            </w:r>
          </w:p>
        </w:tc>
        <w:tc>
          <w:tcPr>
            <w:tcW w:type="dxa" w:w="3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Topic</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Primary Spec Section</w:t>
            </w:r>
          </w:p>
        </w:tc>
        <w:tc>
          <w:tcPr>
            <w:tcW w:type="dxa" w:w="2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vAlign w:val="center"/>
          </w:tcPr>
          <w:p>
            <w:r>
              <w:rPr>
                <w:rFonts w:ascii="Arial" w:cs="Arial" w:eastAsia="Arial" w:hAnsi="Arial"/>
                <w:b/>
                <w:bCs/>
                <w:color w:val="FFFFFF"/>
                <w:sz w:val="20"/>
                <w:szCs w:val="20"/>
              </w:rPr>
              <w:t xml:space="preserve">Status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ML2-001–005</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Workspace compositing</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4.3 Layer Manager</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adds valid-time sync and animation inclusion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ML2-006–008</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Folders and macros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folder system with static/dynamic modes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ML2-009–011</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Station model parameters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4.2.4 Station Plots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specifies full WMO parameter set and thinning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ML2-012–015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Conditional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threshold-based filtering with spatial scoping</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ML2-016–021</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Contouring engine</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4.2.3 Contour Rendering</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adds extrema labelling, ICAO(+), influence radius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ML2-022–025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Thermodynamic profiles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4.2.6 Profile Display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specifies full index set and height units</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ML2-026–028</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Cross-sections/time series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4.2.7 Cross-Sections</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specifies station selection and display modes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ML2-029–031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Specialist tools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New: geostrophic calculator, magnifier, briefing cursor</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ML2-032–035</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Drawing toolkit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Not addressed</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New: full annotation capability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ML2-036–042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Animation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4.4 Animation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adds dwell time, frame delete, workspace inclusion</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ML2-043–045</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Alerting and AutoPrint</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4.6 Alerting</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adds regex routing and bulletin copy/email actions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ML2-046–050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 monitoring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3.5 Health Monitoring</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Refinement: adds per-type status, histograms, invalid file tracking</w:t>
            </w:r>
          </w:p>
        </w:tc>
      </w:tr>
      <w:tr>
        <w:tc>
          <w:tcPr>
            <w:tcW w:type="dxa" w:w="11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b/>
                <w:bCs/>
                <w:sz w:val="20"/>
                <w:szCs w:val="20"/>
              </w:rPr>
              <w:t xml:space="preserve">ML2-051–057</w:t>
            </w:r>
          </w:p>
        </w:tc>
        <w:tc>
          <w:tcPr>
            <w:tcW w:type="dxa" w:w="33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UI conventions</w:t>
            </w:r>
          </w:p>
        </w:tc>
        <w:tc>
          <w:tcPr>
            <w:tcW w:type="dxa" w:w="220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4.1 User Interface</w:t>
            </w:r>
          </w:p>
        </w:tc>
        <w:tc>
          <w:tcPr>
            <w:tcW w:type="dxa" w:w="2760"/>
            <w:tcBorders>
              <w:top w:val="single" w:color="CCCCCC" w:sz="1"/>
              <w:left w:val="single" w:color="CCCCCC" w:sz="1"/>
              <w:bottom w:val="single" w:color="CCCCCC" w:sz="1"/>
              <w:right w:val="single" w:color="CCCCCC" w:sz="1"/>
            </w:tcBorders>
            <w:shd w:fill="F2F7FB" w:val="clear"/>
            <w:tcMar>
              <w:top w:type="dxa" w:w="80"/>
              <w:left w:type="dxa" w:w="120"/>
              <w:bottom w:type="dxa" w:w="80"/>
              <w:right w:type="dxa" w:w="120"/>
            </w:tcMar>
          </w:tcPr>
          <w:p>
            <w:r>
              <w:rPr>
                <w:rFonts w:ascii="Arial" w:cs="Arial" w:eastAsia="Arial" w:hAnsi="Arial"/>
                <w:sz w:val="20"/>
                <w:szCs w:val="20"/>
              </w:rPr>
              <w:t xml:space="preserve">Refinement: adds context-sensitive panels, profiles, auto-exit</w:t>
            </w:r>
          </w:p>
        </w:tc>
      </w:tr>
    </w:tbl>
    <w:p>
      <w:pPr>
        <w:spacing w:before="300"/>
      </w:pPr>
    </w:p>
    <w:p>
      <w:pPr>
        <w:spacing w:after="120"/>
      </w:pPr>
      <w:r>
        <w:rPr>
          <w:rFonts w:ascii="Arial" w:cs="Arial" w:eastAsia="Arial" w:hAnsi="Arial"/>
          <w:b/>
          <w:bCs/>
          <w:sz w:val="22"/>
          <w:szCs w:val="22"/>
        </w:rPr>
        <w:t xml:space="preserve">End of Addendum B. </w:t>
      </w:r>
      <w:r>
        <w:rPr>
          <w:rFonts w:ascii="Arial" w:cs="Arial" w:eastAsia="Arial" w:hAnsi="Arial"/>
          <w:sz w:val="22"/>
          <w:szCs w:val="22"/>
        </w:rPr>
        <w:t xml:space="preserve">This document contains 57 requirements derived from analysis of the WAFS-METLAB2 User Manual and System Administration Manual. It should be read in conjunction with WAFS-WS-SPEC-2026-001, Addendum A, and the Evaluation Compliance Matrix (WAFS-WS-ECM-2026-001).</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of </w:t>
    </w:r>
    <w:r>
      <w:rPr>
        <w:rFonts w:ascii="Arial" w:cs="Arial" w:eastAsia="Arial" w:hAnsi="Arial"/>
        <w:color w:val="99999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tabs>
        <w:tab w:val="right" w:pos="9026"/>
      </w:tabs>
      <w:spacing w:after="120"/>
    </w:pPr>
    <w:r>
      <w:rPr>
        <w:rFonts w:ascii="Arial" w:cs="Arial" w:eastAsia="Arial" w:hAnsi="Arial"/>
        <w:color w:val="666666"/>
        <w:sz w:val="18"/>
        <w:szCs w:val="18"/>
      </w:rPr>
      <w:t xml:space="preserve">WAFS-WS-SPEC-2026-001 Addendum B	METLAB2 Operational Learnings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A90C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2026-03-21T23:30:55.588Z</dcterms:created>
  <dcterms:modified xsi:type="dcterms:W3CDTF">2026-03-21T23:30:55.590Z</dcterms:modified>
</cp:coreProperties>
</file>

<file path=docProps/custom.xml><?xml version="1.0" encoding="utf-8"?>
<Properties xmlns="http://schemas.openxmlformats.org/officeDocument/2006/custom-properties" xmlns:vt="http://schemas.openxmlformats.org/officeDocument/2006/docPropsVTypes"/>
</file>