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999999"/>
          <w:spacing w:val="200"/>
          <w:sz w:val="28"/>
          <w:szCs w:val="28"/>
        </w:rPr>
        <w:t xml:space="preserve">TECHNICAL SPECIFICATION</w:t>
      </w:r>
    </w:p>
    <w:p>
      <w:pPr>
        <w:spacing w:after="120"/>
        <w:jc w:val="center"/>
      </w:pPr>
      <w:r>
        <w:rPr>
          <w:rFonts w:ascii="Arial" w:cs="Arial" w:eastAsia="Arial" w:hAnsi="Arial"/>
          <w:b/>
          <w:bCs/>
          <w:color w:val="1B365D"/>
          <w:sz w:val="52"/>
          <w:szCs w:val="52"/>
        </w:rPr>
        <w:t xml:space="preserve">Next Generation</w:t>
      </w:r>
    </w:p>
    <w:p>
      <w:pPr>
        <w:spacing w:after="120"/>
        <w:jc w:val="center"/>
      </w:pPr>
      <w:r>
        <w:rPr>
          <w:rFonts w:ascii="Arial" w:cs="Arial" w:eastAsia="Arial" w:hAnsi="Arial"/>
          <w:b/>
          <w:bCs/>
          <w:color w:val="1B365D"/>
          <w:sz w:val="52"/>
          <w:szCs w:val="52"/>
        </w:rPr>
        <w:t xml:space="preserve">World Area Forecasting System</w:t>
      </w:r>
    </w:p>
    <w:p>
      <w:pPr>
        <w:spacing w:after="60"/>
        <w:jc w:val="center"/>
      </w:pPr>
      <w:r>
        <w:rPr>
          <w:rFonts w:ascii="Arial" w:cs="Arial" w:eastAsia="Arial" w:hAnsi="Arial"/>
          <w:b/>
          <w:bCs/>
          <w:color w:val="1B365D"/>
          <w:sz w:val="52"/>
          <w:szCs w:val="52"/>
        </w:rPr>
        <w:t xml:space="preserve">Workstation</w:t>
      </w:r>
    </w:p>
    <w:p>
      <w:pPr>
        <w:pBdr>
          <w:bottom w:val="single" w:color="2E75B6" w:sz="12" w:space="8"/>
        </w:pBdr>
        <w:spacing w:after="400"/>
        <w:jc w:val="center"/>
      </w:pPr>
      <w:r>
        <w:rPr>
          <w:rFonts w:ascii="Arial" w:cs="Arial" w:eastAsia="Arial" w:hAnsi="Arial"/>
          <w:color w:val="2E75B6"/>
          <w:sz w:val="22"/>
          <w:szCs w:val="22"/>
        </w:rPr>
        <w:t xml:space="preserve">WAFS-WS-SPEC-2026-001</w:t>
      </w:r>
    </w:p>
    <w:p>
      <w:pPr>
        <w:spacing w:after="400"/>
      </w:pPr>
    </w:p>
    <w:p>
      <w:pPr>
        <w:spacing w:after="80"/>
        <w:jc w:val="center"/>
      </w:pPr>
      <w:r>
        <w:rPr>
          <w:color w:val="555555"/>
          <w:sz w:val="22"/>
          <w:szCs w:val="22"/>
        </w:rPr>
        <w:t xml:space="preserve">Version 1.0  —  March 2026</w:t>
      </w:r>
    </w:p>
    <w:p>
      <w:pPr>
        <w:spacing w:after="80"/>
        <w:jc w:val="center"/>
      </w:pPr>
      <w:r>
        <w:rPr>
          <w:color w:val="999999"/>
          <w:sz w:val="20"/>
          <w:szCs w:val="20"/>
        </w:rPr>
        <w:t xml:space="preserve">Classification: UNCLASSIFIED // FOR OFFICIAL USE ONLY</w:t>
      </w:r>
    </w:p>
    <w:p>
      <w:pPr>
        <w:spacing w:after="800"/>
      </w:pPr>
    </w:p>
    <w:p>
      <w:pPr>
        <w:spacing w:after="80"/>
        <w:jc w:val="center"/>
      </w:pPr>
      <w:r>
        <w:rPr>
          <w:color w:val="555555"/>
          <w:sz w:val="20"/>
          <w:szCs w:val="20"/>
        </w:rPr>
        <w:t xml:space="preserve">Prepared in accordance with</w:t>
      </w:r>
    </w:p>
    <w:p>
      <w:pPr>
        <w:spacing w:after="80"/>
        <w:jc w:val="center"/>
      </w:pPr>
      <w:r>
        <w:rPr>
          <w:b/>
          <w:bCs/>
          <w:color w:val="555555"/>
          <w:sz w:val="20"/>
          <w:szCs w:val="20"/>
        </w:rPr>
        <w:t xml:space="preserve">ICAO Annex 3 — Meteorological Service for International Air Navigation</w:t>
      </w:r>
    </w:p>
    <w:p>
      <w:pPr>
        <w:spacing w:after="80"/>
        <w:jc w:val="center"/>
      </w:pPr>
      <w:r>
        <w:rPr>
          <w:b/>
          <w:bCs/>
          <w:color w:val="555555"/>
          <w:sz w:val="20"/>
          <w:szCs w:val="20"/>
        </w:rPr>
        <w:t xml:space="preserve">PANS-MET (Doc 10157) — Procedures for Air Navigation Services</w:t>
      </w:r>
    </w:p>
    <w:p>
      <w:pPr>
        <w:jc w:val="center"/>
      </w:pPr>
      <w:r>
        <w:rPr>
          <w:b/>
          <w:bCs/>
          <w:color w:val="555555"/>
          <w:sz w:val="20"/>
          <w:szCs w:val="20"/>
        </w:rPr>
        <w:t xml:space="preserve">ICAO Global Air Navigation Plan (GANP) / ASBU Framework</w:t>
      </w:r>
    </w:p>
    <w:p>
      <w:pPr>
        <w:sectPr>
          <w:pgSz w:w="12240" w:h="15840" w:orient="portrait"/>
          <w:pgMar w:top="1440" w:right="1440" w:bottom="1440" w:left="1440" w:header="708" w:footer="708" w:gutter="0"/>
          <w:pgNumType/>
          <w:docGrid w:linePitch="360"/>
        </w:sectPr>
      </w:pP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Document Number</w:t>
            </w:r>
          </w:p>
        </w:tc>
        <w:tc>
          <w:tcPr>
            <w:tcW w:type="dxa" w:w="6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WAFS-WS-SPEC-2026-001</w:t>
            </w:r>
          </w:p>
        </w:tc>
      </w:tr>
      <w:tr>
        <w:tc>
          <w:tcPr>
            <w:tcW w:type="dxa" w:w="3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Version</w:t>
            </w:r>
          </w:p>
        </w:tc>
        <w:tc>
          <w:tcPr>
            <w:tcW w:type="dxa" w:w="6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1.0</w:t>
            </w:r>
          </w:p>
        </w:tc>
      </w:tr>
      <w:tr>
        <w:tc>
          <w:tcPr>
            <w:tcW w:type="dxa" w:w="3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Date</w:t>
            </w:r>
          </w:p>
        </w:tc>
        <w:tc>
          <w:tcPr>
            <w:tcW w:type="dxa" w:w="6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12 March 2026</w:t>
            </w:r>
          </w:p>
        </w:tc>
      </w:tr>
      <w:tr>
        <w:tc>
          <w:tcPr>
            <w:tcW w:type="dxa" w:w="3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6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Draft for Review</w:t>
            </w:r>
          </w:p>
        </w:tc>
      </w:tr>
      <w:tr>
        <w:tc>
          <w:tcPr>
            <w:tcW w:type="dxa" w:w="3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Classification</w:t>
            </w:r>
          </w:p>
        </w:tc>
        <w:tc>
          <w:tcPr>
            <w:tcW w:type="dxa" w:w="6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UNCLASSIFIED // FOR OFFICIAL USE ONLY</w:t>
            </w:r>
          </w:p>
        </w:tc>
      </w:tr>
      <w:tr>
        <w:tc>
          <w:tcPr>
            <w:tcW w:type="dxa" w:w="3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Applicable Standards</w:t>
            </w:r>
          </w:p>
        </w:tc>
        <w:tc>
          <w:tcPr>
            <w:tcW w:type="dxa" w:w="6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ICAO Annex 3, PANS-MET (Doc 10157), GANP/ASBU, WMO Technical Regulations</w:t>
            </w:r>
          </w:p>
        </w:tc>
      </w:tr>
    </w:tbl>
    <w:p>
      <w:pPr>
        <w:spacing w:after="200"/>
      </w:pP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0.1</w:t>
            </w:r>
          </w:p>
        </w:tc>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15 Jan 2026</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Systems Engineering</w:t>
            </w:r>
          </w:p>
        </w:tc>
        <w:tc>
          <w:tcPr>
            <w:tcW w:type="dxa" w:w="3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Initial draft structure</w:t>
            </w:r>
          </w:p>
        </w:tc>
      </w:tr>
      <w:tr>
        <w:tc>
          <w:tcPr>
            <w:tcW w:type="dxa" w:w="1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0.5</w:t>
            </w:r>
          </w:p>
        </w:tc>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10 Feb 2026</w:t>
            </w:r>
          </w:p>
        </w:tc>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Systems Engineering</w:t>
            </w:r>
          </w:p>
        </w:tc>
        <w:tc>
          <w:tcPr>
            <w:tcW w:type="dxa" w:w="3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Incorporated SADIS API and IWXXM requirements</w:t>
            </w:r>
          </w:p>
        </w:tc>
      </w:tr>
      <w:tr>
        <w:tc>
          <w:tcPr>
            <w:tcW w:type="dxa" w:w="1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12 Mar 2026</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Systems Engineering</w:t>
            </w:r>
          </w:p>
        </w:tc>
        <w:tc>
          <w:tcPr>
            <w:tcW w:type="dxa" w:w="3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First release for stakeholder review</w:t>
            </w:r>
          </w:p>
        </w:tc>
      </w:tr>
    </w:tbl>
    <w:p>
      <w:pPr>
        <w:spacing w:after="200"/>
      </w:pP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7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Organisation</w:t>
            </w:r>
          </w:p>
        </w:tc>
        <w:tc>
          <w:tcPr>
            <w:tcW w:type="dxa" w:w="30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WAFC Operations Manager</w:t>
            </w:r>
          </w:p>
        </w:tc>
        <w:tc>
          <w:tcPr>
            <w:tcW w:type="dxa" w:w="37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WAFC London / WAFC Washington</w:t>
            </w:r>
          </w:p>
        </w:tc>
        <w:tc>
          <w:tcPr>
            <w:tcW w:type="dxa" w:w="3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Review &amp; Approve</w:t>
            </w:r>
          </w:p>
        </w:tc>
      </w:tr>
      <w:tr>
        <w:tc>
          <w:tcPr>
            <w:tcW w:type="dxa" w:w="26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SADIS Programme Manager</w:t>
            </w:r>
          </w:p>
        </w:tc>
        <w:tc>
          <w:tcPr>
            <w:tcW w:type="dxa" w:w="37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UK Met Office</w:t>
            </w:r>
          </w:p>
        </w:tc>
        <w:tc>
          <w:tcPr>
            <w:tcW w:type="dxa" w:w="3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Review</w:t>
            </w:r>
          </w:p>
        </w:tc>
      </w:tr>
      <w:tr>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WIFS Programme Lead</w:t>
            </w:r>
          </w:p>
        </w:tc>
        <w:tc>
          <w:tcPr>
            <w:tcW w:type="dxa" w:w="37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NOAA / FAA Aviation Weather Center</w:t>
            </w:r>
          </w:p>
        </w:tc>
        <w:tc>
          <w:tcPr>
            <w:tcW w:type="dxa" w:w="3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Review</w:t>
            </w:r>
          </w:p>
        </w:tc>
      </w:tr>
      <w:tr>
        <w:tc>
          <w:tcPr>
            <w:tcW w:type="dxa" w:w="26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Chief Meteorologist</w:t>
            </w:r>
          </w:p>
        </w:tc>
        <w:tc>
          <w:tcPr>
            <w:tcW w:type="dxa" w:w="37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State Meteorological Authority</w:t>
            </w:r>
          </w:p>
        </w:tc>
        <w:tc>
          <w:tcPr>
            <w:tcW w:type="dxa" w:w="3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Review</w:t>
            </w:r>
          </w:p>
        </w:tc>
      </w:tr>
      <w:tr>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Workstation Vendor</w:t>
            </w:r>
          </w:p>
        </w:tc>
        <w:tc>
          <w:tcPr>
            <w:tcW w:type="dxa" w:w="37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Approved SADIS/WIFS Software Suppliers</w:t>
            </w:r>
          </w:p>
        </w:tc>
        <w:tc>
          <w:tcPr>
            <w:tcW w:type="dxa" w:w="3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Implement</w:t>
            </w:r>
          </w:p>
        </w:tc>
      </w:tr>
      <w:tr>
        <w:tc>
          <w:tcPr>
            <w:tcW w:type="dxa" w:w="26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ICAO MET Panel Representative</w:t>
            </w:r>
          </w:p>
        </w:tc>
        <w:tc>
          <w:tcPr>
            <w:tcW w:type="dxa" w:w="37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ICAO</w:t>
            </w:r>
          </w:p>
        </w:tc>
        <w:tc>
          <w:tcPr>
            <w:tcW w:type="dxa" w:w="3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Information</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defines the complete technical specification for a next-generation World Area Forecasting System (WAFS) workstation designed to ingest, decode, visualize, and operationally exploit the full spectrum of current and planned WAFS data products. The specification addresses the fundamental transition underway in global aviation meteorology: the migration from legacy file-transfer-based data distribution toward modern API-driven, SWIM-enabled information services, and the evolution from deterministic-only hazard forecasts toward probabilistic data sets planned for operational introduction in November 2028.</w:t>
      </w:r>
    </w:p>
    <w:p>
      <w:pPr>
        <w:spacing w:after="120"/>
      </w:pPr>
      <w:r>
        <w:t xml:space="preserve">The WAFS workstation described herein is intended for deployment at aerodrome meteorological offices, airline operations centres, air traffic management facilities, and state meteorological authorities where WAFS data is consumed for flight planning, pilot briefing, en-route decision support, and air traffic flow management. It is architected to meet or exceed the evaluation criteria published by the SADIS Provider and the conformance requirements of ICAO Annex 3, the PANS-MET (Doc 10157), and the ICAO Global Air Navigation Plan (GANP) Aviation System Block Upgrades (ASBU) framework.</w:t>
      </w:r>
    </w:p>
    <w:p>
      <w:pPr>
        <w:spacing w:after="120"/>
      </w:pPr>
      <w:r>
        <w:t xml:space="preserve">Key design drivers include full support for the SADIS API and WIFS API (OGC Environmental Data Retrieval framework), native decoding and rendering of GRIB2, BUFR, IWXXM (XML/GML), and traditional alphanumeric (TAC) formats, interactive SIGWX chart visualization with pan/zoom/layer toggle and multi-timestep animation (T+6 through T+48 at 3-hour intervals), and a forward-compatible architecture prepared for probabilistic hazard data integration when these datasets become available.</w:t>
      </w:r>
    </w:p>
    <w:p>
      <w:r>
        <w:br w:type="page"/>
      </w:r>
    </w:p>
    <w:p>
      <w:pPr>
        <w:pStyle w:val="Heading1"/>
      </w:pPr>
      <w:r>
        <w:t xml:space="preserve">2. Scope and Objectives</w:t>
      </w:r>
    </w:p>
    <w:p>
      <w:pPr>
        <w:pStyle w:val="Heading2"/>
      </w:pPr>
      <w:r>
        <w:t xml:space="preserve">2.1 Purpose</w:t>
      </w:r>
    </w:p>
    <w:p>
      <w:pPr>
        <w:spacing w:after="120"/>
      </w:pPr>
      <w:r>
        <w:t xml:space="preserve">This specification establishes the mandatory and desirable requirements for a WAFS workstation system capable of serving as the primary aviation meteorological information platform for qualified end users. The workstation shall replace or upgrade existing SADIS/WIFS workstation installations currently using legacy FTP-based data access, ahead of the planned retirement of SADIS FTP and legacy WIFS services in 2028.</w:t>
      </w:r>
    </w:p>
    <w:p>
      <w:pPr>
        <w:pStyle w:val="Heading2"/>
      </w:pPr>
      <w:r>
        <w:t xml:space="preserve">2.2 Scope</w:t>
      </w:r>
    </w:p>
    <w:p>
      <w:pPr>
        <w:spacing w:after="120"/>
      </w:pPr>
      <w:r>
        <w:t xml:space="preserve">The specification covers:</w:t>
      </w:r>
    </w:p>
    <w:p>
      <w:pPr>
        <w:pStyle w:val="ListParagraph"/>
        <w:numPr>
          <w:ilvl w:val="0"/>
          <w:numId w:val="2"/>
        </w:numPr>
        <w:spacing w:after="60"/>
      </w:pPr>
      <w:r>
        <w:t xml:space="preserve">Hardware platform requirements including processing, display, storage, and networking</w:t>
      </w:r>
    </w:p>
    <w:p>
      <w:pPr>
        <w:pStyle w:val="ListParagraph"/>
        <w:numPr>
          <w:ilvl w:val="0"/>
          <w:numId w:val="2"/>
        </w:numPr>
        <w:spacing w:after="60"/>
      </w:pPr>
      <w:r>
        <w:t xml:space="preserve">Data acquisition from SADIS API and WIFS API services</w:t>
      </w:r>
    </w:p>
    <w:p>
      <w:pPr>
        <w:pStyle w:val="ListParagraph"/>
        <w:numPr>
          <w:ilvl w:val="0"/>
          <w:numId w:val="2"/>
        </w:numPr>
        <w:spacing w:after="60"/>
      </w:pPr>
      <w:r>
        <w:t xml:space="preserve">Decoding and processing of all WAFS data formats (GRIB2, BUFR, IWXXM, TAC)</w:t>
      </w:r>
    </w:p>
    <w:p>
      <w:pPr>
        <w:pStyle w:val="ListParagraph"/>
        <w:numPr>
          <w:ilvl w:val="0"/>
          <w:numId w:val="2"/>
        </w:numPr>
        <w:spacing w:after="60"/>
      </w:pPr>
      <w:r>
        <w:t xml:space="preserve">Visualization and interactive display of gridded data, SIGWX charts, and OPMET information</w:t>
      </w:r>
    </w:p>
    <w:p>
      <w:pPr>
        <w:pStyle w:val="ListParagraph"/>
        <w:numPr>
          <w:ilvl w:val="0"/>
          <w:numId w:val="2"/>
        </w:numPr>
        <w:spacing w:after="60"/>
      </w:pPr>
      <w:r>
        <w:t xml:space="preserve">System architecture, security, reliability, and operational continuity</w:t>
      </w:r>
    </w:p>
    <w:p>
      <w:pPr>
        <w:pStyle w:val="ListParagraph"/>
        <w:numPr>
          <w:ilvl w:val="0"/>
          <w:numId w:val="2"/>
        </w:numPr>
        <w:spacing w:after="60"/>
      </w:pPr>
      <w:r>
        <w:t xml:space="preserve">Forward compatibility with probabilistic hazard data (November 2027/2028)</w:t>
      </w:r>
    </w:p>
    <w:p>
      <w:pPr>
        <w:pStyle w:val="ListParagraph"/>
        <w:numPr>
          <w:ilvl w:val="0"/>
          <w:numId w:val="2"/>
        </w:numPr>
        <w:spacing w:after="60"/>
      </w:pPr>
      <w:r>
        <w:t xml:space="preserve">Integration with SWIM-enabled aviation information infrastructure</w:t>
      </w:r>
    </w:p>
    <w:p>
      <w:pPr>
        <w:pStyle w:val="ListParagraph"/>
        <w:numPr>
          <w:ilvl w:val="0"/>
          <w:numId w:val="2"/>
        </w:numPr>
        <w:spacing w:after="60"/>
      </w:pPr>
      <w:r>
        <w:t xml:space="preserve">Conformance testing and acceptance criteria</w:t>
      </w:r>
    </w:p>
    <w:p>
      <w:pPr>
        <w:pStyle w:val="Heading2"/>
      </w:pPr>
      <w:r>
        <w:t xml:space="preserve">2.3 Objectives</w:t>
      </w:r>
    </w:p>
    <w:p>
      <w:pPr>
        <w:pStyle w:val="ListParagraph"/>
        <w:numPr>
          <w:ilvl w:val="0"/>
          <w:numId w:val="3"/>
        </w:numPr>
        <w:spacing w:after="60"/>
      </w:pPr>
      <w:r>
        <w:t xml:space="preserve">Provide continuous 24/7/365 access to all WAFS data products with no single point of failure</w:t>
      </w:r>
    </w:p>
    <w:p>
      <w:pPr>
        <w:pStyle w:val="ListParagraph"/>
        <w:numPr>
          <w:ilvl w:val="0"/>
          <w:numId w:val="3"/>
        </w:numPr>
        <w:spacing w:after="60"/>
      </w:pPr>
      <w:r>
        <w:t xml:space="preserve">Achieve full compliance with SADIS API workstation software evaluation criteria</w:t>
      </w:r>
    </w:p>
    <w:p>
      <w:pPr>
        <w:pStyle w:val="ListParagraph"/>
        <w:numPr>
          <w:ilvl w:val="0"/>
          <w:numId w:val="3"/>
        </w:numPr>
        <w:spacing w:after="60"/>
      </w:pPr>
      <w:r>
        <w:t xml:space="preserve">Enable interactive, multi-timestep SIGWX visualization meeting ICAO display conventions</w:t>
      </w:r>
    </w:p>
    <w:p>
      <w:pPr>
        <w:pStyle w:val="ListParagraph"/>
        <w:numPr>
          <w:ilvl w:val="0"/>
          <w:numId w:val="3"/>
        </w:numPr>
        <w:spacing w:after="60"/>
      </w:pPr>
      <w:r>
        <w:t xml:space="preserve">Support transition from legacy formats (BUFR SIGWX retirement by end of 2027, SADIS FTP retirement by 2028)</w:t>
      </w:r>
    </w:p>
    <w:p>
      <w:pPr>
        <w:pStyle w:val="ListParagraph"/>
        <w:numPr>
          <w:ilvl w:val="0"/>
          <w:numId w:val="3"/>
        </w:numPr>
        <w:spacing w:after="60"/>
      </w:pPr>
      <w:r>
        <w:t xml:space="preserve">Deliver a modular, extensible platform prepared for probabilistic hazard data and future SWIM services</w:t>
      </w:r>
    </w:p>
    <w:p>
      <w:pPr>
        <w:pStyle w:val="ListParagraph"/>
        <w:numPr>
          <w:ilvl w:val="0"/>
          <w:numId w:val="3"/>
        </w:numPr>
        <w:spacing w:after="60"/>
      </w:pPr>
      <w:r>
        <w:t xml:space="preserve">Reduce pilot briefing preparation time and improve forecast situational awareness</w:t>
      </w:r>
    </w:p>
    <w:p>
      <w:pPr>
        <w:pStyle w:val="Heading2"/>
      </w:pPr>
      <w:r>
        <w:t xml:space="preserve">2.4 Applicable Documents</w:t>
      </w:r>
    </w:p>
    <w:p>
      <w:pPr>
        <w:spacing w:after="120"/>
      </w:pPr>
      <w:r>
        <w:t xml:space="preserve">The following documents form part of this specification to the extent referenced herein: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c>
          <w:tcPr>
            <w:tcW w:type="dxa" w:w="69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ICAO Annex 3</w:t>
            </w:r>
          </w:p>
        </w:tc>
        <w:tc>
          <w:tcPr>
            <w:tcW w:type="dxa" w:w="6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Meteorological Service for International Air Navigation (Amendment 82)</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PANS-MET</w:t>
            </w:r>
          </w:p>
        </w:tc>
        <w:tc>
          <w:tcPr>
            <w:tcW w:type="dxa" w:w="6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Procedures for Air Navigation Services — Meteorology (Doc 10157)</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ICAO Doc 9750</w:t>
            </w:r>
          </w:p>
        </w:tc>
        <w:tc>
          <w:tcPr>
            <w:tcW w:type="dxa" w:w="6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Global Air Navigation Plan (GANP), 7th Edition</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ICAO Doc 10039</w:t>
            </w:r>
          </w:p>
        </w:tc>
        <w:tc>
          <w:tcPr>
            <w:tcW w:type="dxa" w:w="6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Manual on System Wide Information Management (SWIM) Concept</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ICAO Doc 9855</w:t>
            </w:r>
          </w:p>
        </w:tc>
        <w:tc>
          <w:tcPr>
            <w:tcW w:type="dxa" w:w="6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Guidelines on Use of the Public Internet for Aeronautical Applications</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WMO FM 92</w:t>
            </w:r>
          </w:p>
        </w:tc>
        <w:tc>
          <w:tcPr>
            <w:tcW w:type="dxa" w:w="6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GRIB Edition 2 (Gridded Binary)</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WMO FM 94</w:t>
            </w:r>
          </w:p>
        </w:tc>
        <w:tc>
          <w:tcPr>
            <w:tcW w:type="dxa" w:w="6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BUFR (Binary Universal Form for Representation)</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IWXXM</w:t>
            </w:r>
          </w:p>
        </w:tc>
        <w:tc>
          <w:tcPr>
            <w:tcW w:type="dxa" w:w="6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ICAO Meteorological Information Exchange Model (current operational schema)</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OGC API-EDR</w:t>
            </w:r>
          </w:p>
        </w:tc>
        <w:tc>
          <w:tcPr>
            <w:tcW w:type="dxa" w:w="6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OGC Environmental Data Retrieval API Standard</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SUG 6th Ed.</w:t>
            </w:r>
          </w:p>
        </w:tc>
        <w:tc>
          <w:tcPr>
            <w:tcW w:type="dxa" w:w="6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SADIS User Guide, 6th Edition (Parts 1 &amp; 2)</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SADIS API Eval</w:t>
            </w:r>
          </w:p>
        </w:tc>
        <w:tc>
          <w:tcPr>
            <w:tcW w:type="dxa" w:w="6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SADIS API Workstation Software Evaluation Criteria</w:t>
            </w:r>
          </w:p>
        </w:tc>
      </w:tr>
    </w:tbl>
    <w:p>
      <w:r>
        <w:br w:type="page"/>
      </w:r>
    </w:p>
    <w:p>
      <w:pPr>
        <w:pStyle w:val="Heading1"/>
      </w:pPr>
      <w:r>
        <w:t xml:space="preserve">3. System Architecture</w:t>
      </w:r>
    </w:p>
    <w:p>
      <w:pPr>
        <w:pStyle w:val="Heading2"/>
      </w:pPr>
      <w:r>
        <w:t xml:space="preserve">3.1 Architecture Overview</w:t>
      </w:r>
    </w:p>
    <w:p>
      <w:pPr>
        <w:spacing w:after="120"/>
      </w:pPr>
      <w:r>
        <w:t xml:space="preserve">The next-generation WAFS workstation is designed as a multi-tier system comprising a data acquisition layer, a processing and decoding engine, a persistent data store, a visualization and presentation layer, and a system management and monitoring subsystem. The architecture follows a modular, service-oriented design that enables independent upgrade of components and facilitates integration with broader SWIM-enabled environments.</w:t>
      </w:r>
    </w:p>
    <w:p>
      <w:pPr>
        <w:pStyle w:val="Heading2"/>
      </w:pPr>
      <w:r>
        <w:t xml:space="preserve">3.2 Functional Architecture Layers</w:t>
      </w:r>
    </w:p>
    <w:p>
      <w:pPr>
        <w:pStyle w:val="Heading3"/>
      </w:pPr>
      <w:r>
        <w:t xml:space="preserve">3.2.1 Data Acquisition Layer</w:t>
      </w:r>
    </w:p>
    <w:p>
      <w:pPr>
        <w:spacing w:after="120"/>
      </w:pPr>
      <w:r>
        <w:t xml:space="preserve">This layer manages all inbound communications with external data sources. It is responsible for authenticating with the SADIS API and WIFS API, issuing RESTful queries using the OGC Environmental Data Retrieval (EDR) framework, handling response payloads, and managing automatic failover between the primary and backup WAFC data sources.</w:t>
      </w:r>
    </w:p>
    <w:p>
      <w:pPr>
        <w:spacing w:after="120"/>
      </w:pPr>
      <w:r>
        <w:t xml:space="preserve">Key capabilities:</w:t>
      </w:r>
    </w:p>
    <w:p>
      <w:pPr>
        <w:pStyle w:val="ListParagraph"/>
        <w:numPr>
          <w:ilvl w:val="0"/>
          <w:numId w:val="2"/>
        </w:numPr>
        <w:spacing w:after="60"/>
      </w:pPr>
      <w:r>
        <w:t xml:space="preserve">Authenticated HTTPS connections to SADIS API (Met Office APIM portal) and WIFS API (aviationweather.gov)</w:t>
      </w:r>
    </w:p>
    <w:p>
      <w:pPr>
        <w:pStyle w:val="ListParagraph"/>
        <w:numPr>
          <w:ilvl w:val="0"/>
          <w:numId w:val="2"/>
        </w:numPr>
        <w:spacing w:after="60"/>
      </w:pPr>
      <w:r>
        <w:t xml:space="preserve">Support for OGC API-EDR query patterns including collection enumeration, item retrieval by parameter/tile/timestep, and metadata queries returning JSON</w:t>
      </w:r>
    </w:p>
    <w:p>
      <w:pPr>
        <w:pStyle w:val="ListParagraph"/>
        <w:numPr>
          <w:ilvl w:val="0"/>
          <w:numId w:val="2"/>
        </w:numPr>
        <w:spacing w:after="60"/>
      </w:pPr>
      <w:r>
        <w:t xml:space="preserve">Configurable polling intervals synchronized to WAFS data publication cycles (6-hourly model runs with data availability within 5 hours of nominal run time)</w:t>
      </w:r>
    </w:p>
    <w:p>
      <w:pPr>
        <w:pStyle w:val="ListParagraph"/>
        <w:numPr>
          <w:ilvl w:val="0"/>
          <w:numId w:val="2"/>
        </w:numPr>
        <w:spacing w:after="60"/>
      </w:pPr>
      <w:r>
        <w:t xml:space="preserve">Automatic failover: if primary WAFC source is unavailable, seamless switch to backup WAFC with no operator intervention</w:t>
      </w:r>
    </w:p>
    <w:p>
      <w:pPr>
        <w:pStyle w:val="ListParagraph"/>
        <w:numPr>
          <w:ilvl w:val="0"/>
          <w:numId w:val="2"/>
        </w:numPr>
        <w:spacing w:after="60"/>
      </w:pPr>
      <w:r>
        <w:t xml:space="preserve">Rate limiting compliance (maximum 5,000 individual API requests per day per WIFS account)</w:t>
      </w:r>
    </w:p>
    <w:p>
      <w:pPr>
        <w:pStyle w:val="ListParagraph"/>
        <w:numPr>
          <w:ilvl w:val="0"/>
          <w:numId w:val="2"/>
        </w:numPr>
        <w:spacing w:after="60"/>
      </w:pPr>
      <w:r>
        <w:t xml:space="preserve">Digital signature verification of received data for integrity assurance</w:t>
      </w:r>
    </w:p>
    <w:p>
      <w:pPr>
        <w:pStyle w:val="ListParagraph"/>
        <w:numPr>
          <w:ilvl w:val="0"/>
          <w:numId w:val="2"/>
        </w:numPr>
        <w:spacing w:after="60"/>
      </w:pPr>
      <w:r>
        <w:t xml:space="preserve">Future extension point for Publish/Subscribe (Pub/Sub) event-driven data delivery</w:t>
      </w:r>
    </w:p>
    <w:p>
      <w:pPr>
        <w:pStyle w:val="Heading3"/>
      </w:pPr>
      <w:r>
        <w:t xml:space="preserve">3.2.2 Decoding and Processing Engine</w:t>
      </w:r>
    </w:p>
    <w:p>
      <w:pPr>
        <w:spacing w:after="120"/>
      </w:pPr>
      <w:r>
        <w:t xml:space="preserve">The decoding engine transforms raw data payloads into standardized internal representations suitable for visualization and analysis. It must handle the complete range of WAFS data formats:</w:t>
      </w:r>
    </w:p>
    <w:p>
      <w:pPr>
        <w:pStyle w:val="ListParagraph"/>
        <w:numPr>
          <w:ilvl w:val="0"/>
          <w:numId w:val="2"/>
        </w:numPr>
        <w:spacing w:after="60"/>
      </w:pPr>
      <w:r>
        <w:rPr>
          <w:b/>
          <w:bCs/>
        </w:rPr>
        <w:t xml:space="preserve">GRIB2 Decoding: </w:t>
      </w:r>
      <w:r>
        <w:t xml:space="preserve">Full support for WMO FM 92 GRIB Edition 2, including JPEG2000 compressed fields, Product Definition Template 4.15 (spatially processed data, proposed by Met Office), and all WAFS parameter tables for wind (U/V), temperature, geopotential height, relative humidity, max wind, tropopause, icing severity, turbulence severity, and cumulonimbus extent/base/top</w:t>
      </w:r>
    </w:p>
    <w:p>
      <w:pPr>
        <w:pStyle w:val="ListParagraph"/>
        <w:numPr>
          <w:ilvl w:val="0"/>
          <w:numId w:val="2"/>
        </w:numPr>
        <w:spacing w:after="60"/>
      </w:pPr>
      <w:r>
        <w:rPr>
          <w:b/>
          <w:bCs/>
        </w:rPr>
        <w:t xml:space="preserve">BUFR Decoding: </w:t>
      </w:r>
      <w:r>
        <w:t xml:space="preserve">Full support for WMO FM 94 BUFR for SIGWX data extraction (operational until retirement by end of 2027), including parsing of all SIGWX phenomena: jet streams, turbulence areas, icing areas, cumulonimbus areas, tropical cyclones, volcanic eruptions, sandstorms, radioactive releases, and tropopause data</w:t>
      </w:r>
    </w:p>
    <w:p>
      <w:pPr>
        <w:pStyle w:val="ListParagraph"/>
        <w:numPr>
          <w:ilvl w:val="0"/>
          <w:numId w:val="2"/>
        </w:numPr>
        <w:spacing w:after="60"/>
      </w:pPr>
      <w:r>
        <w:rPr>
          <w:b/>
          <w:bCs/>
        </w:rPr>
        <w:t xml:space="preserve">IWXXM Processing: </w:t>
      </w:r>
      <w:r>
        <w:t xml:space="preserve">Native parsing of ICAO IWXXM XML/GML schemas for SIGWX forecasts (multi-timestep, T+6 to T+48), OPMET products (METAR, SPECI, TAF, SIGMET, VAA, TCA), and future product types including VONA and QVA. Must support schema versioning and handle multiple IWXXM editions</w:t>
      </w:r>
    </w:p>
    <w:p>
      <w:pPr>
        <w:pStyle w:val="ListParagraph"/>
        <w:numPr>
          <w:ilvl w:val="0"/>
          <w:numId w:val="2"/>
        </w:numPr>
        <w:spacing w:after="60"/>
      </w:pPr>
      <w:r>
        <w:rPr>
          <w:b/>
          <w:bCs/>
        </w:rPr>
        <w:t xml:space="preserve">TAC Parsing: </w:t>
      </w:r>
      <w:r>
        <w:t xml:space="preserve">Continued support for traditional alphanumeric codes (METAR, TAF, SIGMET, VAA, TCA, Special AIREP) for backward compatibility during the global transition to IWXXM</w:t>
      </w:r>
    </w:p>
    <w:p>
      <w:pPr>
        <w:pStyle w:val="ListParagraph"/>
        <w:numPr>
          <w:ilvl w:val="0"/>
          <w:numId w:val="2"/>
        </w:numPr>
        <w:spacing w:after="60"/>
      </w:pPr>
      <w:r>
        <w:rPr>
          <w:b/>
          <w:bCs/>
        </w:rPr>
        <w:t xml:space="preserve">Probabilistic Data Processing (Future): </w:t>
      </w:r>
      <w:r>
        <w:t xml:space="preserve">Extensible architecture to accommodate probabilistic GRIB2 fields for turbulence, icing, and cumulonimbus probability exceedance forecasts planned for November 2027/2028</w:t>
      </w:r>
    </w:p>
    <w:p>
      <w:pPr>
        <w:pStyle w:val="Heading3"/>
      </w:pPr>
      <w:r>
        <w:t xml:space="preserve">3.2.3 Data Storage Subsystem</w:t>
      </w:r>
    </w:p>
    <w:p>
      <w:pPr>
        <w:spacing w:after="120"/>
      </w:pPr>
      <w:r>
        <w:t xml:space="preserve">A local data repository maintains decoded WAFS products with sufficient retention for operational use, re-polling, and audit purposes. The storage system must:</w:t>
      </w:r>
    </w:p>
    <w:p>
      <w:pPr>
        <w:pStyle w:val="ListParagraph"/>
        <w:numPr>
          <w:ilvl w:val="0"/>
          <w:numId w:val="2"/>
        </w:numPr>
        <w:spacing w:after="60"/>
      </w:pPr>
      <w:r>
        <w:t xml:space="preserve">Retain at minimum 36 hours of GRIB2 gridded data (consistent with SADIS deletion policies)</w:t>
      </w:r>
    </w:p>
    <w:p>
      <w:pPr>
        <w:pStyle w:val="ListParagraph"/>
        <w:numPr>
          <w:ilvl w:val="0"/>
          <w:numId w:val="2"/>
        </w:numPr>
        <w:spacing w:after="60"/>
      </w:pPr>
      <w:r>
        <w:t xml:space="preserve">Retain at minimum 28 days of OPMET data (ICAO archiving requirement)</w:t>
      </w:r>
    </w:p>
    <w:p>
      <w:pPr>
        <w:pStyle w:val="ListParagraph"/>
        <w:numPr>
          <w:ilvl w:val="0"/>
          <w:numId w:val="2"/>
        </w:numPr>
        <w:spacing w:after="60"/>
      </w:pPr>
      <w:r>
        <w:t xml:space="preserve">Retain at minimum 23 hours of GAMET products</w:t>
      </w:r>
    </w:p>
    <w:p>
      <w:pPr>
        <w:pStyle w:val="ListParagraph"/>
        <w:numPr>
          <w:ilvl w:val="0"/>
          <w:numId w:val="2"/>
        </w:numPr>
        <w:spacing w:after="60"/>
      </w:pPr>
      <w:r>
        <w:t xml:space="preserve">Support indexed retrieval by parameter, region/tile, timestep, and validity time</w:t>
      </w:r>
    </w:p>
    <w:p>
      <w:pPr>
        <w:pStyle w:val="ListParagraph"/>
        <w:numPr>
          <w:ilvl w:val="0"/>
          <w:numId w:val="2"/>
        </w:numPr>
        <w:spacing w:after="60"/>
      </w:pPr>
      <w:r>
        <w:t xml:space="preserve">Implement automatic data lifecycle management (ingestion, currency checking, expiry, deletion)</w:t>
      </w:r>
    </w:p>
    <w:p>
      <w:pPr>
        <w:pStyle w:val="ListParagraph"/>
        <w:numPr>
          <w:ilvl w:val="0"/>
          <w:numId w:val="2"/>
        </w:numPr>
        <w:spacing w:after="60"/>
      </w:pPr>
      <w:r>
        <w:t xml:space="preserve">Provide sufficient throughput for concurrent visualization queries and data acquisition</w:t>
      </w:r>
    </w:p>
    <w:p>
      <w:pPr>
        <w:pStyle w:val="Heading3"/>
      </w:pPr>
      <w:r>
        <w:t xml:space="preserve">3.2.4 Visualization and Presentation Layer</w:t>
      </w:r>
    </w:p>
    <w:p>
      <w:pPr>
        <w:spacing w:after="120"/>
      </w:pPr>
      <w:r>
        <w:t xml:space="preserve">This is the primary operator interface. Detailed requirements are specified in Section 5 (Visualization Requirements).</w:t>
      </w:r>
    </w:p>
    <w:p>
      <w:pPr>
        <w:pStyle w:val="Heading3"/>
      </w:pPr>
      <w:r>
        <w:t xml:space="preserve">3.2.5 System Management and Monitoring</w:t>
      </w:r>
    </w:p>
    <w:p>
      <w:pPr>
        <w:spacing w:after="120"/>
      </w:pPr>
      <w:r>
        <w:t xml:space="preserve">An integrated monitoring subsystem shall provide:</w:t>
      </w:r>
    </w:p>
    <w:p>
      <w:pPr>
        <w:pStyle w:val="ListParagraph"/>
        <w:numPr>
          <w:ilvl w:val="0"/>
          <w:numId w:val="2"/>
        </w:numPr>
        <w:spacing w:after="60"/>
      </w:pPr>
      <w:r>
        <w:t xml:space="preserve">Real-time status dashboard showing data acquisition health, API connectivity, data currency, and system resource utilization</w:t>
      </w:r>
    </w:p>
    <w:p>
      <w:pPr>
        <w:pStyle w:val="ListParagraph"/>
        <w:numPr>
          <w:ilvl w:val="0"/>
          <w:numId w:val="2"/>
        </w:numPr>
        <w:spacing w:after="60"/>
      </w:pPr>
      <w:r>
        <w:t xml:space="preserve">Alerting for data latency, missing products, API authentication failures, or storage capacity thresholds</w:t>
      </w:r>
    </w:p>
    <w:p>
      <w:pPr>
        <w:pStyle w:val="ListParagraph"/>
        <w:numPr>
          <w:ilvl w:val="0"/>
          <w:numId w:val="2"/>
        </w:numPr>
        <w:spacing w:after="60"/>
      </w:pPr>
      <w:r>
        <w:t xml:space="preserve">Configurable logging for audit, troubleshooting, and performance analysis</w:t>
      </w:r>
    </w:p>
    <w:p>
      <w:pPr>
        <w:pStyle w:val="ListParagraph"/>
        <w:numPr>
          <w:ilvl w:val="0"/>
          <w:numId w:val="2"/>
        </w:numPr>
        <w:spacing w:after="60"/>
      </w:pPr>
      <w:r>
        <w:t xml:space="preserve">Remote management capability for multi-site deployments</w:t>
      </w:r>
    </w:p>
    <w:p>
      <w:r>
        <w:br w:type="page"/>
      </w:r>
    </w:p>
    <w:p>
      <w:pPr>
        <w:pStyle w:val="Heading1"/>
      </w:pPr>
      <w:r>
        <w:t xml:space="preserve">4. Data Requirements</w:t>
      </w:r>
    </w:p>
    <w:p>
      <w:pPr>
        <w:pStyle w:val="Heading2"/>
      </w:pPr>
      <w:r>
        <w:t xml:space="preserve">4.1 WAFS Gridded Upper-Air Data (GRIB2)</w:t>
      </w:r>
    </w:p>
    <w:p>
      <w:pPr>
        <w:spacing w:after="120"/>
      </w:pPr>
      <w:r>
        <w:t xml:space="preserve">The workstation shall ingest and process all WAFS gridded upper-air forecast parameters at both available horizontal resolutions. The data is published every 6 hours based on the 0000, 0600, 1200, and 1800 UTC synoptic runs.</w:t>
      </w:r>
    </w:p>
    <w:p>
      <w:pPr>
        <w:pStyle w:val="Heading3"/>
      </w:pPr>
      <w:r>
        <w:t xml:space="preserve">4.1.1 Standard Resolution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Vertical Levels</w:t>
            </w:r>
          </w:p>
        </w:tc>
        <w:tc>
          <w:tcPr>
            <w:tcW w:type="dxa" w:w="29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Forecast Range</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Wind (U, V components)</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17 levels (FL050–FL530)</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to T+36, 3-hourly</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Temperature</w:t>
            </w:r>
          </w:p>
        </w:tc>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17 levels (FL050–FL530)</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to T+36, 3-hourly</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Geopotential Height</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17 levels (FL050–FL530)</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to T+36, 3-hourly</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Relative Humidity</w:t>
            </w:r>
          </w:p>
        </w:tc>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5 levels (FL050–FL180)</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to T+36, 3-hourly</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Tropopause Height and Temperature</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Single level</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to T+36, 3-hourly</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Max Wind (U, V, Height)</w:t>
            </w:r>
          </w:p>
        </w:tc>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Single level</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to T+36, 3-hourly</w:t>
            </w:r>
          </w:p>
        </w:tc>
      </w:tr>
    </w:tbl>
    <w:p>
      <w:pPr>
        <w:spacing w:after="100"/>
      </w:pPr>
    </w:p>
    <w:p>
      <w:pPr>
        <w:pStyle w:val="Heading3"/>
      </w:pPr>
      <w:r>
        <w:t xml:space="preserve">4.1.2 High Resolution (0.25°)</w:t>
      </w:r>
    </w:p>
    <w:p>
      <w:pPr>
        <w:spacing w:after="120"/>
      </w:pPr>
      <w:r>
        <w:t xml:space="preserve">Available since February 2024 via the SADIS API and WIFS API, high-resolution datasets provide significantly enhanced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Vertical Levels</w:t>
            </w:r>
          </w:p>
        </w:tc>
        <w:tc>
          <w:tcPr>
            <w:tcW w:type="dxa" w:w="29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Forecast Range</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Wind (U, V components)</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56 levels (to FL600)</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hourly to T+24, then 3-hourly to T+120</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Temperature</w:t>
            </w:r>
          </w:p>
        </w:tc>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56 levels (to FL600)</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hourly to T+24, then 3-hourly to T+120</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Geopotential Height</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56 levels (to FL600)</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hourly to T+24, then 3-hourly to T+120</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Relative Humidity</w:t>
            </w:r>
          </w:p>
        </w:tc>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56 levels (to FL600)</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hourly to T+24, then 3-hourly to T+66</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Tropopause Height and Temp</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Single level</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hourly to T+24, then 3-hourly to T+120</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Max Wind (U, V, Height)</w:t>
            </w:r>
          </w:p>
        </w:tc>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Single level</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hourly to T+24, then 3-hourly to T+120</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Icing Severity</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26 levels (FL050–FL300)</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to T+48, 3-hourly</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Turbulence Severity</w:t>
            </w:r>
          </w:p>
        </w:tc>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36 levels (FL100–FL450)</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to T+48, 3-hourly</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Cumulonimbus Extent, Base, Top</w:t>
            </w:r>
          </w:p>
        </w:tc>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Multiple levels</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to T+48, 3-hourly</w:t>
            </w:r>
          </w:p>
        </w:tc>
      </w:tr>
    </w:tbl>
    <w:p>
      <w:pPr>
        <w:spacing w:after="100"/>
      </w:pPr>
    </w:p>
    <w:p>
      <w:pPr>
        <w:pStyle w:val="Heading3"/>
      </w:pPr>
      <w:r>
        <w:t xml:space="preserve">4.1.3 Regional Tiles</w:t>
      </w:r>
    </w:p>
    <w:p>
      <w:pPr>
        <w:spacing w:after="120"/>
      </w:pPr>
      <w:r>
        <w:t xml:space="preserve">Both SADIS API and WIFS API offer data as global coverage or as 8 predefined regional tiles. The workstation shall support selection of either global or regional data to optimize bandwidth usage. Operators shall be able to configure which tiles are routinely downloaded based on their operational area of responsibility.</w:t>
      </w:r>
    </w:p>
    <w:p>
      <w:pPr>
        <w:pStyle w:val="Heading2"/>
      </w:pPr>
      <w:r>
        <w:t xml:space="preserve">4.2 WAFS Significant Weather (SIGWX) Data</w:t>
      </w:r>
    </w:p>
    <w:p>
      <w:pPr>
        <w:pStyle w:val="Heading3"/>
      </w:pPr>
      <w:r>
        <w:t xml:space="preserve">4.2.1 Current SIGWX Provisions</w:t>
      </w:r>
    </w:p>
    <w:p>
      <w:pPr>
        <w:spacing w:after="120"/>
      </w:pPr>
      <w:r>
        <w:t xml:space="preserve">As of April 2025, the WAFCs produce multi-timestep SIGWX forecasts covering T+6 to T+48 at 3-hour intervals, replacing the previous single T+24 forecast. SIGWX data encompasses FL100 to FL600 and is produced four times daily based on synoptic data times (0000, 0600, 1200, 1800 UTC).</w:t>
      </w:r>
    </w:p>
    <w:p>
      <w:pPr>
        <w:spacing w:after="120"/>
      </w:pPr>
      <w:r>
        <w:t xml:space="preserve">SIGWX parameters include:</w:t>
      </w:r>
    </w:p>
    <w:p>
      <w:pPr>
        <w:pStyle w:val="ListParagraph"/>
        <w:numPr>
          <w:ilvl w:val="0"/>
          <w:numId w:val="2"/>
        </w:numPr>
        <w:spacing w:after="60"/>
      </w:pPr>
      <w:r>
        <w:t xml:space="preserve">Jet stream information (speed, direction, core height) for winds exceeding 80 knots</w:t>
      </w:r>
    </w:p>
    <w:p>
      <w:pPr>
        <w:pStyle w:val="ListParagraph"/>
        <w:numPr>
          <w:ilvl w:val="0"/>
          <w:numId w:val="2"/>
        </w:numPr>
        <w:spacing w:after="60"/>
      </w:pPr>
      <w:r>
        <w:t xml:space="preserve">Areas of moderate and severe turbulence with upper/lower flight level bounds</w:t>
      </w:r>
    </w:p>
    <w:p>
      <w:pPr>
        <w:pStyle w:val="ListParagraph"/>
        <w:numPr>
          <w:ilvl w:val="0"/>
          <w:numId w:val="2"/>
        </w:numPr>
        <w:spacing w:after="60"/>
      </w:pPr>
      <w:r>
        <w:t xml:space="preserve">Areas of moderate and severe icing with upper/lower flight level bounds</w:t>
      </w:r>
    </w:p>
    <w:p>
      <w:pPr>
        <w:pStyle w:val="ListParagraph"/>
        <w:numPr>
          <w:ilvl w:val="0"/>
          <w:numId w:val="2"/>
        </w:numPr>
        <w:spacing w:after="60"/>
      </w:pPr>
      <w:r>
        <w:t xml:space="preserve">Occasional and frequent cumulonimbus areas with cloud-top flight levels</w:t>
      </w:r>
    </w:p>
    <w:p>
      <w:pPr>
        <w:pStyle w:val="ListParagraph"/>
        <w:numPr>
          <w:ilvl w:val="0"/>
          <w:numId w:val="2"/>
        </w:numPr>
        <w:spacing w:after="60"/>
      </w:pPr>
      <w:r>
        <w:t xml:space="preserve">Tropopause height contours</w:t>
      </w:r>
    </w:p>
    <w:p>
      <w:pPr>
        <w:pStyle w:val="ListParagraph"/>
        <w:numPr>
          <w:ilvl w:val="0"/>
          <w:numId w:val="2"/>
        </w:numPr>
        <w:spacing w:after="60"/>
      </w:pPr>
      <w:r>
        <w:t xml:space="preserve">Tropical cyclone positions (from Tropical Cyclone Advisory Centres)</w:t>
      </w:r>
    </w:p>
    <w:p>
      <w:pPr>
        <w:pStyle w:val="ListParagraph"/>
        <w:numPr>
          <w:ilvl w:val="0"/>
          <w:numId w:val="2"/>
        </w:numPr>
        <w:spacing w:after="60"/>
      </w:pPr>
      <w:r>
        <w:t xml:space="preserve">Volcanic eruption positions</w:t>
      </w:r>
    </w:p>
    <w:p>
      <w:pPr>
        <w:pStyle w:val="ListParagraph"/>
        <w:numPr>
          <w:ilvl w:val="0"/>
          <w:numId w:val="2"/>
        </w:numPr>
        <w:spacing w:after="60"/>
      </w:pPr>
      <w:r>
        <w:t xml:space="preserve">Sandstorm areas</w:t>
      </w:r>
    </w:p>
    <w:p>
      <w:pPr>
        <w:pStyle w:val="ListParagraph"/>
        <w:numPr>
          <w:ilvl w:val="0"/>
          <w:numId w:val="2"/>
        </w:numPr>
        <w:spacing w:after="60"/>
      </w:pPr>
      <w:r>
        <w:t xml:space="preserve">Radioactive material release positions</w:t>
      </w:r>
    </w:p>
    <w:p>
      <w:pPr>
        <w:pStyle w:val="Heading3"/>
      </w:pPr>
      <w:r>
        <w:t xml:space="preserve">4.2.2 SIGWX Data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48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Status</w:t>
            </w:r>
          </w:p>
        </w:tc>
        <w:tc>
          <w:tcPr>
            <w:tcW w:type="dxa" w:w="348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Planned Status</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PNG Charts</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Available on SADIS/WIFS API (T+6 to T+48)</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Continues (cross-check / validation only)</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BUFR</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Available on SADIS FTP (T+24 only)</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Retiring by end of 2027</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IWXXM (XML/GML)</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Available on SADIS/WIFS API (T+6 to T+48)</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Primary format going forward</w:t>
            </w:r>
          </w:p>
        </w:tc>
      </w:tr>
    </w:tbl>
    <w:p>
      <w:pPr>
        <w:spacing w:after="100"/>
      </w:pPr>
    </w:p>
    <w:p>
      <w:pPr>
        <w:spacing w:after="120"/>
      </w:pPr>
      <w:r>
        <w:rPr>
          <w:b/>
          <w:bCs/>
        </w:rPr>
        <w:t xml:space="preserve">Requirement: </w:t>
      </w:r>
      <w:r>
        <w:t xml:space="preserve">The workstation shall prioritize IWXXM as the primary SIGWX data format while maintaining BUFR decoding capability through the transition period. By November 2026, all systems must be capable of extracting, decoding, and visualizing WAFS SIGWX data in IWXXM format.</w:t>
      </w:r>
    </w:p>
    <w:p>
      <w:pPr>
        <w:pStyle w:val="Heading2"/>
      </w:pPr>
      <w:r>
        <w:t xml:space="preserve">4.3 OPMET Data</w:t>
      </w:r>
    </w:p>
    <w:p>
      <w:pPr>
        <w:spacing w:after="120"/>
      </w:pPr>
      <w:r>
        <w:t xml:space="preserve">Operational meteorological data in both IWXXM and TAC formats:</w:t>
      </w:r>
    </w:p>
    <w:p>
      <w:pPr>
        <w:pStyle w:val="ListParagraph"/>
        <w:numPr>
          <w:ilvl w:val="0"/>
          <w:numId w:val="2"/>
        </w:numPr>
        <w:spacing w:after="60"/>
      </w:pPr>
      <w:r>
        <w:t xml:space="preserve">METAR and SPECI (routine and special aviation weather reports)</w:t>
      </w:r>
    </w:p>
    <w:p>
      <w:pPr>
        <w:pStyle w:val="ListParagraph"/>
        <w:numPr>
          <w:ilvl w:val="0"/>
          <w:numId w:val="2"/>
        </w:numPr>
        <w:spacing w:after="60"/>
      </w:pPr>
      <w:r>
        <w:t xml:space="preserve">TAF (terminal aerodrome forecasts)</w:t>
      </w:r>
    </w:p>
    <w:p>
      <w:pPr>
        <w:pStyle w:val="ListParagraph"/>
        <w:numPr>
          <w:ilvl w:val="0"/>
          <w:numId w:val="2"/>
        </w:numPr>
        <w:spacing w:after="60"/>
      </w:pPr>
      <w:r>
        <w:t xml:space="preserve">SIGMET (significant meteorological information)</w:t>
      </w:r>
    </w:p>
    <w:p>
      <w:pPr>
        <w:pStyle w:val="ListParagraph"/>
        <w:numPr>
          <w:ilvl w:val="0"/>
          <w:numId w:val="2"/>
        </w:numPr>
        <w:spacing w:after="60"/>
      </w:pPr>
      <w:r>
        <w:t xml:space="preserve">AIRMET (where regionally applicable, e.g. EUR region)</w:t>
      </w:r>
    </w:p>
    <w:p>
      <w:pPr>
        <w:pStyle w:val="ListParagraph"/>
        <w:numPr>
          <w:ilvl w:val="0"/>
          <w:numId w:val="2"/>
        </w:numPr>
        <w:spacing w:after="60"/>
      </w:pPr>
      <w:r>
        <w:t xml:space="preserve">GAMET (general aviation meteorological forecasts)</w:t>
      </w:r>
    </w:p>
    <w:p>
      <w:pPr>
        <w:pStyle w:val="ListParagraph"/>
        <w:numPr>
          <w:ilvl w:val="0"/>
          <w:numId w:val="2"/>
        </w:numPr>
        <w:spacing w:after="60"/>
      </w:pPr>
      <w:r>
        <w:t xml:space="preserve">VAA (volcanic ash advisory messages)</w:t>
      </w:r>
    </w:p>
    <w:p>
      <w:pPr>
        <w:pStyle w:val="ListParagraph"/>
        <w:numPr>
          <w:ilvl w:val="0"/>
          <w:numId w:val="2"/>
        </w:numPr>
        <w:spacing w:after="60"/>
      </w:pPr>
      <w:r>
        <w:t xml:space="preserve">TCA (tropical cyclone advisory messages)</w:t>
      </w:r>
    </w:p>
    <w:p>
      <w:pPr>
        <w:pStyle w:val="ListParagraph"/>
        <w:numPr>
          <w:ilvl w:val="0"/>
          <w:numId w:val="2"/>
        </w:numPr>
        <w:spacing w:after="60"/>
      </w:pPr>
      <w:r>
        <w:t xml:space="preserve">Special AIREP (special air reports)</w:t>
      </w:r>
    </w:p>
    <w:p>
      <w:pPr>
        <w:pStyle w:val="ListParagraph"/>
        <w:numPr>
          <w:ilvl w:val="0"/>
          <w:numId w:val="2"/>
        </w:numPr>
        <w:spacing w:after="60"/>
      </w:pPr>
      <w:r>
        <w:t xml:space="preserve">VONA (volcano observation notices for aviation, IWXXM format, from November 2025)</w:t>
      </w:r>
    </w:p>
    <w:p>
      <w:pPr>
        <w:pStyle w:val="Heading2"/>
      </w:pPr>
      <w:r>
        <w:t xml:space="preserve">4.4 Probabilistic Hazard Data (Future — November 2027/2028)</w:t>
      </w:r>
    </w:p>
    <w:p>
      <w:pPr>
        <w:spacing w:after="120"/>
      </w:pPr>
      <w:r>
        <w:t xml:space="preserve">The WAFCs plan to introduce probabilistic WAFS hazard data sets with trial availability from November 2027 and full operational status from November 2028. The workstation architecture must be prepared to accommodate: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c>
          <w:tcPr>
            <w:tcW w:type="dxa" w:w="45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Probabilistic Dataset</w:t>
            </w:r>
          </w:p>
        </w:tc>
        <w:tc>
          <w:tcPr>
            <w:tcW w:type="dxa" w:w="24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c>
          <w:tcPr>
            <w:tcW w:type="dxa" w:w="24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Forecast Range</w:t>
            </w:r>
          </w:p>
        </w:tc>
      </w:tr>
      <w:tr>
        <w:tc>
          <w:tcPr>
            <w:tcW w:type="dxa" w:w="45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Probability of turbulence severity (EDR exceeding thresholds)</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0.5°, 6 levels</w:t>
            </w:r>
          </w:p>
        </w:tc>
        <w:tc>
          <w:tcPr>
            <w:tcW w:type="dxa" w:w="24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to T+48, 3-hourly</w:t>
            </w:r>
          </w:p>
        </w:tc>
      </w:tr>
      <w:tr>
        <w:tc>
          <w:tcPr>
            <w:tcW w:type="dxa" w:w="45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Probability of icing severity (moderate or greater)</w:t>
            </w:r>
          </w:p>
        </w:tc>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0.5°, 5 levels</w:t>
            </w:r>
          </w:p>
        </w:tc>
        <w:tc>
          <w:tcPr>
            <w:tcW w:type="dxa" w:w="24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T+6 to T+48, 3-hourly</w:t>
            </w:r>
          </w:p>
        </w:tc>
      </w:tr>
      <w:tr>
        <w:tc>
          <w:tcPr>
            <w:tcW w:type="dxa" w:w="45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Probability of cumulonimbus tops exceeding height thresholds</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0.5°</w:t>
            </w:r>
          </w:p>
        </w:tc>
        <w:tc>
          <w:tcPr>
            <w:tcW w:type="dxa" w:w="24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T+6 to T+48, 3-hourly</w:t>
            </w:r>
          </w:p>
        </w:tc>
      </w:tr>
    </w:tbl>
    <w:p>
      <w:pPr>
        <w:spacing w:after="100"/>
      </w:pPr>
    </w:p>
    <w:p>
      <w:pPr>
        <w:spacing w:after="120"/>
      </w:pPr>
      <w:r>
        <w:t xml:space="preserve">Additionally, turbulence type forecasts (distinguishing clear-air turbulence from convective turbulence) are planned for introduction in November 2028.</w:t>
      </w:r>
    </w:p>
    <w:p>
      <w:r>
        <w:br w:type="page"/>
      </w:r>
    </w:p>
    <w:p>
      <w:pPr>
        <w:pStyle w:val="Heading1"/>
      </w:pPr>
      <w:r>
        <w:t xml:space="preserve">5. Visualization Requirements</w:t>
      </w:r>
    </w:p>
    <w:p>
      <w:pPr>
        <w:spacing w:after="120"/>
      </w:pPr>
      <w:r>
        <w:t xml:space="preserve">Visualization is the operational core of the WAFS workstation. All display capabilities shall conform to ICAO recommended display conventions as detailed in Annex 3, the PANS-MET, and the WAFC-published SIGWX interpretation guidance.</w:t>
      </w:r>
    </w:p>
    <w:p>
      <w:pPr>
        <w:pStyle w:val="Heading2"/>
      </w:pPr>
      <w:r>
        <w:t xml:space="preserve">5.1 Interactive Map Display</w:t>
      </w:r>
    </w:p>
    <w:p>
      <w:pPr>
        <w:pStyle w:val="Heading3"/>
      </w:pPr>
      <w:r>
        <w:t xml:space="preserve">5.1.1 Core Map Capabilities</w:t>
      </w:r>
    </w:p>
    <w:p>
      <w:pPr>
        <w:pStyle w:val="ListParagraph"/>
        <w:numPr>
          <w:ilvl w:val="0"/>
          <w:numId w:val="2"/>
        </w:numPr>
        <w:spacing w:after="60"/>
      </w:pPr>
      <w:r>
        <w:rPr>
          <w:b/>
          <w:bCs/>
        </w:rPr>
        <w:t xml:space="preserve">Map projections: </w:t>
      </w:r>
      <w:r>
        <w:t xml:space="preserve">Mercator, Polar Stereographic (North and South), and Lambert Conformal Conic at minimum. User-selectable projection changes</w:t>
      </w:r>
    </w:p>
    <w:p>
      <w:pPr>
        <w:pStyle w:val="ListParagraph"/>
        <w:numPr>
          <w:ilvl w:val="0"/>
          <w:numId w:val="2"/>
        </w:numPr>
        <w:spacing w:after="60"/>
      </w:pPr>
      <w:r>
        <w:rPr>
          <w:b/>
          <w:bCs/>
        </w:rPr>
        <w:t xml:space="preserve">Pan and zoom: </w:t>
      </w:r>
      <w:r>
        <w:t xml:space="preserve">Smooth, continuous pan and zoom to any scale from global overview to regional detail</w:t>
      </w:r>
    </w:p>
    <w:p>
      <w:pPr>
        <w:pStyle w:val="ListParagraph"/>
        <w:numPr>
          <w:ilvl w:val="0"/>
          <w:numId w:val="2"/>
        </w:numPr>
        <w:spacing w:after="60"/>
      </w:pPr>
      <w:r>
        <w:rPr>
          <w:b/>
          <w:bCs/>
        </w:rPr>
        <w:t xml:space="preserve">Layer toggle: </w:t>
      </w:r>
      <w:r>
        <w:t xml:space="preserve">Independent on/off control for each meteorological parameter layer (jet streams, turbulence, icing, CB, tropopause, volcanic ash, tropical cyclones, etc.)</w:t>
      </w:r>
    </w:p>
    <w:p>
      <w:pPr>
        <w:pStyle w:val="ListParagraph"/>
        <w:numPr>
          <w:ilvl w:val="0"/>
          <w:numId w:val="2"/>
        </w:numPr>
        <w:spacing w:after="60"/>
      </w:pPr>
      <w:r>
        <w:rPr>
          <w:b/>
          <w:bCs/>
        </w:rPr>
        <w:t xml:space="preserve">Global coverage: </w:t>
      </w:r>
      <w:r>
        <w:t xml:space="preserve">Must correctly render across the International Date Line, the North/South poles, and in both hemispheres with correct conventions</w:t>
      </w:r>
    </w:p>
    <w:p>
      <w:pPr>
        <w:pStyle w:val="ListParagraph"/>
        <w:numPr>
          <w:ilvl w:val="0"/>
          <w:numId w:val="2"/>
        </w:numPr>
        <w:spacing w:after="60"/>
      </w:pPr>
      <w:r>
        <w:rPr>
          <w:b/>
          <w:bCs/>
        </w:rPr>
        <w:t xml:space="preserve">Fixed ICAO chart areas: </w:t>
      </w:r>
      <w:r>
        <w:t xml:space="preserve">Ability to display data formatted to the standard ICAO SIGWX chart areas as defined in Annex 3 Figures A8-1 through A8-3</w:t>
      </w:r>
    </w:p>
    <w:p>
      <w:pPr>
        <w:pStyle w:val="ListParagraph"/>
        <w:numPr>
          <w:ilvl w:val="0"/>
          <w:numId w:val="2"/>
        </w:numPr>
        <w:spacing w:after="60"/>
      </w:pPr>
      <w:r>
        <w:rPr>
          <w:b/>
          <w:bCs/>
        </w:rPr>
        <w:t xml:space="preserve">Geographic underlay: </w:t>
      </w:r>
      <w:r>
        <w:t xml:space="preserve">Coastlines, political boundaries, FIR boundaries, major aerodromes, and ICAO waypoints/navaids as selectable overlay layers</w:t>
      </w:r>
    </w:p>
    <w:p>
      <w:pPr>
        <w:pStyle w:val="Heading3"/>
      </w:pPr>
      <w:r>
        <w:t xml:space="preserve">5.1.2 SIGWX Chart Rendering</w:t>
      </w:r>
    </w:p>
    <w:p>
      <w:pPr>
        <w:spacing w:after="120"/>
      </w:pPr>
      <w:r>
        <w:t xml:space="preserve">The workstation must produce SIGWX visualizations that are meteorologically identical to the cross-check PNG charts provided by the WAFCs. Specific rendering requirements from the SADIS API evaluation criteria:</w:t>
      </w:r>
    </w:p>
    <w:p>
      <w:pPr>
        <w:pStyle w:val="ListParagraph"/>
        <w:numPr>
          <w:ilvl w:val="0"/>
          <w:numId w:val="2"/>
        </w:numPr>
        <w:spacing w:after="60"/>
      </w:pPr>
      <w:r>
        <w:t xml:space="preserve">Turbulence areas depicted with thick dashed lines, reference numbers linking to severity/flight-level keys, or direct call-out labels</w:t>
      </w:r>
    </w:p>
    <w:p>
      <w:pPr>
        <w:pStyle w:val="ListParagraph"/>
        <w:numPr>
          <w:ilvl w:val="0"/>
          <w:numId w:val="2"/>
        </w:numPr>
        <w:spacing w:after="60"/>
      </w:pPr>
      <w:r>
        <w:t xml:space="preserve">Cumulonimbus areas depicted with scalloped lines following ICAO conventions</w:t>
      </w:r>
    </w:p>
    <w:p>
      <w:pPr>
        <w:pStyle w:val="ListParagraph"/>
        <w:numPr>
          <w:ilvl w:val="0"/>
          <w:numId w:val="2"/>
        </w:numPr>
        <w:spacing w:after="60"/>
      </w:pPr>
      <w:r>
        <w:t xml:space="preserve">Icing areas depicted with distinct line styles to differentiate from CB areas (color or line-style differentiation required)</w:t>
      </w:r>
    </w:p>
    <w:p>
      <w:pPr>
        <w:pStyle w:val="ListParagraph"/>
        <w:numPr>
          <w:ilvl w:val="0"/>
          <w:numId w:val="2"/>
        </w:numPr>
        <w:spacing w:after="60"/>
      </w:pPr>
      <w:r>
        <w:t xml:space="preserve">Jet stream axes shown with standard wind barb symbology and core height/speed annotations</w:t>
      </w:r>
    </w:p>
    <w:p>
      <w:pPr>
        <w:pStyle w:val="ListParagraph"/>
        <w:numPr>
          <w:ilvl w:val="0"/>
          <w:numId w:val="2"/>
        </w:numPr>
        <w:spacing w:after="60"/>
      </w:pPr>
      <w:r>
        <w:t xml:space="preserve">Tropopause height shown as thin dotted contour lines labeled with flight levels</w:t>
      </w:r>
    </w:p>
    <w:p>
      <w:pPr>
        <w:pStyle w:val="ListParagraph"/>
        <w:numPr>
          <w:ilvl w:val="0"/>
          <w:numId w:val="2"/>
        </w:numPr>
        <w:spacing w:after="60"/>
      </w:pPr>
      <w:r>
        <w:t xml:space="preserve">Tropical cyclone and volcanic eruption positions shown with standard ICAO symbols</w:t>
      </w:r>
    </w:p>
    <w:p>
      <w:pPr>
        <w:pStyle w:val="ListParagraph"/>
        <w:numPr>
          <w:ilvl w:val="0"/>
          <w:numId w:val="2"/>
        </w:numPr>
        <w:spacing w:after="60"/>
      </w:pPr>
      <w:r>
        <w:t xml:space="preserve">Legend displaying issuer, provider, area of coverage, height range, validity time</w:t>
      </w:r>
    </w:p>
    <w:p>
      <w:pPr>
        <w:pStyle w:val="ListParagraph"/>
        <w:numPr>
          <w:ilvl w:val="0"/>
          <w:numId w:val="2"/>
        </w:numPr>
        <w:spacing w:after="60"/>
      </w:pPr>
      <w:r>
        <w:t xml:space="preserve">If any meteorological parameter is modified by the end user, references to the issuing WAFC must be automatically removed</w:t>
      </w:r>
    </w:p>
    <w:p>
      <w:pPr>
        <w:pStyle w:val="Heading3"/>
      </w:pPr>
      <w:r>
        <w:t xml:space="preserve">5.1.3 Multi-Timestep Animation</w:t>
      </w:r>
    </w:p>
    <w:p>
      <w:pPr>
        <w:spacing w:after="120"/>
      </w:pPr>
      <w:r>
        <w:t xml:space="preserve">A key capability of the next-generation workstation is the ability to animate SIGWX forecast evolution across the full T+6 to T+48 range at 3-hour intervals:</w:t>
      </w:r>
    </w:p>
    <w:p>
      <w:pPr>
        <w:pStyle w:val="ListParagraph"/>
        <w:numPr>
          <w:ilvl w:val="0"/>
          <w:numId w:val="2"/>
        </w:numPr>
        <w:spacing w:after="60"/>
      </w:pPr>
      <w:r>
        <w:t xml:space="preserve">Time slider or timeline control allowing selection of individual timesteps or continuous animation</w:t>
      </w:r>
    </w:p>
    <w:p>
      <w:pPr>
        <w:pStyle w:val="ListParagraph"/>
        <w:numPr>
          <w:ilvl w:val="0"/>
          <w:numId w:val="2"/>
        </w:numPr>
        <w:spacing w:after="60"/>
      </w:pPr>
      <w:r>
        <w:t xml:space="preserve">Adjustable animation speed</w:t>
      </w:r>
    </w:p>
    <w:p>
      <w:pPr>
        <w:pStyle w:val="ListParagraph"/>
        <w:numPr>
          <w:ilvl w:val="0"/>
          <w:numId w:val="2"/>
        </w:numPr>
        <w:spacing w:after="60"/>
      </w:pPr>
      <w:r>
        <w:t xml:space="preserve">Timestep indicator clearly displayed during animation</w:t>
      </w:r>
    </w:p>
    <w:p>
      <w:pPr>
        <w:pStyle w:val="ListParagraph"/>
        <w:numPr>
          <w:ilvl w:val="0"/>
          <w:numId w:val="2"/>
        </w:numPr>
        <w:spacing w:after="60"/>
      </w:pPr>
      <w:r>
        <w:t xml:space="preserve">Ability to overlay multiple timesteps for comparison</w:t>
      </w:r>
    </w:p>
    <w:p>
      <w:pPr>
        <w:pStyle w:val="Heading2"/>
      </w:pPr>
      <w:r>
        <w:t xml:space="preserve">5.2 Gridded Data Visualization</w:t>
      </w:r>
    </w:p>
    <w:p>
      <w:pPr>
        <w:pStyle w:val="Heading3"/>
      </w:pPr>
      <w:r>
        <w:t xml:space="preserve">5.2.1 Wind and Temperature Charts</w:t>
      </w:r>
    </w:p>
    <w:p>
      <w:pPr>
        <w:pStyle w:val="ListParagraph"/>
        <w:numPr>
          <w:ilvl w:val="0"/>
          <w:numId w:val="2"/>
        </w:numPr>
        <w:spacing w:after="60"/>
      </w:pPr>
      <w:r>
        <w:t xml:space="preserve">Wind barb or wind arrow display at user-selectable flight levels</w:t>
      </w:r>
    </w:p>
    <w:p>
      <w:pPr>
        <w:pStyle w:val="ListParagraph"/>
        <w:numPr>
          <w:ilvl w:val="0"/>
          <w:numId w:val="2"/>
        </w:numPr>
        <w:spacing w:after="60"/>
      </w:pPr>
      <w:r>
        <w:t xml:space="preserve">Temperature contour plots at user-selectable flight levels</w:t>
      </w:r>
    </w:p>
    <w:p>
      <w:pPr>
        <w:pStyle w:val="ListParagraph"/>
        <w:numPr>
          <w:ilvl w:val="0"/>
          <w:numId w:val="2"/>
        </w:numPr>
        <w:spacing w:after="60"/>
      </w:pPr>
      <w:r>
        <w:t xml:space="preserve">Specific leg wind calculations for user-defined route segments</w:t>
      </w:r>
    </w:p>
    <w:p>
      <w:pPr>
        <w:pStyle w:val="ListParagraph"/>
        <w:numPr>
          <w:ilvl w:val="0"/>
          <w:numId w:val="2"/>
        </w:numPr>
        <w:spacing w:after="60"/>
      </w:pPr>
      <w:r>
        <w:t xml:space="preserve">Cross-section (vertical profile) display along a user-defined route</w:t>
      </w:r>
    </w:p>
    <w:p>
      <w:pPr>
        <w:pStyle w:val="ListParagraph"/>
        <w:numPr>
          <w:ilvl w:val="0"/>
          <w:numId w:val="2"/>
        </w:numPr>
        <w:spacing w:after="60"/>
      </w:pPr>
      <w:r>
        <w:t xml:space="preserve">Color-coded wind speed shading with configurable thresholds</w:t>
      </w:r>
    </w:p>
    <w:p>
      <w:pPr>
        <w:pStyle w:val="Heading3"/>
      </w:pPr>
      <w:r>
        <w:t xml:space="preserve">5.2.2 Hazard Data Visualization</w:t>
      </w:r>
    </w:p>
    <w:p>
      <w:pPr>
        <w:pStyle w:val="ListParagraph"/>
        <w:numPr>
          <w:ilvl w:val="0"/>
          <w:numId w:val="2"/>
        </w:numPr>
        <w:spacing w:after="60"/>
      </w:pPr>
      <w:r>
        <w:t xml:space="preserve">Icing severity displayed at 26 vertical levels (FL050–FL300) with graduated color scales</w:t>
      </w:r>
    </w:p>
    <w:p>
      <w:pPr>
        <w:pStyle w:val="ListParagraph"/>
        <w:numPr>
          <w:ilvl w:val="0"/>
          <w:numId w:val="2"/>
        </w:numPr>
        <w:spacing w:after="60"/>
      </w:pPr>
      <w:r>
        <w:t xml:space="preserve">Turbulence severity displayed at 36 vertical levels (FL100–FL450) with graduated color scales</w:t>
      </w:r>
    </w:p>
    <w:p>
      <w:pPr>
        <w:pStyle w:val="ListParagraph"/>
        <w:numPr>
          <w:ilvl w:val="0"/>
          <w:numId w:val="2"/>
        </w:numPr>
        <w:spacing w:after="60"/>
      </w:pPr>
      <w:r>
        <w:t xml:space="preserve">Cumulonimbus extent, base, and top as filled contour overlays</w:t>
      </w:r>
    </w:p>
    <w:p>
      <w:pPr>
        <w:pStyle w:val="ListParagraph"/>
        <w:numPr>
          <w:ilvl w:val="0"/>
          <w:numId w:val="2"/>
        </w:numPr>
        <w:spacing w:after="60"/>
      </w:pPr>
      <w:r>
        <w:t xml:space="preserve">Ability to display all hazard parameters at a single flight level or as a maximum intensity through a flight-level range</w:t>
      </w:r>
    </w:p>
    <w:p>
      <w:pPr>
        <w:pStyle w:val="ListParagraph"/>
        <w:numPr>
          <w:ilvl w:val="0"/>
          <w:numId w:val="2"/>
        </w:numPr>
        <w:spacing w:after="60"/>
      </w:pPr>
      <w:r>
        <w:t xml:space="preserve">Vertical cross-section views of hazard fields along user-defined routes</w:t>
      </w:r>
    </w:p>
    <w:p>
      <w:pPr>
        <w:pStyle w:val="Heading3"/>
      </w:pPr>
      <w:r>
        <w:t xml:space="preserve">5.2.3 Probabilistic Data Visualization (Future)</w:t>
      </w:r>
    </w:p>
    <w:p>
      <w:pPr>
        <w:spacing w:after="120"/>
      </w:pPr>
      <w:r>
        <w:t xml:space="preserve">The visualization framework must be extensible to support:</w:t>
      </w:r>
    </w:p>
    <w:p>
      <w:pPr>
        <w:pStyle w:val="ListParagraph"/>
        <w:numPr>
          <w:ilvl w:val="0"/>
          <w:numId w:val="2"/>
        </w:numPr>
        <w:spacing w:after="60"/>
      </w:pPr>
      <w:r>
        <w:t xml:space="preserve">Probability contour/shading displays for each hazard type</w:t>
      </w:r>
    </w:p>
    <w:p>
      <w:pPr>
        <w:pStyle w:val="ListParagraph"/>
        <w:numPr>
          <w:ilvl w:val="0"/>
          <w:numId w:val="2"/>
        </w:numPr>
        <w:spacing w:after="60"/>
      </w:pPr>
      <w:r>
        <w:t xml:space="preserve">Configurable probability threshold highlighting (e.g. show areas where P &gt; 50%)</w:t>
      </w:r>
    </w:p>
    <w:p>
      <w:pPr>
        <w:pStyle w:val="ListParagraph"/>
        <w:numPr>
          <w:ilvl w:val="0"/>
          <w:numId w:val="2"/>
        </w:numPr>
        <w:spacing w:after="60"/>
      </w:pPr>
      <w:r>
        <w:t xml:space="preserve">Side-by-side comparison of deterministic severity and probability fields</w:t>
      </w:r>
    </w:p>
    <w:p>
      <w:pPr>
        <w:pStyle w:val="ListParagraph"/>
        <w:numPr>
          <w:ilvl w:val="0"/>
          <w:numId w:val="2"/>
        </w:numPr>
        <w:spacing w:after="60"/>
      </w:pPr>
      <w:r>
        <w:t xml:space="preserve">Turbulence type overlay (clear-air vs. convective) when available</w:t>
      </w:r>
    </w:p>
    <w:p>
      <w:pPr>
        <w:pStyle w:val="Heading2"/>
      </w:pPr>
      <w:r>
        <w:t xml:space="preserve">5.3 OPMET Data Display</w:t>
      </w:r>
    </w:p>
    <w:p>
      <w:pPr>
        <w:pStyle w:val="ListParagraph"/>
        <w:numPr>
          <w:ilvl w:val="0"/>
          <w:numId w:val="2"/>
        </w:numPr>
        <w:spacing w:after="60"/>
      </w:pPr>
      <w:r>
        <w:t xml:space="preserve">Retrieval and display of METARs, SPECIs, TAFs, SIGMETs, AIRMETs, GAMETs, Special AIREPs in list/report form sorted by data type and/or location</w:t>
      </w:r>
    </w:p>
    <w:p>
      <w:pPr>
        <w:pStyle w:val="ListParagraph"/>
        <w:numPr>
          <w:ilvl w:val="0"/>
          <w:numId w:val="2"/>
        </w:numPr>
        <w:spacing w:after="60"/>
      </w:pPr>
      <w:r>
        <w:t xml:space="preserve">Display in plain text format (TAC) and decoded IWXXM</w:t>
      </w:r>
    </w:p>
    <w:p>
      <w:pPr>
        <w:pStyle w:val="ListParagraph"/>
        <w:numPr>
          <w:ilvl w:val="0"/>
          <w:numId w:val="2"/>
        </w:numPr>
        <w:spacing w:after="60"/>
      </w:pPr>
      <w:r>
        <w:t xml:space="preserve">Geographic plotting of METAR/SPECI observations on the map display with flight category color coding</w:t>
      </w:r>
    </w:p>
    <w:p>
      <w:pPr>
        <w:pStyle w:val="ListParagraph"/>
        <w:numPr>
          <w:ilvl w:val="0"/>
          <w:numId w:val="2"/>
        </w:numPr>
        <w:spacing w:after="60"/>
      </w:pPr>
      <w:r>
        <w:t xml:space="preserve">Geographic plotting of SIGMET and AIRMET areas on the map display</w:t>
      </w:r>
    </w:p>
    <w:p>
      <w:pPr>
        <w:pStyle w:val="ListParagraph"/>
        <w:numPr>
          <w:ilvl w:val="0"/>
          <w:numId w:val="2"/>
        </w:numPr>
        <w:spacing w:after="60"/>
      </w:pPr>
      <w:r>
        <w:t xml:space="preserve">Filtering by region: CARSAM, NAM, EUR/NAT, MID, ASIAPAC</w:t>
      </w:r>
    </w:p>
    <w:p>
      <w:pPr>
        <w:pStyle w:val="Heading2"/>
      </w:pPr>
      <w:r>
        <w:t xml:space="preserve">5.4 Flight Documentation Support</w:t>
      </w:r>
    </w:p>
    <w:p>
      <w:pPr>
        <w:pStyle w:val="ListParagraph"/>
        <w:numPr>
          <w:ilvl w:val="0"/>
          <w:numId w:val="2"/>
        </w:numPr>
        <w:spacing w:after="60"/>
      </w:pPr>
      <w:r>
        <w:t xml:space="preserve">Automated preparation of flight documentation packages (briefing folders) for specified routes</w:t>
      </w:r>
    </w:p>
    <w:p>
      <w:pPr>
        <w:pStyle w:val="ListParagraph"/>
        <w:numPr>
          <w:ilvl w:val="0"/>
          <w:numId w:val="2"/>
        </w:numPr>
        <w:spacing w:after="60"/>
      </w:pPr>
      <w:r>
        <w:t xml:space="preserve">Compilation of relevant SIGWX, wind/temperature, OPMET products for a given route, altitude, and time window</w:t>
      </w:r>
    </w:p>
    <w:p>
      <w:pPr>
        <w:pStyle w:val="ListParagraph"/>
        <w:numPr>
          <w:ilvl w:val="0"/>
          <w:numId w:val="2"/>
        </w:numPr>
        <w:spacing w:after="60"/>
      </w:pPr>
      <w:r>
        <w:t xml:space="preserve">Printable output meeting ICAO briefing documentation standards</w:t>
      </w:r>
    </w:p>
    <w:p>
      <w:pPr>
        <w:pStyle w:val="ListParagraph"/>
        <w:numPr>
          <w:ilvl w:val="0"/>
          <w:numId w:val="2"/>
        </w:numPr>
        <w:spacing w:after="60"/>
      </w:pPr>
      <w:r>
        <w:t xml:space="preserve">Export to PDF, PNG, or other standard formats</w:t>
      </w:r>
    </w:p>
    <w:p>
      <w:r>
        <w:br w:type="page"/>
      </w:r>
    </w:p>
    <w:p>
      <w:pPr>
        <w:pStyle w:val="Heading1"/>
      </w:pPr>
      <w:r>
        <w:t xml:space="preserve">6. Hardware Platform Requirements</w:t>
      </w:r>
    </w:p>
    <w:p>
      <w:pPr>
        <w:pStyle w:val="Heading2"/>
      </w:pPr>
      <w:r>
        <w:t xml:space="preserve">6.1 Minimum Hardware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8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Requirement</w:t>
            </w:r>
          </w:p>
        </w:tc>
        <w:tc>
          <w:tcPr>
            <w:tcW w:type="dxa" w:w="348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Processor</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Modern x86-64, 8 cores, 3.0 GHz base</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16+ cores, 3.5 GHz+, server-grade</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System Memory</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32 GB DDR4 ECC</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64 GB DDR5 ECC</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GPU</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Dedicated GPU, 4 GB VRAM, OpenGL 4.5+</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8+ GB VRAM, Vulkan support, hardware video decode</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System Storage</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512 GB NVMe SSD (OS + application)</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1 TB NVMe SSD (RAID-1 mirrored)</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Data Storage</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2 TB SSD (WAFS data repository)</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4+ TB SSD (RAID-5/6 or enterprise NVMe)</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Display</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Dual 27″ monitors, 2560×1440 (QHD)</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Triple 32″ monitors, 3840×2160 (4K UHD)</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Network Interface</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 Gbps Ethernet (dual port)</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10 Gbps Ethernet, dual NIC for redundancy</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UPS</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30-minute runtime at full load</w:t>
            </w:r>
          </w:p>
        </w:tc>
        <w:tc>
          <w:tcPr>
            <w:tcW w:type="dxa" w:w="348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60+ minute runtime, automatic graceful shutdown</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Operating System</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Linux (RHEL/Ubuntu LTS) or Windows Server</w:t>
            </w:r>
          </w:p>
        </w:tc>
        <w:tc>
          <w:tcPr>
            <w:tcW w:type="dxa" w:w="348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Linux (RHEL 9+ or Ubuntu 22.04+ LTS)</w:t>
            </w:r>
          </w:p>
        </w:tc>
      </w:tr>
    </w:tbl>
    <w:p>
      <w:pPr>
        <w:spacing w:after="100"/>
      </w:pPr>
    </w:p>
    <w:p>
      <w:pPr>
        <w:pStyle w:val="Heading2"/>
      </w:pPr>
      <w:r>
        <w:t xml:space="preserve">6.2 Network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Internet bandwidth</w:t>
            </w:r>
          </w:p>
        </w:tc>
        <w:tc>
          <w:tcPr>
            <w:tcW w:type="dxa" w:w="6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Minimum 100 Mbps dedicated, recommended 1 Gbps</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Latency to SADIS/WIFS API</w:t>
            </w:r>
          </w:p>
        </w:tc>
        <w:tc>
          <w:tcPr>
            <w:tcW w:type="dxa" w:w="6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&lt; 200 ms RTT recommended</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DNS resolution</w:t>
            </w:r>
          </w:p>
        </w:tc>
        <w:tc>
          <w:tcPr>
            <w:tcW w:type="dxa" w:w="6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Reliable DNS with low TTL support for API endpoints</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Firewall</w:t>
            </w:r>
          </w:p>
        </w:tc>
        <w:tc>
          <w:tcPr>
            <w:tcW w:type="dxa" w:w="6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Outbound HTTPS (port 443) to SADIS API and WIFS API domains</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TLS</w:t>
            </w:r>
          </w:p>
        </w:tc>
        <w:tc>
          <w:tcPr>
            <w:tcW w:type="dxa" w:w="6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TLS 1.2 minimum, TLS 1.3 preferred</w:t>
            </w:r>
          </w:p>
        </w:tc>
      </w:tr>
      <w:tr>
        <w:tc>
          <w:tcPr>
            <w:tcW w:type="dxa" w:w="3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IPv4/IPv6</w:t>
            </w:r>
          </w:p>
        </w:tc>
        <w:tc>
          <w:tcPr>
            <w:tcW w:type="dxa" w:w="6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Dual-stack support recommended</w:t>
            </w:r>
          </w:p>
        </w:tc>
      </w:tr>
      <w:tr>
        <w:tc>
          <w:tcPr>
            <w:tcW w:type="dxa" w:w="3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Redundancy</w:t>
            </w:r>
          </w:p>
        </w:tc>
        <w:tc>
          <w:tcPr>
            <w:tcW w:type="dxa" w:w="6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Dual ISP or dedicated aviation network path</w:t>
            </w:r>
          </w:p>
        </w:tc>
      </w:tr>
    </w:tbl>
    <w:p>
      <w:pPr>
        <w:pStyle w:val="Heading2"/>
      </w:pPr>
      <w:r>
        <w:t xml:space="preserve">6.3 Environmental Requirements</w:t>
      </w:r>
    </w:p>
    <w:p>
      <w:pPr>
        <w:pStyle w:val="ListParagraph"/>
        <w:numPr>
          <w:ilvl w:val="0"/>
          <w:numId w:val="2"/>
        </w:numPr>
        <w:spacing w:after="60"/>
      </w:pPr>
      <w:r>
        <w:t xml:space="preserve">Operating temperature: 15–35°C ambient</w:t>
      </w:r>
    </w:p>
    <w:p>
      <w:pPr>
        <w:pStyle w:val="ListParagraph"/>
        <w:numPr>
          <w:ilvl w:val="0"/>
          <w:numId w:val="2"/>
        </w:numPr>
        <w:spacing w:after="60"/>
      </w:pPr>
      <w:r>
        <w:t xml:space="preserve">Humidity: 20–80% non-condensing</w:t>
      </w:r>
    </w:p>
    <w:p>
      <w:pPr>
        <w:pStyle w:val="ListParagraph"/>
        <w:numPr>
          <w:ilvl w:val="0"/>
          <w:numId w:val="2"/>
        </w:numPr>
        <w:spacing w:after="60"/>
      </w:pPr>
      <w:r>
        <w:t xml:space="preserve">Power: Input voltage tolerance per local standards, with surge protection</w:t>
      </w:r>
    </w:p>
    <w:p>
      <w:pPr>
        <w:pStyle w:val="ListParagraph"/>
        <w:numPr>
          <w:ilvl w:val="0"/>
          <w:numId w:val="2"/>
        </w:numPr>
        <w:spacing w:after="60"/>
      </w:pPr>
      <w:r>
        <w:t xml:space="preserve">Noise: &lt; 45 dBA at 1 meter (for office/operations room deployment)</w:t>
      </w:r>
    </w:p>
    <w:p>
      <w:pPr>
        <w:pStyle w:val="ListParagraph"/>
        <w:numPr>
          <w:ilvl w:val="0"/>
          <w:numId w:val="2"/>
        </w:numPr>
        <w:spacing w:after="60"/>
      </w:pPr>
      <w:r>
        <w:t xml:space="preserve">Physical security: Lockable chassis or rack-mount configuration</w:t>
      </w:r>
    </w:p>
    <w:p>
      <w:r>
        <w:br w:type="page"/>
      </w:r>
    </w:p>
    <w:p>
      <w:pPr>
        <w:pStyle w:val="Heading1"/>
      </w:pPr>
      <w:r>
        <w:t xml:space="preserve">7. Software Architecture</w:t>
      </w:r>
    </w:p>
    <w:p>
      <w:pPr>
        <w:pStyle w:val="Heading2"/>
      </w:pPr>
      <w:r>
        <w:t xml:space="preserve">7.1 Core Software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8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3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Technologies</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API Client Module</w:t>
            </w:r>
          </w:p>
        </w:tc>
        <w:tc>
          <w:tcPr>
            <w:tcW w:type="dxa" w:w="3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SADIS/WIFS API authentication, query construction, response handling, failover logic</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HTTPS, OAuth2/API Key, OGC EDR, JSON, GRIB2</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GRIB2 Decoder</w:t>
            </w:r>
          </w:p>
        </w:tc>
        <w:tc>
          <w:tcPr>
            <w:tcW w:type="dxa" w:w="3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Decode wind, temperature, humidity, geopotential, hazard grids from GRIB2 payloads</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WMO FM-92, JPEG2000, PDT 4.15</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BUFR Decoder</w:t>
            </w:r>
          </w:p>
        </w:tc>
        <w:tc>
          <w:tcPr>
            <w:tcW w:type="dxa" w:w="3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Decode SIGWX phenomena from BUFR data (legacy transition)</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WMO FM-94</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IWXXM Parser</w:t>
            </w:r>
          </w:p>
        </w:tc>
        <w:tc>
          <w:tcPr>
            <w:tcW w:type="dxa" w:w="3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Parse XML/GML SIGWX, OPMET products; handle schema versioning</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XML, GML, IWXXM schemas</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TAC Parser</w:t>
            </w:r>
          </w:p>
        </w:tc>
        <w:tc>
          <w:tcPr>
            <w:tcW w:type="dxa" w:w="3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Decode traditional alphanumeric METAR, TAF, SIGMET, etc.</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WMO TAC specifications</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Data Manager</w:t>
            </w:r>
          </w:p>
        </w:tc>
        <w:tc>
          <w:tcPr>
            <w:tcW w:type="dxa" w:w="3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Ingest, index, store, lifecycle-manage all decoded products</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Relational/time-series DB, file system</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Rendering Engine</w:t>
            </w:r>
          </w:p>
        </w:tc>
        <w:tc>
          <w:tcPr>
            <w:tcW w:type="dxa" w:w="3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Map projections, contouring, symbol placement, animation</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OpenGL/Vulkan, GIS libraries</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Briefing Generator</w:t>
            </w:r>
          </w:p>
        </w:tc>
        <w:tc>
          <w:tcPr>
            <w:tcW w:type="dxa" w:w="3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Compile route-specific flight documentation packages</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PDF generation, print subsystem</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System Monitor</w:t>
            </w:r>
          </w:p>
        </w:tc>
        <w:tc>
          <w:tcPr>
            <w:tcW w:type="dxa" w:w="3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Health checks, alerting, logging, performance metrics</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SNMP, syslog, dashboard UI</w:t>
            </w:r>
          </w:p>
        </w:tc>
      </w:tr>
    </w:tbl>
    <w:p>
      <w:pPr>
        <w:pStyle w:val="Heading2"/>
      </w:pPr>
      <w:r>
        <w:t xml:space="preserve">7.2 API Integration Architecture</w:t>
      </w:r>
    </w:p>
    <w:p>
      <w:pPr>
        <w:pStyle w:val="Heading3"/>
      </w:pPr>
      <w:r>
        <w:t xml:space="preserve">7.2.1 SADIS API Integration</w:t>
      </w:r>
    </w:p>
    <w:p>
      <w:pPr>
        <w:spacing w:after="120"/>
      </w:pPr>
      <w:r>
        <w:t xml:space="preserve">The SADIS API, operated by the Met Office as WAFC London, uses the OGC Environmental Data Retrieval (OGC-EDR) framework. Data is organized into collections that allow requests for specific parameters, tiles, and forecast timesteps. Users authenticate via the Met Office API Management (APIM) Developer portal.</w:t>
      </w:r>
    </w:p>
    <w:p>
      <w:pPr>
        <w:spacing w:after="120"/>
      </w:pPr>
      <w:r>
        <w:t xml:space="preserve">The workstation API client shall:</w:t>
      </w:r>
    </w:p>
    <w:p>
      <w:pPr>
        <w:pStyle w:val="ListParagraph"/>
        <w:numPr>
          <w:ilvl w:val="0"/>
          <w:numId w:val="2"/>
        </w:numPr>
        <w:spacing w:after="60"/>
      </w:pPr>
      <w:r>
        <w:t xml:space="preserve">Enumerate available collections and their metadata via JSON endpoints</w:t>
      </w:r>
    </w:p>
    <w:p>
      <w:pPr>
        <w:pStyle w:val="ListParagraph"/>
        <w:numPr>
          <w:ilvl w:val="0"/>
          <w:numId w:val="2"/>
        </w:numPr>
        <w:spacing w:after="60"/>
      </w:pPr>
      <w:r>
        <w:t xml:space="preserve">Construct targeted queries for specific parameters, tiles (global or 8 regional tiles), and timestep groups</w:t>
      </w:r>
    </w:p>
    <w:p>
      <w:pPr>
        <w:pStyle w:val="ListParagraph"/>
        <w:numPr>
          <w:ilvl w:val="0"/>
          <w:numId w:val="2"/>
        </w:numPr>
        <w:spacing w:after="60"/>
      </w:pPr>
      <w:r>
        <w:t xml:space="preserve">Process GRIB2 response payloads for gridded data collections</w:t>
      </w:r>
    </w:p>
    <w:p>
      <w:pPr>
        <w:pStyle w:val="ListParagraph"/>
        <w:numPr>
          <w:ilvl w:val="0"/>
          <w:numId w:val="2"/>
        </w:numPr>
        <w:spacing w:after="60"/>
      </w:pPr>
      <w:r>
        <w:t xml:space="preserve">Process IWXXM response payloads for SIGWX collections</w:t>
      </w:r>
    </w:p>
    <w:p>
      <w:pPr>
        <w:pStyle w:val="ListParagraph"/>
        <w:numPr>
          <w:ilvl w:val="0"/>
          <w:numId w:val="2"/>
        </w:numPr>
        <w:spacing w:after="60"/>
      </w:pPr>
      <w:r>
        <w:t xml:space="preserve">Handle concurrent requests within the tested capacity (550 unique users within a 20-minute window at each 6-hourly model update)</w:t>
      </w:r>
    </w:p>
    <w:p>
      <w:pPr>
        <w:pStyle w:val="ListParagraph"/>
        <w:numPr>
          <w:ilvl w:val="0"/>
          <w:numId w:val="2"/>
        </w:numPr>
        <w:spacing w:after="60"/>
      </w:pPr>
      <w:r>
        <w:t xml:space="preserve">Implement retry logic with exponential backoff for transient failures</w:t>
      </w:r>
    </w:p>
    <w:p>
      <w:pPr>
        <w:pStyle w:val="Heading3"/>
      </w:pPr>
      <w:r>
        <w:t xml:space="preserve">7.2.2 WIFS API Integration</w:t>
      </w:r>
    </w:p>
    <w:p>
      <w:pPr>
        <w:spacing w:after="120"/>
      </w:pPr>
      <w:r>
        <w:t xml:space="preserve">The WIFS API, operated by NOAA/FAA Aviation Weather Center as WAFC Washington, provides harmonized functionality. The workstation shall support WIFS API as the primary backup data source, with configurable switching between SADIS API and WIFS API.</w:t>
      </w:r>
    </w:p>
    <w:p>
      <w:pPr>
        <w:pStyle w:val="Heading3"/>
      </w:pPr>
      <w:r>
        <w:t xml:space="preserve">7.2.3 Dual-Source Failover</w:t>
      </w:r>
    </w:p>
    <w:p>
      <w:pPr>
        <w:spacing w:after="120"/>
      </w:pPr>
      <w:r>
        <w:t xml:space="preserve">The system shall implement automatic failover between SADIS API (WAFC London) and WIFS API (WAFC Washington). Since both WAFCs produce interchangeable products, loss of one source shall trigger transparent switch to the other with data continuity preserved. The operator shall be notified of failover events but no manual intervention shall be required.</w:t>
      </w:r>
    </w:p>
    <w:p>
      <w:pPr>
        <w:pStyle w:val="Heading2"/>
      </w:pPr>
      <w:r>
        <w:t xml:space="preserve">7.3 Data Format Transition Roadmap</w:t>
      </w:r>
    </w:p>
    <w:p>
      <w:pPr>
        <w:spacing w:after="120"/>
      </w:pPr>
      <w:r>
        <w:t xml:space="preserve">The workstation software must support the following format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4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Use</w:t>
            </w:r>
          </w:p>
        </w:tc>
        <w:tc>
          <w:tcPr>
            <w:tcW w:type="dxa" w:w="26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 Event</w:t>
            </w:r>
          </w:p>
        </w:tc>
        <w:tc>
          <w:tcPr>
            <w:tcW w:type="dxa" w:w="21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 of Life</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GRIB2 (1.25°)</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Standard gridded data</w:t>
            </w:r>
          </w:p>
        </w:tc>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Superseded by 0.25° for most parameters</w:t>
            </w:r>
          </w:p>
        </w:tc>
        <w:tc>
          <w:tcPr>
            <w:tcW w:type="dxa" w:w="2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Continues for legacy users</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GRIB2 (0.25°)</w:t>
            </w:r>
          </w:p>
        </w:tc>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High-resolution gridded data</w:t>
            </w:r>
          </w:p>
        </w:tc>
        <w:tc>
          <w:tcPr>
            <w:tcW w:type="dxa" w:w="26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Becomes primary via API</w:t>
            </w:r>
          </w:p>
        </w:tc>
        <w:tc>
          <w:tcPr>
            <w:tcW w:type="dxa" w:w="2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Ongoing</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BUFR (SIGWX)</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Legacy SIGWX T+24</w:t>
            </w:r>
          </w:p>
        </w:tc>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Replaced by IWXXM multi-timestep</w:t>
            </w:r>
          </w:p>
        </w:tc>
        <w:tc>
          <w:tcPr>
            <w:tcW w:type="dxa" w:w="2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Retirement by end of 2027</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SIGWX PNG</w:t>
            </w:r>
          </w:p>
        </w:tc>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Cross-check charts</w:t>
            </w:r>
          </w:p>
        </w:tc>
        <w:tc>
          <w:tcPr>
            <w:tcW w:type="dxa" w:w="26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Continues for validation</w:t>
            </w:r>
          </w:p>
        </w:tc>
        <w:tc>
          <w:tcPr>
            <w:tcW w:type="dxa" w:w="2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Ongoing</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IWXXM (SIGWX)</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Multi-timestep SIGWX (T+6 to T+48)</w:t>
            </w:r>
          </w:p>
        </w:tc>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Becomes sole SIGWX digital format</w:t>
            </w:r>
          </w:p>
        </w:tc>
        <w:tc>
          <w:tcPr>
            <w:tcW w:type="dxa" w:w="2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Ongoing</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TAC (OPMET)</w:t>
            </w:r>
          </w:p>
        </w:tc>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METAR, TAF, SIGMET, etc.</w:t>
            </w:r>
          </w:p>
        </w:tc>
        <w:tc>
          <w:tcPr>
            <w:tcW w:type="dxa" w:w="26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Migrating to IWXXM product-by-product</w:t>
            </w:r>
          </w:p>
        </w:tc>
        <w:tc>
          <w:tcPr>
            <w:tcW w:type="dxa" w:w="2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Phased retirement (TBD)</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IWXXM (OPMET)</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Selected OPMET products</w:t>
            </w:r>
          </w:p>
        </w:tc>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Full OPMET coverage expanding</w:t>
            </w:r>
          </w:p>
        </w:tc>
        <w:tc>
          <w:tcPr>
            <w:tcW w:type="dxa" w:w="2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Target primary format</w:t>
            </w:r>
          </w:p>
        </w:tc>
      </w:tr>
      <w:tr>
        <w:tc>
          <w:tcPr>
            <w:tcW w:type="dxa" w:w="2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Probabilistic GRIB2</w:t>
            </w:r>
          </w:p>
        </w:tc>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Not yet available</w:t>
            </w:r>
          </w:p>
        </w:tc>
        <w:tc>
          <w:tcPr>
            <w:tcW w:type="dxa" w:w="26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Trial Nov 2027, operational Nov 2028</w:t>
            </w:r>
          </w:p>
        </w:tc>
        <w:tc>
          <w:tcPr>
            <w:tcW w:type="dxa" w:w="2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New capability</w:t>
            </w:r>
          </w:p>
        </w:tc>
      </w:tr>
      <w:tr>
        <w:tc>
          <w:tcPr>
            <w:tcW w:type="dxa" w:w="2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SADIS FTP</w:t>
            </w:r>
          </w:p>
        </w:tc>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Legacy data delivery</w:t>
            </w:r>
          </w:p>
        </w:tc>
        <w:tc>
          <w:tcPr>
            <w:tcW w:type="dxa" w:w="26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Superseded by SADIS API</w:t>
            </w:r>
          </w:p>
        </w:tc>
        <w:tc>
          <w:tcPr>
            <w:tcW w:type="dxa" w:w="2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Retirement in 2028</w:t>
            </w:r>
          </w:p>
        </w:tc>
      </w:tr>
    </w:tbl>
    <w:p>
      <w:r>
        <w:br w:type="page"/>
      </w:r>
    </w:p>
    <w:p>
      <w:pPr>
        <w:pStyle w:val="Heading1"/>
      </w:pPr>
      <w:r>
        <w:t xml:space="preserve">8. Security Requirements</w:t>
      </w:r>
    </w:p>
    <w:p>
      <w:pPr>
        <w:pStyle w:val="Heading2"/>
      </w:pPr>
      <w:r>
        <w:t xml:space="preserve">8.1 Authentication and Access Control</w:t>
      </w:r>
    </w:p>
    <w:p>
      <w:pPr>
        <w:pStyle w:val="ListParagraph"/>
        <w:numPr>
          <w:ilvl w:val="0"/>
          <w:numId w:val="2"/>
        </w:numPr>
        <w:spacing w:after="60"/>
      </w:pPr>
      <w:r>
        <w:t xml:space="preserve">All API connections shall use TLS 1.2 or later with strong cipher suites</w:t>
      </w:r>
    </w:p>
    <w:p>
      <w:pPr>
        <w:pStyle w:val="ListParagraph"/>
        <w:numPr>
          <w:ilvl w:val="0"/>
          <w:numId w:val="2"/>
        </w:numPr>
        <w:spacing w:after="60"/>
      </w:pPr>
      <w:r>
        <w:t xml:space="preserve">API credentials (SADIS APIM keys, WIFS user/password) shall be stored encrypted at rest</w:t>
      </w:r>
    </w:p>
    <w:p>
      <w:pPr>
        <w:pStyle w:val="ListParagraph"/>
        <w:numPr>
          <w:ilvl w:val="0"/>
          <w:numId w:val="2"/>
        </w:numPr>
        <w:spacing w:after="60"/>
      </w:pPr>
      <w:r>
        <w:t xml:space="preserve">Role-based access control (RBAC) with a minimum of three roles: Administrator, Meteorologist/Operator, and Read-Only Viewer</w:t>
      </w:r>
    </w:p>
    <w:p>
      <w:pPr>
        <w:pStyle w:val="ListParagraph"/>
        <w:numPr>
          <w:ilvl w:val="0"/>
          <w:numId w:val="2"/>
        </w:numPr>
        <w:spacing w:after="60"/>
      </w:pPr>
      <w:r>
        <w:t xml:space="preserve">Local authentication with strong password policy, or integration with enterprise directory services (LDAP/Active Directory)</w:t>
      </w:r>
    </w:p>
    <w:p>
      <w:pPr>
        <w:pStyle w:val="ListParagraph"/>
        <w:numPr>
          <w:ilvl w:val="0"/>
          <w:numId w:val="2"/>
        </w:numPr>
        <w:spacing w:after="60"/>
      </w:pPr>
      <w:r>
        <w:t xml:space="preserve">Session timeout after configurable idle period</w:t>
      </w:r>
    </w:p>
    <w:p>
      <w:pPr>
        <w:pStyle w:val="Heading2"/>
      </w:pPr>
      <w:r>
        <w:t xml:space="preserve">8.2 Data Integrity</w:t>
      </w:r>
    </w:p>
    <w:p>
      <w:pPr>
        <w:pStyle w:val="ListParagraph"/>
        <w:numPr>
          <w:ilvl w:val="0"/>
          <w:numId w:val="2"/>
        </w:numPr>
        <w:spacing w:after="60"/>
      </w:pPr>
      <w:r>
        <w:t xml:space="preserve">Digital signature verification of SADIS/WIFS data to ensure data has not been tampered with or corrupted in transit (per SADIS digital signing and certification processes)</w:t>
      </w:r>
    </w:p>
    <w:p>
      <w:pPr>
        <w:pStyle w:val="ListParagraph"/>
        <w:numPr>
          <w:ilvl w:val="0"/>
          <w:numId w:val="2"/>
        </w:numPr>
        <w:spacing w:after="60"/>
      </w:pPr>
      <w:r>
        <w:t xml:space="preserve">Checksum validation on all downloaded data files</w:t>
      </w:r>
    </w:p>
    <w:p>
      <w:pPr>
        <w:pStyle w:val="ListParagraph"/>
        <w:numPr>
          <w:ilvl w:val="0"/>
          <w:numId w:val="2"/>
        </w:numPr>
        <w:spacing w:after="60"/>
      </w:pPr>
      <w:r>
        <w:t xml:space="preserve">Tamper-evident audit logging of all data modifications</w:t>
      </w:r>
    </w:p>
    <w:p>
      <w:pPr>
        <w:pStyle w:val="Heading2"/>
      </w:pPr>
      <w:r>
        <w:t xml:space="preserve">8.3 Network Security</w:t>
      </w:r>
    </w:p>
    <w:p>
      <w:pPr>
        <w:pStyle w:val="ListParagraph"/>
        <w:numPr>
          <w:ilvl w:val="0"/>
          <w:numId w:val="2"/>
        </w:numPr>
        <w:spacing w:after="60"/>
      </w:pPr>
      <w:r>
        <w:t xml:space="preserve">Hardened operating system with minimal attack surface</w:t>
      </w:r>
    </w:p>
    <w:p>
      <w:pPr>
        <w:pStyle w:val="ListParagraph"/>
        <w:numPr>
          <w:ilvl w:val="0"/>
          <w:numId w:val="2"/>
        </w:numPr>
        <w:spacing w:after="60"/>
      </w:pPr>
      <w:r>
        <w:t xml:space="preserve">Host-based firewall restricting inbound connections to management interfaces only</w:t>
      </w:r>
    </w:p>
    <w:p>
      <w:pPr>
        <w:pStyle w:val="ListParagraph"/>
        <w:numPr>
          <w:ilvl w:val="0"/>
          <w:numId w:val="2"/>
        </w:numPr>
        <w:spacing w:after="60"/>
      </w:pPr>
      <w:r>
        <w:t xml:space="preserve">Outbound connections limited to known SADIS API and WIFS API endpoints</w:t>
      </w:r>
    </w:p>
    <w:p>
      <w:pPr>
        <w:pStyle w:val="ListParagraph"/>
        <w:numPr>
          <w:ilvl w:val="0"/>
          <w:numId w:val="2"/>
        </w:numPr>
        <w:spacing w:after="60"/>
      </w:pPr>
      <w:r>
        <w:t xml:space="preserve">Regular security patching with a defined patch management cadence</w:t>
      </w:r>
    </w:p>
    <w:p>
      <w:pPr>
        <w:pStyle w:val="ListParagraph"/>
        <w:numPr>
          <w:ilvl w:val="0"/>
          <w:numId w:val="2"/>
        </w:numPr>
        <w:spacing w:after="60"/>
      </w:pPr>
      <w:r>
        <w:t xml:space="preserve">Compliance with ICAO Doc 9855 guidelines for use of the public internet for aeronautical applications</w:t>
      </w:r>
    </w:p>
    <w:p>
      <w:r>
        <w:br w:type="page"/>
      </w:r>
    </w:p>
    <w:p>
      <w:pPr>
        <w:pStyle w:val="Heading1"/>
      </w:pPr>
      <w:r>
        <w:t xml:space="preserve">9. Reliability, Availability, and Continuity</w:t>
      </w:r>
    </w:p>
    <w:p>
      <w:pPr>
        <w:pStyle w:val="Heading2"/>
      </w:pPr>
      <w:r>
        <w:t xml:space="preserve">9.1 Availability Target</w:t>
      </w:r>
    </w:p>
    <w:p>
      <w:pPr>
        <w:spacing w:after="120"/>
      </w:pPr>
      <w:r>
        <w:t xml:space="preserve">The workstation shall achieve a minimum operational availability of 99.9% measured over a rolling 12-month period (excluding planned maintenance windows). This equates to no more than 8.76 hours of unplanned downtime per year.</w:t>
      </w:r>
    </w:p>
    <w:p>
      <w:pPr>
        <w:pStyle w:val="Heading2"/>
      </w:pPr>
      <w:r>
        <w:t xml:space="preserve">9.2 Redundancy</w:t>
      </w:r>
    </w:p>
    <w:p>
      <w:pPr>
        <w:pStyle w:val="ListParagraph"/>
        <w:numPr>
          <w:ilvl w:val="0"/>
          <w:numId w:val="2"/>
        </w:numPr>
        <w:spacing w:after="60"/>
      </w:pPr>
      <w:r>
        <w:t xml:space="preserve">Dual data acquisition paths (SADIS API + WIFS API) with automatic failover</w:t>
      </w:r>
    </w:p>
    <w:p>
      <w:pPr>
        <w:pStyle w:val="ListParagraph"/>
        <w:numPr>
          <w:ilvl w:val="0"/>
          <w:numId w:val="2"/>
        </w:numPr>
        <w:spacing w:after="60"/>
      </w:pPr>
      <w:r>
        <w:t xml:space="preserve">Redundant storage (RAID or equivalent) for the data repository</w:t>
      </w:r>
    </w:p>
    <w:p>
      <w:pPr>
        <w:pStyle w:val="ListParagraph"/>
        <w:numPr>
          <w:ilvl w:val="0"/>
          <w:numId w:val="2"/>
        </w:numPr>
        <w:spacing w:after="60"/>
      </w:pPr>
      <w:r>
        <w:t xml:space="preserve">UPS-backed power with automated graceful shutdown on extended outage</w:t>
      </w:r>
    </w:p>
    <w:p>
      <w:pPr>
        <w:pStyle w:val="ListParagraph"/>
        <w:numPr>
          <w:ilvl w:val="0"/>
          <w:numId w:val="2"/>
        </w:numPr>
        <w:spacing w:after="60"/>
      </w:pPr>
      <w:r>
        <w:t xml:space="preserve">For critical installations: hot-standby or active-active workstation pair with shared data repository</w:t>
      </w:r>
    </w:p>
    <w:p>
      <w:pPr>
        <w:pStyle w:val="Heading2"/>
      </w:pPr>
      <w:r>
        <w:t xml:space="preserve">9.3 Data Recovery</w:t>
      </w:r>
    </w:p>
    <w:p>
      <w:pPr>
        <w:pStyle w:val="ListParagraph"/>
        <w:numPr>
          <w:ilvl w:val="0"/>
          <w:numId w:val="2"/>
        </w:numPr>
        <w:spacing w:after="60"/>
      </w:pPr>
      <w:r>
        <w:t xml:space="preserve">If data is not immediately available from an API, the system shall re-poll at a minimum 5-minute interval</w:t>
      </w:r>
    </w:p>
    <w:p>
      <w:pPr>
        <w:pStyle w:val="ListParagraph"/>
        <w:numPr>
          <w:ilvl w:val="0"/>
          <w:numId w:val="2"/>
        </w:numPr>
        <w:spacing w:after="60"/>
      </w:pPr>
      <w:r>
        <w:t xml:space="preserve">After 3 consecutive re-poll failures (spanning 20+ minutes), the system shall alert the operator and automatically switch to backup WAFC source</w:t>
      </w:r>
    </w:p>
    <w:p>
      <w:pPr>
        <w:pStyle w:val="ListParagraph"/>
        <w:numPr>
          <w:ilvl w:val="0"/>
          <w:numId w:val="2"/>
        </w:numPr>
        <w:spacing w:after="60"/>
      </w:pPr>
      <w:r>
        <w:t xml:space="preserve">Configurable data staleness thresholds with visual warning when displayed data exceeds age limits</w:t>
      </w:r>
    </w:p>
    <w:p>
      <w:pPr>
        <w:pStyle w:val="Heading2"/>
      </w:pPr>
      <w:r>
        <w:t xml:space="preserve">9.4 Disaster Recovery</w:t>
      </w:r>
    </w:p>
    <w:p>
      <w:pPr>
        <w:pStyle w:val="ListParagraph"/>
        <w:numPr>
          <w:ilvl w:val="0"/>
          <w:numId w:val="2"/>
        </w:numPr>
        <w:spacing w:after="60"/>
      </w:pPr>
      <w:r>
        <w:t xml:space="preserve">System image backup enabling rebuild within 4 hours</w:t>
      </w:r>
    </w:p>
    <w:p>
      <w:pPr>
        <w:pStyle w:val="ListParagraph"/>
        <w:numPr>
          <w:ilvl w:val="0"/>
          <w:numId w:val="2"/>
        </w:numPr>
        <w:spacing w:after="60"/>
      </w:pPr>
      <w:r>
        <w:t xml:space="preserve">Configuration export/import for rapid reprovisioning</w:t>
      </w:r>
    </w:p>
    <w:p>
      <w:pPr>
        <w:pStyle w:val="ListParagraph"/>
        <w:numPr>
          <w:ilvl w:val="0"/>
          <w:numId w:val="2"/>
        </w:numPr>
        <w:spacing w:after="60"/>
      </w:pPr>
      <w:r>
        <w:t xml:space="preserve">Documented recovery procedures and annual testing</w:t>
      </w:r>
    </w:p>
    <w:p>
      <w:r>
        <w:br w:type="page"/>
      </w:r>
    </w:p>
    <w:p>
      <w:pPr>
        <w:pStyle w:val="Heading1"/>
      </w:pPr>
      <w:r>
        <w:t xml:space="preserve">10.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1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4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API query to data available for display</w:t>
            </w:r>
          </w:p>
        </w:tc>
        <w:tc>
          <w:tcPr>
            <w:tcW w:type="dxa" w:w="5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 60 seconds for a complete model run download (gridded + SIGWX)</w:t>
            </w:r>
          </w:p>
        </w:tc>
      </w:tr>
      <w:tr>
        <w:tc>
          <w:tcPr>
            <w:tcW w:type="dxa" w:w="4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GRIB2 decode (single parameter, global)</w:t>
            </w:r>
          </w:p>
        </w:tc>
        <w:tc>
          <w:tcPr>
            <w:tcW w:type="dxa" w:w="5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 5 seconds per field</w:t>
            </w:r>
          </w:p>
        </w:tc>
      </w:tr>
      <w:tr>
        <w:tc>
          <w:tcPr>
            <w:tcW w:type="dxa" w:w="4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SIGWX IWXXM parse and render</w:t>
            </w:r>
          </w:p>
        </w:tc>
        <w:tc>
          <w:tcPr>
            <w:tcW w:type="dxa" w:w="5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 10 seconds per timestep to interactive display</w:t>
            </w:r>
          </w:p>
        </w:tc>
      </w:tr>
      <w:tr>
        <w:tc>
          <w:tcPr>
            <w:tcW w:type="dxa" w:w="4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Map pan/zoom response</w:t>
            </w:r>
          </w:p>
        </w:tc>
        <w:tc>
          <w:tcPr>
            <w:tcW w:type="dxa" w:w="5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 100 ms latency (interactive frame rate)</w:t>
            </w:r>
          </w:p>
        </w:tc>
      </w:tr>
      <w:tr>
        <w:tc>
          <w:tcPr>
            <w:tcW w:type="dxa" w:w="4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Animation frame rate</w:t>
            </w:r>
          </w:p>
        </w:tc>
        <w:tc>
          <w:tcPr>
            <w:tcW w:type="dxa" w:w="5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 5 fps for SIGWX timestep animation</w:t>
            </w:r>
          </w:p>
        </w:tc>
      </w:tr>
      <w:tr>
        <w:tc>
          <w:tcPr>
            <w:tcW w:type="dxa" w:w="4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OPMET search and display</w:t>
            </w:r>
          </w:p>
        </w:tc>
        <w:tc>
          <w:tcPr>
            <w:tcW w:type="dxa" w:w="5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 3 seconds for regional OPMET list retrieval</w:t>
            </w:r>
          </w:p>
        </w:tc>
      </w:tr>
      <w:tr>
        <w:tc>
          <w:tcPr>
            <w:tcW w:type="dxa" w:w="4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Flight documentation generation</w:t>
            </w:r>
          </w:p>
        </w:tc>
        <w:tc>
          <w:tcPr>
            <w:tcW w:type="dxa" w:w="5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 30 seconds for complete briefing package</w:t>
            </w:r>
          </w:p>
        </w:tc>
      </w:tr>
      <w:tr>
        <w:tc>
          <w:tcPr>
            <w:tcW w:type="dxa" w:w="42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System cold start to operational</w:t>
            </w:r>
          </w:p>
        </w:tc>
        <w:tc>
          <w:tcPr>
            <w:tcW w:type="dxa" w:w="51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 5 minutes from power-on to displaying current data</w:t>
            </w:r>
          </w:p>
        </w:tc>
      </w:tr>
      <w:tr>
        <w:tc>
          <w:tcPr>
            <w:tcW w:type="dxa" w:w="42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Concurrent users (multi-seat)</w:t>
            </w:r>
          </w:p>
        </w:tc>
        <w:tc>
          <w:tcPr>
            <w:tcW w:type="dxa" w:w="51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 5 simultaneous operator sessions without degradation</w:t>
            </w:r>
          </w:p>
        </w:tc>
      </w:tr>
    </w:tbl>
    <w:p>
      <w:r>
        <w:br w:type="page"/>
      </w:r>
    </w:p>
    <w:p>
      <w:pPr>
        <w:pStyle w:val="Heading1"/>
      </w:pPr>
      <w:r>
        <w:t xml:space="preserve">11. SWIM Integration and Interoperability</w:t>
      </w:r>
    </w:p>
    <w:p>
      <w:pPr>
        <w:pStyle w:val="Heading2"/>
      </w:pPr>
      <w:r>
        <w:t xml:space="preserve">11.1 SWIM Alignment</w:t>
      </w:r>
    </w:p>
    <w:p>
      <w:pPr>
        <w:spacing w:after="120"/>
      </w:pPr>
      <w:r>
        <w:t xml:space="preserve">The workstation architecture shall align with the ICAO System Wide Information Management (SWIM) concept as defined in Doc 10039. SWIM represents a fundamental shift toward net-centric, service-oriented aviation information exchange, and the WAFS workstation must be positioned as a capable SWIM information consumer.</w:t>
      </w:r>
    </w:p>
    <w:p>
      <w:pPr>
        <w:spacing w:after="120"/>
      </w:pPr>
      <w:r>
        <w:t xml:space="preserve">The ASBU roadmap places MET information services in SWIM (AMET-B2/4) in the 2025–2030 timeframe. The workstation shall:</w:t>
      </w:r>
    </w:p>
    <w:p>
      <w:pPr>
        <w:pStyle w:val="ListParagraph"/>
        <w:numPr>
          <w:ilvl w:val="0"/>
          <w:numId w:val="2"/>
        </w:numPr>
        <w:spacing w:after="60"/>
      </w:pPr>
      <w:r>
        <w:t xml:space="preserve">Consume data via standardized information services using OGC API protocols</w:t>
      </w:r>
    </w:p>
    <w:p>
      <w:pPr>
        <w:pStyle w:val="ListParagraph"/>
        <w:numPr>
          <w:ilvl w:val="0"/>
          <w:numId w:val="2"/>
        </w:numPr>
        <w:spacing w:after="60"/>
      </w:pPr>
      <w:r>
        <w:t xml:space="preserve">Support future Publish/Subscribe data delivery when SADIS/WIFS APIs introduce this capability</w:t>
      </w:r>
    </w:p>
    <w:p>
      <w:pPr>
        <w:pStyle w:val="ListParagraph"/>
        <w:numPr>
          <w:ilvl w:val="0"/>
          <w:numId w:val="2"/>
        </w:numPr>
        <w:spacing w:after="60"/>
      </w:pPr>
      <w:r>
        <w:t xml:space="preserve">Handle IWXXM as the SWIM-native meteorological data exchange format</w:t>
      </w:r>
    </w:p>
    <w:p>
      <w:pPr>
        <w:pStyle w:val="ListParagraph"/>
        <w:numPr>
          <w:ilvl w:val="0"/>
          <w:numId w:val="2"/>
        </w:numPr>
        <w:spacing w:after="60"/>
      </w:pPr>
      <w:r>
        <w:t xml:space="preserve">Be registrable as an information service consumer in SWIM registries (e.g., EUR SWIM Registry)</w:t>
      </w:r>
    </w:p>
    <w:p>
      <w:pPr>
        <w:pStyle w:val="ListParagraph"/>
        <w:numPr>
          <w:ilvl w:val="0"/>
          <w:numId w:val="2"/>
        </w:numPr>
        <w:spacing w:after="60"/>
      </w:pPr>
      <w:r>
        <w:t xml:space="preserve">Interoperate with other SWIM-enabled aviation information domains (AIM, flight data, airspace) where interfaces are defined</w:t>
      </w:r>
    </w:p>
    <w:p>
      <w:pPr>
        <w:pStyle w:val="Heading2"/>
      </w:pPr>
      <w:r>
        <w:t xml:space="preserve">11.2 Data Exchange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40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29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Compliance Level</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OGC API-EDR</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SADIS/WIFS API query protocol</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Mandatory</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IWXXM</w:t>
            </w:r>
          </w:p>
        </w:tc>
        <w:tc>
          <w:tcPr>
            <w:tcW w:type="dxa" w:w="4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MET data exchange (SIGWX, OPMET products)</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Mandatory</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GRIB2 (WMO FM 92)</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Gridded forecast data</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Mandatory</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BUFR (WMO FM 94)</w:t>
            </w:r>
          </w:p>
        </w:tc>
        <w:tc>
          <w:tcPr>
            <w:tcW w:type="dxa" w:w="4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Legacy SIGWX data (transitional)</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Mandatory until retirement</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GML (ISO 19136)</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Geographic features in IWXXM</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Mandatory</w:t>
            </w:r>
          </w:p>
        </w:tc>
      </w:tr>
      <w:tr>
        <w:tc>
          <w:tcPr>
            <w:tcW w:type="dxa" w:w="24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AIXM</w:t>
            </w:r>
          </w:p>
        </w:tc>
        <w:tc>
          <w:tcPr>
            <w:tcW w:type="dxa" w:w="4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Aeronautical features referenced in IWXXM</w:t>
            </w:r>
          </w:p>
        </w:tc>
        <w:tc>
          <w:tcPr>
            <w:tcW w:type="dxa" w:w="29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Recommended</w:t>
            </w:r>
          </w:p>
        </w:tc>
      </w:tr>
      <w:tr>
        <w:tc>
          <w:tcPr>
            <w:tcW w:type="dxa" w:w="24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JSON</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API metadata, collection enumeration</w:t>
            </w:r>
          </w:p>
        </w:tc>
        <w:tc>
          <w:tcPr>
            <w:tcW w:type="dxa" w:w="29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Mandatory</w:t>
            </w:r>
          </w:p>
        </w:tc>
      </w:tr>
    </w:tbl>
    <w:p>
      <w:r>
        <w:br w:type="page"/>
      </w:r>
    </w:p>
    <w:p>
      <w:pPr>
        <w:pStyle w:val="Heading1"/>
      </w:pPr>
      <w:r>
        <w:t xml:space="preserve">12. Testing and Acceptance Criteria</w:t>
      </w:r>
    </w:p>
    <w:p>
      <w:pPr>
        <w:pStyle w:val="Heading2"/>
      </w:pPr>
      <w:r>
        <w:t xml:space="preserve">12.1 SADIS API Software Evaluation</w:t>
      </w:r>
    </w:p>
    <w:p>
      <w:pPr>
        <w:spacing w:after="120"/>
      </w:pPr>
      <w:r>
        <w:t xml:space="preserve">Prior to operational deployment, the workstation software shall successfully complete the SADIS API Workstation Software Evaluation conducted by the SADIS Provider (Met Office). The evaluation covers:</w:t>
      </w:r>
    </w:p>
    <w:p>
      <w:pPr>
        <w:pStyle w:val="ListParagraph"/>
        <w:numPr>
          <w:ilvl w:val="0"/>
          <w:numId w:val="3"/>
        </w:numPr>
        <w:spacing w:after="60"/>
      </w:pPr>
      <w:r>
        <w:rPr>
          <w:b/>
          <w:bCs/>
        </w:rPr>
        <w:t xml:space="preserve">Connection and Data Download: </w:t>
      </w:r>
      <w:r>
        <w:t xml:space="preserve">Demonstrate authenticated connection to SADIS API and successful retrieval of GRIB2, IWXXM, and OPMET data</w:t>
      </w:r>
    </w:p>
    <w:p>
      <w:pPr>
        <w:pStyle w:val="ListParagraph"/>
        <w:numPr>
          <w:ilvl w:val="0"/>
          <w:numId w:val="3"/>
        </w:numPr>
        <w:spacing w:after="60"/>
      </w:pPr>
      <w:r>
        <w:rPr>
          <w:b/>
          <w:bCs/>
        </w:rPr>
        <w:t xml:space="preserve">GRIB2 Gridded Data Display: </w:t>
      </w:r>
      <w:r>
        <w:t xml:space="preserve">Demonstrate correct decoding and visualization of wind, temperature, and hazard fields from both WAFC London and WAFC Washington data</w:t>
      </w:r>
    </w:p>
    <w:p>
      <w:pPr>
        <w:pStyle w:val="ListParagraph"/>
        <w:numPr>
          <w:ilvl w:val="0"/>
          <w:numId w:val="3"/>
        </w:numPr>
        <w:spacing w:after="60"/>
      </w:pPr>
      <w:r>
        <w:rPr>
          <w:b/>
          <w:bCs/>
        </w:rPr>
        <w:t xml:space="preserve">SIGWX Chart Display: </w:t>
      </w:r>
      <w:r>
        <w:t xml:space="preserve">Demonstrate SIGWX maps from GRIB2/IWXXM data with pan, zoom, layer toggle, projection changes; conformance to ICAO display conventions; meteorological content identical to cross-check PNG charts; coverage spanning the International Date Line and poles; display as fixed ICAO chart areas</w:t>
      </w:r>
    </w:p>
    <w:p>
      <w:pPr>
        <w:pStyle w:val="ListParagraph"/>
        <w:numPr>
          <w:ilvl w:val="0"/>
          <w:numId w:val="3"/>
        </w:numPr>
        <w:spacing w:after="60"/>
      </w:pPr>
      <w:r>
        <w:rPr>
          <w:b/>
          <w:bCs/>
        </w:rPr>
        <w:t xml:space="preserve">OPMET Data Display: </w:t>
      </w:r>
      <w:r>
        <w:t xml:space="preserve">Demonstrate retrieval and display of TAFs, METARs, SPECIs, SIGMETs, AIRMETs, GAMETs, Special AIREPs from all regions in plain text and IWXXM formats</w:t>
      </w:r>
    </w:p>
    <w:p>
      <w:pPr>
        <w:pStyle w:val="ListParagraph"/>
        <w:numPr>
          <w:ilvl w:val="0"/>
          <w:numId w:val="3"/>
        </w:numPr>
        <w:spacing w:after="60"/>
      </w:pPr>
      <w:r>
        <w:rPr>
          <w:b/>
          <w:bCs/>
        </w:rPr>
        <w:t xml:space="preserve">Briefing Chart Output: </w:t>
      </w:r>
      <w:r>
        <w:t xml:space="preserve">Demonstrate print-quality SIGWX output that is clear, unambiguous, and appropriately labeled</w:t>
      </w:r>
    </w:p>
    <w:p>
      <w:pPr>
        <w:pStyle w:val="Heading2"/>
      </w:pPr>
      <w:r>
        <w:t xml:space="preserve">12.2 Functional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Category</w:t>
            </w:r>
          </w:p>
        </w:tc>
        <w:tc>
          <w:tcPr>
            <w:tcW w:type="dxa" w:w="40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33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Criteria</w:t>
            </w:r>
          </w:p>
        </w:tc>
      </w:tr>
      <w:tr>
        <w:tc>
          <w:tcPr>
            <w:tcW w:type="dxa" w:w="2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Data Acquisition</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Retrieve complete model run from SADIS API and WIFS API</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All parameters/timesteps present within 60 seconds</w:t>
            </w:r>
          </w:p>
        </w:tc>
      </w:tr>
      <w:tr>
        <w:tc>
          <w:tcPr>
            <w:tcW w:type="dxa" w:w="2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Failover</w:t>
            </w:r>
          </w:p>
        </w:tc>
        <w:tc>
          <w:tcPr>
            <w:tcW w:type="dxa" w:w="4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Simulate primary API outage; verify automatic switch</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Failover within 2 minutes, no data gaps</w:t>
            </w:r>
          </w:p>
        </w:tc>
      </w:tr>
      <w:tr>
        <w:tc>
          <w:tcPr>
            <w:tcW w:type="dxa" w:w="2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GRIB2 Accuracy</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Compare decoded values against reference tool output</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100% bit-accurate decode</w:t>
            </w:r>
          </w:p>
        </w:tc>
      </w:tr>
      <w:tr>
        <w:tc>
          <w:tcPr>
            <w:tcW w:type="dxa" w:w="2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SIGWX Rendering</w:t>
            </w:r>
          </w:p>
        </w:tc>
        <w:tc>
          <w:tcPr>
            <w:tcW w:type="dxa" w:w="4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Compare workstation SIGWX display against WAFC PNG charts</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Meteorological content identical</w:t>
            </w:r>
          </w:p>
        </w:tc>
      </w:tr>
      <w:tr>
        <w:tc>
          <w:tcPr>
            <w:tcW w:type="dxa" w:w="2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Multi-Timestep</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Animate T+6 through T+48 SIGWX sequence</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All 15 timesteps render correctly</w:t>
            </w:r>
          </w:p>
        </w:tc>
      </w:tr>
      <w:tr>
        <w:tc>
          <w:tcPr>
            <w:tcW w:type="dxa" w:w="2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OPMET Retrieval</w:t>
            </w:r>
          </w:p>
        </w:tc>
        <w:tc>
          <w:tcPr>
            <w:tcW w:type="dxa" w:w="4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Query METARs for 50 aerodromes across all 5 regions</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All available reports displayed correctly</w:t>
            </w:r>
          </w:p>
        </w:tc>
      </w:tr>
      <w:tr>
        <w:tc>
          <w:tcPr>
            <w:tcW w:type="dxa" w:w="2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Performance</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Full model run ingest under load (5 concurrent sessions)</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All performance targets met per Section 10</w:t>
            </w:r>
          </w:p>
        </w:tc>
      </w:tr>
      <w:tr>
        <w:tc>
          <w:tcPr>
            <w:tcW w:type="dxa" w:w="2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40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Penetration test and credential security audit</w:t>
            </w:r>
          </w:p>
        </w:tc>
        <w:tc>
          <w:tcPr>
            <w:tcW w:type="dxa" w:w="33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No critical or high vulnerabilities</w:t>
            </w:r>
          </w:p>
        </w:tc>
      </w:tr>
      <w:tr>
        <w:tc>
          <w:tcPr>
            <w:tcW w:type="dxa" w:w="2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Recovery</w:t>
            </w:r>
          </w:p>
        </w:tc>
        <w:tc>
          <w:tcPr>
            <w:tcW w:type="dxa" w:w="40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Simulate power failure and restore from UPS/backup</w:t>
            </w:r>
          </w:p>
        </w:tc>
        <w:tc>
          <w:tcPr>
            <w:tcW w:type="dxa" w:w="33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Operational within 5 minutes</w:t>
            </w:r>
          </w:p>
        </w:tc>
      </w:tr>
    </w:tbl>
    <w:p>
      <w:pPr>
        <w:pStyle w:val="Heading2"/>
      </w:pPr>
      <w:r>
        <w:t xml:space="preserve">12.3 Operational Validation</w:t>
      </w:r>
    </w:p>
    <w:p>
      <w:pPr>
        <w:spacing w:after="120"/>
      </w:pPr>
      <w:r>
        <w:t xml:space="preserve">Following successful acceptance testing, a minimum 30-day operational validation period shall be conducted in parallel with existing workstation infrastructure. During this period, the new workstation shall demonstrate data currency, display accuracy, and system stability equivalent to or exceeding the incumbent system before cutover.</w:t>
      </w:r>
    </w:p>
    <w:p>
      <w:r>
        <w:br w:type="page"/>
      </w:r>
    </w:p>
    <w:p>
      <w:pPr>
        <w:pStyle w:val="Heading1"/>
      </w:pPr>
      <w:r>
        <w:t xml:space="preserve">13. Maintenance, Training, and Support</w:t>
      </w:r>
    </w:p>
    <w:p>
      <w:pPr>
        <w:pStyle w:val="Heading2"/>
      </w:pPr>
      <w:r>
        <w:t xml:space="preserve">13.1 Software Maintenance</w:t>
      </w:r>
    </w:p>
    <w:p>
      <w:pPr>
        <w:pStyle w:val="ListParagraph"/>
        <w:numPr>
          <w:ilvl w:val="0"/>
          <w:numId w:val="2"/>
        </w:numPr>
        <w:spacing w:after="60"/>
      </w:pPr>
      <w:r>
        <w:t xml:space="preserve">Vendor shall provide software updates to track IWXXM schema changes as new versions are published</w:t>
      </w:r>
    </w:p>
    <w:p>
      <w:pPr>
        <w:pStyle w:val="ListParagraph"/>
        <w:numPr>
          <w:ilvl w:val="0"/>
          <w:numId w:val="2"/>
        </w:numPr>
        <w:spacing w:after="60"/>
      </w:pPr>
      <w:r>
        <w:t xml:space="preserve">Updates for new WAFS data products (e.g., probabilistic hazard data) shall be available prior to their operational introduction</w:t>
      </w:r>
    </w:p>
    <w:p>
      <w:pPr>
        <w:pStyle w:val="ListParagraph"/>
        <w:numPr>
          <w:ilvl w:val="0"/>
          <w:numId w:val="2"/>
        </w:numPr>
        <w:spacing w:after="60"/>
      </w:pPr>
      <w:r>
        <w:t xml:space="preserve">Security patches within 72 hours of critical vulnerability disclosure</w:t>
      </w:r>
    </w:p>
    <w:p>
      <w:pPr>
        <w:pStyle w:val="ListParagraph"/>
        <w:numPr>
          <w:ilvl w:val="0"/>
          <w:numId w:val="2"/>
        </w:numPr>
        <w:spacing w:after="60"/>
      </w:pPr>
      <w:r>
        <w:t xml:space="preserve">Minimum 10-year software support lifecycle from initial deployment</w:t>
      </w:r>
    </w:p>
    <w:p>
      <w:pPr>
        <w:pStyle w:val="Heading2"/>
      </w:pPr>
      <w:r>
        <w:t xml:space="preserve">13.2 Training</w:t>
      </w:r>
    </w:p>
    <w:p>
      <w:pPr>
        <w:pStyle w:val="ListParagraph"/>
        <w:numPr>
          <w:ilvl w:val="0"/>
          <w:numId w:val="2"/>
        </w:numPr>
        <w:spacing w:after="60"/>
      </w:pPr>
      <w:r>
        <w:t xml:space="preserve">Comprehensive operator training covering all workstation functions, data interpretation, and troubleshooting</w:t>
      </w:r>
    </w:p>
    <w:p>
      <w:pPr>
        <w:pStyle w:val="ListParagraph"/>
        <w:numPr>
          <w:ilvl w:val="0"/>
          <w:numId w:val="2"/>
        </w:numPr>
        <w:spacing w:after="60"/>
      </w:pPr>
      <w:r>
        <w:t xml:space="preserve">Administrator training for system configuration, user management, and maintenance procedures</w:t>
      </w:r>
    </w:p>
    <w:p>
      <w:pPr>
        <w:pStyle w:val="ListParagraph"/>
        <w:numPr>
          <w:ilvl w:val="0"/>
          <w:numId w:val="2"/>
        </w:numPr>
        <w:spacing w:after="60"/>
      </w:pPr>
      <w:r>
        <w:t xml:space="preserve">Training materials updated with each major software release</w:t>
      </w:r>
    </w:p>
    <w:p>
      <w:pPr>
        <w:pStyle w:val="ListParagraph"/>
        <w:numPr>
          <w:ilvl w:val="0"/>
          <w:numId w:val="2"/>
        </w:numPr>
        <w:spacing w:after="60"/>
      </w:pPr>
      <w:r>
        <w:t xml:space="preserve">Training shall address changes arising from the SIGWX format transition (BUFR to IWXXM) and the introduction of probabilistic data</w:t>
      </w:r>
    </w:p>
    <w:p>
      <w:pPr>
        <w:pStyle w:val="Heading2"/>
      </w:pPr>
      <w:r>
        <w:t xml:space="preserve">13.3 Technical Support</w:t>
      </w:r>
    </w:p>
    <w:p>
      <w:pPr>
        <w:pStyle w:val="ListParagraph"/>
        <w:numPr>
          <w:ilvl w:val="0"/>
          <w:numId w:val="2"/>
        </w:numPr>
        <w:spacing w:after="60"/>
      </w:pPr>
      <w:r>
        <w:t xml:space="preserve">24/7 technical support hotline for critical operational issues</w:t>
      </w:r>
    </w:p>
    <w:p>
      <w:pPr>
        <w:pStyle w:val="ListParagraph"/>
        <w:numPr>
          <w:ilvl w:val="0"/>
          <w:numId w:val="2"/>
        </w:numPr>
        <w:spacing w:after="60"/>
      </w:pPr>
      <w:r>
        <w:t xml:space="preserve">Target response time: 1 hour for severity-1 (system down), 4 hours for severity-2 (degraded function)</w:t>
      </w:r>
    </w:p>
    <w:p>
      <w:pPr>
        <w:pStyle w:val="ListParagraph"/>
        <w:numPr>
          <w:ilvl w:val="0"/>
          <w:numId w:val="2"/>
        </w:numPr>
        <w:spacing w:after="60"/>
      </w:pPr>
      <w:r>
        <w:t xml:space="preserve">Remote diagnostic capability for first-line fault isolation</w:t>
      </w:r>
    </w:p>
    <w:p>
      <w:pPr>
        <w:pStyle w:val="ListParagraph"/>
        <w:numPr>
          <w:ilvl w:val="0"/>
          <w:numId w:val="2"/>
        </w:numPr>
        <w:spacing w:after="60"/>
      </w:pPr>
      <w:r>
        <w:t xml:space="preserve">On-site support available within 24 hours for hardware failures</w:t>
      </w:r>
    </w:p>
    <w:p>
      <w:r>
        <w:br w:type="page"/>
      </w:r>
    </w:p>
    <w:p>
      <w:pPr>
        <w:pStyle w:val="Heading1"/>
      </w:pPr>
      <w:r>
        <w:t xml:space="preserve">14.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Abbreviation</w:t>
            </w:r>
          </w:p>
        </w:tc>
        <w:tc>
          <w:tcPr>
            <w:tcW w:type="dxa" w:w="7560"/>
            <w:tcBorders>
              <w:top w:val="single" w:color="B4C6D6" w:sz="1"/>
              <w:left w:val="single" w:color="B4C6D6" w:sz="1"/>
              <w:bottom w:val="single" w:color="B4C6D6" w:sz="1"/>
              <w:right w:val="single" w:color="B4C6D6"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Term</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AIREP</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Air Report</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AIRMET</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Airmen’s Meteorological Information</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AMET</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Aeronautical Meteorological (ASBU element prefix)</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AMOIS</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Aerodrome Meteorological Observation Information Service</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API</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Application Programming Interface</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APIM</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API Management (Met Office developer portal)</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ASBU</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Aviation System Block Upgrades</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AWC</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Aviation Weather Center (NOAA, Kansas City)</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BUFR</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Binary Universal Form for Representation (WMO FM 94)</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CB</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Cumulonimbus</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EDR</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Eddy Dissipation Rate / Environmental Data Retrieval (context dependent)</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FAA</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Federal Aviation Administration</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FIR</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Flight Information Region</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FL</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Flight Level</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GAMET</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General Aviation Meteorological Forecast</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GANP</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Global Air Navigation Plan</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GML</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Geography Markup Language</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GRIB2</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Gridded Binary Edition 2 (WMO FM 92)</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ICAO</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International Civil Aviation Organization</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IWXXM</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ICAO Meteorological Information Exchange Model</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METAR</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Aerodrome Routine Meteorological Report</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NOAA</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National Oceanic and Atmospheric Administration</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OGC</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Open Geospatial Consortium</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OPMET</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Operational Meteorological (information/data)</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PANS-MET</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Procedures for Air Navigation Services — Meteorology</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QVA</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Quantitative Volcanic Ash (concentration information)</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SADIS</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Secure Aviation Data Information Service</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SIGMET</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Significant Meteorological Information</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SIGWX</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Significant Weather</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SPECI</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Special Aviation Weather Report</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SWIM</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System Wide Information Management</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SWH</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Significant Weather High Level</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SWM</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Significant Weather Medium Level</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TAC</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Traditional Alphanumeric Code</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TAF</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Terminal Aerodrome Forecast</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TCA</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Tropical Cyclone Advisory</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VAA</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Volcanic Ash Advisory</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VAAC</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Volcanic Ash Advisory Centre</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VONA</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Volcano Observation Notice for Aviation</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WAFC</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World Area Forecast Centre</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WAFS</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World Area Forecast System</w:t>
            </w:r>
          </w:p>
        </w:tc>
      </w:tr>
      <w:tr>
        <w:tc>
          <w:tcPr>
            <w:tcW w:type="dxa" w:w="180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WIFS</w:t>
            </w:r>
          </w:p>
        </w:tc>
        <w:tc>
          <w:tcPr>
            <w:tcW w:type="dxa" w:w="7560"/>
            <w:tcBorders>
              <w:top w:val="single" w:color="B4C6D6" w:sz="1"/>
              <w:left w:val="single" w:color="B4C6D6" w:sz="1"/>
              <w:bottom w:val="single" w:color="B4C6D6" w:sz="1"/>
              <w:right w:val="single" w:color="B4C6D6" w:sz="1"/>
            </w:tcBorders>
            <w:shd w:fill="E8F0FE" w:val="clear"/>
            <w:tcMar>
              <w:top w:type="dxa" w:w="80"/>
              <w:left w:type="dxa" w:w="120"/>
              <w:bottom w:type="dxa" w:w="80"/>
              <w:right w:type="dxa" w:w="120"/>
            </w:tcMar>
            <w:vAlign w:val="center"/>
          </w:tcPr>
          <w:p>
            <w:r>
              <w:rPr>
                <w:rFonts w:ascii="Arial" w:cs="Arial" w:eastAsia="Arial" w:hAnsi="Arial"/>
                <w:sz w:val="20"/>
                <w:szCs w:val="20"/>
              </w:rPr>
              <w:t xml:space="preserve">WAFS Internet File Service</w:t>
            </w:r>
          </w:p>
        </w:tc>
      </w:tr>
      <w:tr>
        <w:tc>
          <w:tcPr>
            <w:tcW w:type="dxa" w:w="180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WMO</w:t>
            </w:r>
          </w:p>
        </w:tc>
        <w:tc>
          <w:tcPr>
            <w:tcW w:type="dxa" w:w="7560"/>
            <w:tcBorders>
              <w:top w:val="single" w:color="B4C6D6" w:sz="1"/>
              <w:left w:val="single" w:color="B4C6D6" w:sz="1"/>
              <w:bottom w:val="single" w:color="B4C6D6" w:sz="1"/>
              <w:right w:val="single" w:color="B4C6D6" w:sz="1"/>
            </w:tcBorders>
            <w:tcMar>
              <w:top w:type="dxa" w:w="80"/>
              <w:left w:type="dxa" w:w="120"/>
              <w:bottom w:type="dxa" w:w="80"/>
              <w:right w:type="dxa" w:w="120"/>
            </w:tcMar>
            <w:vAlign w:val="center"/>
          </w:tcPr>
          <w:p>
            <w:r>
              <w:rPr>
                <w:rFonts w:ascii="Arial" w:cs="Arial" w:eastAsia="Arial" w:hAnsi="Arial"/>
                <w:sz w:val="20"/>
                <w:szCs w:val="20"/>
              </w:rPr>
              <w:t xml:space="preserve">World Meteorological Organization</w:t>
            </w:r>
          </w:p>
        </w:tc>
      </w:tr>
    </w:tbl>
    <w:p>
      <w:pPr>
        <w:spacing w:after="400"/>
      </w:pPr>
    </w:p>
    <w:p>
      <w:pPr>
        <w:pBdr>
          <w:top w:val="single" w:color="2E75B6" w:sz="4" w:space="8"/>
        </w:pBdr>
        <w:spacing w:before="400"/>
        <w:jc w:val="center"/>
      </w:pPr>
      <w:r>
        <w:rPr>
          <w:color w:val="999999"/>
          <w:spacing w:val="20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color w:val="999999"/>
        <w:sz w:val="16"/>
        <w:szCs w:val="16"/>
      </w:rPr>
      <w:t xml:space="preserve">UNCLASSIFIED // FOR OFFICIAL USE ONLY</w:t>
    </w:r>
    <w:r>
      <w:t xml:space="preserve">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color w:val="999999"/>
        <w:sz w:val="16"/>
        <w:szCs w:val="16"/>
      </w:rPr>
      <w:t xml:space="preserve">WAFS-WS-SPEC-2026-001</w:t>
    </w:r>
    <w:r>
      <w:t xml:space="preserve">	</w:t>
    </w:r>
    <w:r>
      <w:rPr>
        <w:color w:val="999999"/>
        <w:sz w:val="16"/>
        <w:szCs w:val="16"/>
      </w:rPr>
      <w:t xml:space="preserve">Next Generation WAFS Workstation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2026-03-13T02:16:18.760Z</dcterms:created>
  <dcterms:modified xsi:type="dcterms:W3CDTF">2026-03-13T02:16:18.761Z</dcterms:modified>
</cp:coreProperties>
</file>

<file path=docProps/custom.xml><?xml version="1.0" encoding="utf-8"?>
<Properties xmlns="http://schemas.openxmlformats.org/officeDocument/2006/custom-properties" xmlns:vt="http://schemas.openxmlformats.org/officeDocument/2006/docPropsVTypes"/>
</file>