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3864"/>
          <w:sz w:val="40"/>
          <w:szCs w:val="40"/>
        </w:rPr>
        <w:t xml:space="preserve">Penjelasan Lengkap Group Mini Project</w:t>
      </w:r>
    </w:p>
    <w:p>
      <w:pPr>
        <w:spacing w:after="200"/>
        <w:jc w:val="center"/>
      </w:pPr>
      <w:r>
        <w:rPr>
          <w:color w:val="333333"/>
          <w:sz w:val="28"/>
          <w:szCs w:val="28"/>
        </w:rPr>
        <w:t xml:space="preserve">Penanganan Ketidakseimbangan Kelas dan Generalisasi Antar Pasien pada Klasifikasi EKG 12-Lead (PTB-XL)</w:t>
      </w:r>
    </w:p>
    <w:p>
      <w:pPr>
        <w:spacing w:after="100"/>
        <w:jc w:val="center"/>
      </w:pPr>
      <w:r>
        <w:rPr>
          <w:sz w:val="22"/>
          <w:szCs w:val="22"/>
        </w:rPr>
        <w:t xml:space="preserve">Mata kuliah PMML, Magister Ilmu Komputer UGM</w:t>
      </w:r>
    </w:p>
    <w:p>
      <w:pPr>
        <w:pBdr>
          <w:bottom w:val="single" w:color="1F3864" w:sz="8" w:space="8"/>
        </w:pBdr>
        <w:spacing w:after="400"/>
        <w:jc w:val="center"/>
      </w:pPr>
      <w:r>
        <w:rPr>
          <w:sz w:val="22"/>
          <w:szCs w:val="22"/>
        </w:rPr>
        <w:t xml:space="preserve">Presentasi: Jumat, 16 Oktober 2026</w:t>
      </w:r>
    </w:p>
    <w:p>
      <w:pPr>
        <w:pStyle w:val="Heading1"/>
      </w:pPr>
      <w:r>
        <w:t xml:space="preserve">1. Ringkasan</w:t>
      </w:r>
    </w:p>
    <w:p>
      <w:pPr>
        <w:spacing w:after="120" w:line="276"/>
      </w:pPr>
      <w:r>
        <w:t xml:space="preserve">Project ini membangun dan membandingkan model deep learning yang membaca rekaman EKG 12-lead (10 detik) dan memprediksi kelainan jantung yang ada pada rekaman tersebut. Satu rekaman dapat memiliki lebih dari satu diagnosis, sehingga masalahnya adalah klasifikasi multi-label.</w:t>
      </w:r>
    </w:p>
    <w:p>
      <w:pPr>
        <w:spacing w:after="120" w:line="276"/>
      </w:pPr>
      <w:r>
        <w:t xml:space="preserve">Tujuan utamanya bukan sekadar mendapatkan akurasi setinggi mungkin, melainkan menjawab dua pertanyaan:</w:t>
      </w:r>
    </w:p>
    <w:p>
      <w:pPr>
        <w:pStyle w:val="ListParagraph"/>
        <w:numPr>
          <w:ilvl w:val="0"/>
          <w:numId w:val="2"/>
        </w:numPr>
        <w:spacing w:after="60"/>
      </w:pPr>
      <w:r>
        <w:t xml:space="preserve">Strategi penanganan kelas tidak seimbang (imbalance) mana yang paling membantu kelas diagnosis yang jarang muncul, tanpa merusak kinerja pada kelas mayoritas?</w:t>
      </w:r>
    </w:p>
    <w:p>
      <w:pPr>
        <w:pStyle w:val="ListParagraph"/>
        <w:numPr>
          <w:ilvl w:val="0"/>
          <w:numId w:val="2"/>
        </w:numPr>
        <w:spacing w:after="60"/>
      </w:pPr>
      <w:r>
        <w:t xml:space="preserve">Seberapa stabil hasilnya ketika model diuji pada pasien yang tidak pernah dilihat selama pelatihan?</w:t>
      </w:r>
    </w:p>
    <w:p>
      <w:pPr>
        <w:spacing w:after="120" w:line="276"/>
      </w:pPr>
      <w:r>
        <w:rPr>
          <w:b/>
          <w:bCs/>
        </w:rPr>
        <w:t xml:space="preserve">Temuan utama. </w:t>
      </w:r>
      <w:r>
        <w:t xml:space="preserve">(a) Arsitektur memberi pengaruh paling besar: CNN 1D sederhana (194 ribu parameter) mengungguli ResNet-1D (497 ribu parameter). (b) Memilih threshold per kelas dari data validasi adalah penanganan imbalance yang paling murah dan efektif (macro F1 naik sekitar 0,06). (c) Loss khusus imbalance (focal, asymmetric, class-balanced, pos_weight) tidak memberi keuntungan konsisten pada AUPRC. (d) Variasi antar fold uji lebih besar daripada selisih antar strategi, dan kinerja lebih rendah pada pasien berusia 80 tahun ke atas.</w:t>
      </w:r>
    </w:p>
    <w:p>
      <w:pPr>
        <w:pStyle w:val="Heading1"/>
      </w:pPr>
      <w:r>
        <w:t xml:space="preserve">2. Latar Belakang dan Masalah</w:t>
      </w:r>
    </w:p>
    <w:p>
      <w:pPr>
        <w:spacing w:after="120" w:line="276"/>
      </w:pPr>
      <w:r>
        <w:t xml:space="preserve">EKG 12-lead adalah pemeriksaan standar untuk mendeteksi kelainan jantung seperti infark miokard, hipertrofi ventrikel, dan gangguan konduksi. Membaca EKG memerlukan keahlian, sehingga model otomatis menarik untuk dikembangkan. Dua hambatan praktis muncul pada data nyata:</w:t>
      </w:r>
    </w:p>
    <w:p>
      <w:pPr>
        <w:pStyle w:val="ListParagraph"/>
        <w:numPr>
          <w:ilvl w:val="0"/>
          <w:numId w:val="3"/>
        </w:numPr>
        <w:spacing w:after="60"/>
      </w:pPr>
      <w:r>
        <w:rPr>
          <w:b/>
          <w:bCs/>
        </w:rPr>
        <w:t xml:space="preserve">Imbalance kelas. </w:t>
      </w:r>
      <w:r>
        <w:t xml:space="preserve">Rekaman normal jauh lebih banyak daripada rekaman dengan kelainan tertentu. Model yang dilatih tanpa penanganan cenderung unggul pada kelas besar dan lemah pada kelas jarang, padahal kelas jarang sering justru yang paling penting secara klinis.</w:t>
      </w:r>
    </w:p>
    <w:p>
      <w:pPr>
        <w:pStyle w:val="ListParagraph"/>
        <w:numPr>
          <w:ilvl w:val="0"/>
          <w:numId w:val="3"/>
        </w:numPr>
        <w:spacing w:after="60"/>
      </w:pPr>
      <w:r>
        <w:rPr>
          <w:b/>
          <w:bCs/>
        </w:rPr>
        <w:t xml:space="preserve">Generalisasi antar pasien. </w:t>
      </w:r>
      <w:r>
        <w:t xml:space="preserve">Jika rekaman dari pasien yang sama muncul di data latih dan data uji, hasil menjadi terlalu optimis. Evaluasi yang jujur harus memisahkan data per pasien dan melaporkan variasi hasilnya.</w:t>
      </w:r>
    </w:p>
    <w:p>
      <w:pPr>
        <w:pStyle w:val="Heading1"/>
      </w:pPr>
      <w:r>
        <w:t xml:space="preserve">3. Dataset: PTB-XL</w:t>
      </w:r>
    </w:p>
    <w:p>
      <w:pPr>
        <w:spacing w:after="120" w:line="276"/>
      </w:pPr>
      <w:r>
        <w:t xml:space="preserve">Data yang dipakai adalah PTB-XL versi 1.0.1 dari PhysioNet, dataset EKG 12-lead berlabel dengan 21.837 rekaman. Project ini memakai rekaman resolusi 100 Hz (1.000 sampel per lead, 12 lead), serta tabel ptbxl_database.csv dan scp_statements.csv untuk label.</w:t>
      </w:r>
    </w:p>
    <w:p>
      <w:pPr>
        <w:spacing w:after="120" w:line="276"/>
      </w:pPr>
      <w:r>
        <w:rPr>
          <w:b/>
          <w:bCs/>
        </w:rPr>
        <w:t xml:space="preserve">Catatan penting: </w:t>
      </w:r>
      <w:r>
        <w:t xml:space="preserve">salinan yang dipakai hanya sebagian. File sinyal tersedia untuk 8.031 dari 21.837 rekaman (ID 00001 sampai 08031), dan seluruhnya sudah dicocokkan dengan SHA256SUMS resmi. Preprocessing otomatis hanya memakai rekaman yang sinyalnya tersedia. Semua angka dalam dokumen ini berlaku untuk subset tersebut, bukan seluruh PTB-XL.</w:t>
      </w:r>
    </w:p>
    <w:p>
      <w:pPr>
        <w:pStyle w:val="Heading2"/>
      </w:pPr>
      <w:r>
        <w:t xml:space="preserve">3.1 Dua tugas label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700"/>
        <w:gridCol w:w="3426"/>
      </w:tblGrid>
      <w:tr>
        <w:trPr>
          <w:tblHeader/>
        </w:trPr>
        <w:tc>
          <w:tcPr>
            <w:tcW w:type="dxa" w:w="17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pPr>
              <w:jc w:val="left"/>
            </w:pPr>
            <w:r>
              <w:rPr>
                <w:b/>
                <w:bCs/>
                <w:color w:val="FFFFFF"/>
                <w:sz w:val="20"/>
                <w:szCs w:val="20"/>
              </w:rPr>
              <w:t xml:space="preserve">Tugas</w:t>
            </w:r>
          </w:p>
        </w:tc>
        <w:tc>
          <w:tcPr>
            <w:tcW w:type="dxa" w:w="22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pPr>
              <w:jc w:val="left"/>
            </w:pPr>
            <w:r>
              <w:rPr>
                <w:b/>
                <w:bCs/>
                <w:color w:val="FFFFFF"/>
                <w:sz w:val="20"/>
                <w:szCs w:val="20"/>
              </w:rPr>
              <w:t xml:space="preserve">Kelas</w:t>
            </w:r>
          </w:p>
        </w:tc>
        <w:tc>
          <w:tcPr>
            <w:tcW w:type="dxa" w:w="17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pPr>
              <w:jc w:val="right"/>
            </w:pPr>
            <w:r>
              <w:rPr>
                <w:b/>
                <w:bCs/>
                <w:color w:val="FFFFFF"/>
                <w:sz w:val="20"/>
                <w:szCs w:val="20"/>
              </w:rPr>
              <w:t xml:space="preserve">Rekaman</w:t>
            </w:r>
          </w:p>
        </w:tc>
        <w:tc>
          <w:tcPr>
            <w:tcW w:type="dxa" w:w="342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pPr>
              <w:jc w:val="left"/>
            </w:pPr>
            <w:r>
              <w:rPr>
                <w:b/>
                <w:bCs/>
                <w:color w:val="FFFFFF"/>
                <w:sz w:val="20"/>
                <w:szCs w:val="20"/>
              </w:rPr>
              <w:t xml:space="preserve">Tingkat imbalance</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sub (utama)</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15 subclass diagnostik</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7.835</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sekitar 25:1 (NORM 3.872 vs LAO/LAE 157)</w:t>
            </w:r>
          </w:p>
        </w:tc>
      </w:tr>
      <w:tr>
        <w:trPr>
          <w:cantSplit/>
        </w:trPr>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super (pembanding)</w:t>
            </w:r>
          </w:p>
        </w:tc>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5 superclass</w:t>
            </w:r>
          </w:p>
        </w:tc>
        <w:tc>
          <w:tcPr>
            <w:tcW w:type="dxa" w:w="17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7.927</w:t>
            </w:r>
          </w:p>
        </w:tc>
        <w:tc>
          <w:tcPr>
            <w:tcW w:type="dxa" w:w="34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ringan, sekitar 4:1</w:t>
            </w:r>
          </w:p>
        </w:tc>
      </w:tr>
    </w:tbl>
    <w:p>
      <w:pPr>
        <w:spacing w:after="200" w:before="60"/>
      </w:pPr>
      <w:r>
        <w:rPr>
          <w:i/>
          <w:iCs/>
          <w:color w:val="555555"/>
          <w:sz w:val="20"/>
          <w:szCs w:val="20"/>
        </w:rPr>
        <w:t xml:space="preserve">Tabel 1. Dua tugas label. Tugas sub dibuat dengan --min-count 150 sehingga kelas dengan contoh kurang dari 150 dibuang.</w:t>
      </w:r>
    </w:p>
    <w:p>
      <w:pPr>
        <w:spacing w:after="120" w:line="276"/>
      </w:pPr>
      <w:r>
        <w:t xml:space="preserve">Dari 23 subclass, delapan dibuang karena contohnya terlalu sedikit untuk dievaluasi (ILBBB, ISCI, LMI, PMI, RAO/RAE, RVH, SEHYP, WPW; PMI misalnya tidak punya contoh uji sama sekali). Sebanyak 92 rekaman yang labelnya hanya berisi kelas yang dibuang ikut dibuang, dan 104 rekaman tanpa label diagnostik juga dikeluarkan.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000"/>
        <w:gridCol w:w="1400"/>
        <w:gridCol w:w="2226"/>
      </w:tblGrid>
      <w:tr>
        <w:trPr>
          <w:tblHeader/>
        </w:trPr>
        <w:tc>
          <w:tcPr>
            <w:tcW w:type="dxa" w:w="20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pPr>
              <w:jc w:val="left"/>
            </w:pPr>
            <w:r>
              <w:rPr>
                <w:b/>
                <w:bCs/>
                <w:color w:val="FFFFFF"/>
                <w:sz w:val="20"/>
                <w:szCs w:val="20"/>
              </w:rPr>
              <w:t xml:space="preserve">Kelas</w:t>
            </w:r>
          </w:p>
        </w:tc>
        <w:tc>
          <w:tcPr>
            <w:tcW w:type="dxa" w:w="14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pPr>
              <w:jc w:val="right"/>
            </w:pPr>
            <w:r>
              <w:rPr>
                <w:b/>
                <w:bCs/>
                <w:color w:val="FFFFFF"/>
                <w:sz w:val="20"/>
                <w:szCs w:val="20"/>
              </w:rPr>
              <w:t xml:space="preserve">Jumlah</w:t>
            </w:r>
          </w:p>
        </w:tc>
        <w:tc>
          <w:tcPr>
            <w:tcW w:type="dxa" w:w="20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pPr>
              <w:jc w:val="left"/>
            </w:pPr>
            <w:r>
              <w:rPr>
                <w:b/>
                <w:bCs/>
                <w:color w:val="FFFFFF"/>
                <w:sz w:val="20"/>
                <w:szCs w:val="20"/>
              </w:rPr>
              <w:t xml:space="preserve">Kelas</w:t>
            </w:r>
          </w:p>
        </w:tc>
        <w:tc>
          <w:tcPr>
            <w:tcW w:type="dxa" w:w="14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pPr>
              <w:jc w:val="right"/>
            </w:pPr>
            <w:r>
              <w:rPr>
                <w:b/>
                <w:bCs/>
                <w:color w:val="FFFFFF"/>
                <w:sz w:val="20"/>
                <w:szCs w:val="20"/>
              </w:rPr>
              <w:t xml:space="preserve">Jumlah</w:t>
            </w:r>
          </w:p>
        </w:tc>
        <w:tc>
          <w:tcPr>
            <w:tcW w:type="dxa" w:w="222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pPr>
              <w:jc w:val="left"/>
            </w:pPr>
            <w:r>
              <w:rPr>
                <w:b/>
                <w:bCs/>
                <w:color w:val="FFFFFF"/>
                <w:sz w:val="20"/>
                <w:szCs w:val="20"/>
              </w:rPr>
              <w:t xml:space="preserve">Catatan</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NORM</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3.872</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ISC_</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444</w:t>
            </w:r>
          </w:p>
        </w:tc>
        <w:tc>
          <w:tcPr>
            <w:tcW w:type="dxa" w:w="22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NORM: mayoritas</w:t>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AMI</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1.008</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IRBBB</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432</w:t>
            </w:r>
          </w:p>
        </w:tc>
        <w:tc>
          <w:tcPr>
            <w:tcW w:type="dxa" w:w="22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IMI</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981</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NST_</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314</w:t>
            </w:r>
          </w:p>
        </w:tc>
        <w:tc>
          <w:tcPr>
            <w:tcW w:type="dxa" w:w="22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STTC</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876</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_AVB</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282</w:t>
            </w:r>
          </w:p>
        </w:tc>
        <w:tc>
          <w:tcPr>
            <w:tcW w:type="dxa" w:w="22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LVH</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757</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ISCA</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278</w:t>
            </w:r>
          </w:p>
        </w:tc>
        <w:tc>
          <w:tcPr>
            <w:tcW w:type="dxa" w:w="22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LAFB/LPFB</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647</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IVCD</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273</w:t>
            </w:r>
          </w:p>
        </w:tc>
        <w:tc>
          <w:tcPr>
            <w:tcW w:type="dxa" w:w="22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CRBBB</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175</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CLBBB</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174</w:t>
            </w:r>
          </w:p>
        </w:tc>
        <w:tc>
          <w:tcPr>
            <w:tcW w:type="dxa" w:w="22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
            </w:r>
          </w:p>
        </w:tc>
      </w:tr>
      <w:tr>
        <w:trPr>
          <w:cantSplit/>
        </w:trP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LAO/LAE</w:t>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157</w:t>
            </w:r>
          </w:p>
        </w:tc>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
            </w:r>
          </w:p>
        </w:tc>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
            </w:r>
          </w:p>
        </w:tc>
        <w:tc>
          <w:tcPr>
            <w:tcW w:type="dxa" w:w="22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paling jarang</w:t>
            </w:r>
          </w:p>
        </w:tc>
      </w:tr>
    </w:tbl>
    <w:p>
      <w:pPr>
        <w:spacing w:after="200" w:before="60"/>
      </w:pPr>
      <w:r>
        <w:rPr>
          <w:i/>
          <w:iCs/>
          <w:color w:val="555555"/>
          <w:sz w:val="20"/>
          <w:szCs w:val="20"/>
        </w:rPr>
        <w:t xml:space="preserve">Tabel 2. Distribusi kelas tugas sub (multi-label, sehingga jumlah kelas melebihi jumlah rekaman).</w:t>
      </w:r>
    </w:p>
    <w:p>
      <w:pPr>
        <w:pStyle w:val="Heading1"/>
      </w:pPr>
      <w:r>
        <w:t xml:space="preserve">4. Pra-pemrosesan</w:t>
      </w:r>
    </w:p>
    <w:p>
      <w:pPr>
        <w:spacing w:after="120" w:line="276"/>
      </w:pPr>
      <w:r>
        <w:t xml:space="preserve">Skrip preprocess.py membaca sinyal dan membentuk label. Aturan label mengikuti benchmark Strodthoff et al.: setiap kode SCP berstatus diagnostik dipetakan ke kelas induknya, dan rekaman tanpa label diagnostik dibuang. Keluarannya:</w:t>
      </w:r>
    </w:p>
    <w:p>
      <w:pPr>
        <w:pStyle w:val="ListParagraph"/>
        <w:numPr>
          <w:ilvl w:val="0"/>
          <w:numId w:val="3"/>
        </w:numPr>
        <w:spacing w:after="60"/>
      </w:pPr>
      <w:r>
        <w:rPr>
          <w:rFonts w:ascii="Consolas" w:cs="Consolas" w:eastAsia="Consolas" w:hAnsi="Consolas"/>
          <w:sz w:val="20"/>
          <w:szCs w:val="20"/>
        </w:rPr>
        <w:t xml:space="preserve">X.npy</w:t>
      </w:r>
      <w:r>
        <w:t xml:space="preserve"> berukuran (N, 1000, 12): sinyal mentah.</w:t>
      </w:r>
    </w:p>
    <w:p>
      <w:pPr>
        <w:pStyle w:val="ListParagraph"/>
        <w:numPr>
          <w:ilvl w:val="0"/>
          <w:numId w:val="3"/>
        </w:numPr>
        <w:spacing w:after="60"/>
      </w:pPr>
      <w:r>
        <w:rPr>
          <w:rFonts w:ascii="Consolas" w:cs="Consolas" w:eastAsia="Consolas" w:hAnsi="Consolas"/>
          <w:sz w:val="20"/>
          <w:szCs w:val="20"/>
        </w:rPr>
        <w:t xml:space="preserve">meta.npz</w:t>
      </w:r>
      <w:r>
        <w:t xml:space="preserve">: label multi-hot (y), patient_id, strat_fold, usia, jenis kelamin, ecg_id.</w:t>
      </w:r>
    </w:p>
    <w:p>
      <w:pPr>
        <w:pStyle w:val="ListParagraph"/>
        <w:numPr>
          <w:ilvl w:val="0"/>
          <w:numId w:val="3"/>
        </w:numPr>
        <w:spacing w:after="60"/>
      </w:pPr>
      <w:r>
        <w:rPr>
          <w:rFonts w:ascii="Consolas" w:cs="Consolas" w:eastAsia="Consolas" w:hAnsi="Consolas"/>
          <w:sz w:val="20"/>
          <w:szCs w:val="20"/>
        </w:rPr>
        <w:t xml:space="preserve">info.json</w:t>
      </w:r>
      <w:r>
        <w:t xml:space="preserve">: daftar kelas, jumlah per kelas, dan statistik rekaman yang dibuang.</w:t>
      </w:r>
    </w:p>
    <w:p>
      <w:pPr>
        <w:spacing w:after="120" w:line="276"/>
      </w:pPr>
      <w:r>
        <w:t xml:space="preserve">Normalisasi sengaja tidak dilakukan di tahap ini. Z-score per lead dihitung hanya dari fold latih (fit_norm) lalu diterapkan ke validasi dan uji, supaya tidak ada kebocoran informasi dari data uji. Band-pass 0,5 sampai 40 Hz tersedia sebagai opsi, tetapi tidak dipakai pada eksperimen utama.</w:t>
      </w:r>
    </w:p>
    <w:p>
      <w:pPr>
        <w:pStyle w:val="Heading1"/>
      </w:pPr>
      <w:r>
        <w:t xml:space="preserve">5. Pembagian Data dan Evaluasi Generalisasi</w:t>
      </w:r>
    </w:p>
    <w:p>
      <w:pPr>
        <w:pStyle w:val="ListParagraph"/>
        <w:numPr>
          <w:ilvl w:val="0"/>
          <w:numId w:val="3"/>
        </w:numPr>
        <w:spacing w:after="60"/>
      </w:pPr>
      <w:r>
        <w:rPr>
          <w:b/>
          <w:bCs/>
        </w:rPr>
        <w:t xml:space="preserve">Fold resmi PTB-XL. </w:t>
      </w:r>
      <w:r>
        <w:t xml:space="preserve">Kolom strat_fold (1 sampai 10) sudah dipisah per pasien. Split standar: fold 1 sampai 8 untuk latih, fold 9 validasi, fold 10 uji. Fungsi make_split memeriksa bahwa tidak ada pasien yang muncul di dua split sekaligus.</w:t>
      </w:r>
    </w:p>
    <w:p>
      <w:pPr>
        <w:pStyle w:val="ListParagraph"/>
        <w:numPr>
          <w:ilvl w:val="0"/>
          <w:numId w:val="3"/>
        </w:numPr>
        <w:spacing w:after="60"/>
      </w:pPr>
      <w:r>
        <w:rPr>
          <w:b/>
          <w:bCs/>
        </w:rPr>
        <w:t xml:space="preserve">Rotasi 10 fold. </w:t>
      </w:r>
      <w:r>
        <w:t xml:space="preserve">Untuk melihat stabilitas, tiap fold menjadi fold uji satu kali (fold validasinya adalah fold sebelumnya). Hasilnya dilaporkan sebagai rata-rata dan simpangan baku, dan prediksi uji dari semua rotasi dapat digabung sehingga setiap rekaman diuji tepat sekali.</w:t>
      </w:r>
    </w:p>
    <w:p>
      <w:pPr>
        <w:pStyle w:val="ListParagraph"/>
        <w:numPr>
          <w:ilvl w:val="0"/>
          <w:numId w:val="3"/>
        </w:numPr>
        <w:spacing w:after="60"/>
      </w:pPr>
      <w:r>
        <w:rPr>
          <w:b/>
          <w:bCs/>
        </w:rPr>
        <w:t xml:space="preserve">Beberapa seed. </w:t>
      </w:r>
      <w:r>
        <w:t xml:space="preserve">Konfigurasi utama dijalankan dengan tiga seed (0, 1, 2) untuk mengukur variasi akibat inisialisasi acak.</w:t>
      </w:r>
    </w:p>
    <w:p>
      <w:pPr>
        <w:pStyle w:val="ListParagraph"/>
        <w:numPr>
          <w:ilvl w:val="0"/>
          <w:numId w:val="3"/>
        </w:numPr>
        <w:spacing w:after="60"/>
      </w:pPr>
      <w:r>
        <w:rPr>
          <w:b/>
          <w:bCs/>
        </w:rPr>
        <w:t xml:space="preserve">Fold uji kecil. </w:t>
      </w:r>
      <w:r>
        <w:t xml:space="preserve">Karena datanya subset, fold 10 hanya berisi sekitar 900 rekaman sehingga kelas jarang hanya punya belasan contoh uji. Inilah alasan memakai rotasi fold dan gabungan prediksi.</w:t>
      </w:r>
    </w:p>
    <w:p>
      <w:pPr>
        <w:pStyle w:val="ListParagraph"/>
        <w:numPr>
          <w:ilvl w:val="0"/>
          <w:numId w:val="3"/>
        </w:numPr>
        <w:spacing w:after="60"/>
      </w:pPr>
      <w:r>
        <w:rPr>
          <w:b/>
          <w:bCs/>
        </w:rPr>
        <w:t xml:space="preserve">Disiplin kebocoran. </w:t>
      </w:r>
      <w:r>
        <w:t xml:space="preserve">Normalisasi, bobot kelas, sampler, pemilihan checkpoint, early stopping, dan threshold hanya memakai data latih atau validasi.</w:t>
      </w:r>
    </w:p>
    <w:p>
      <w:pPr>
        <w:pStyle w:val="Heading1"/>
      </w:pPr>
      <w:r>
        <w:t xml:space="preserve">6. Model</w:t>
      </w:r>
    </w:p>
    <w:p>
      <w:pPr>
        <w:spacing w:after="120" w:line="276"/>
      </w:pPr>
      <w:r>
        <w:t xml:space="preserve">Semua model menerima input (batch, 12 lead, 1000 sampel) dan mengeluarkan logit untuk tiap kelas, lalu sigmoid agar tiap kelas diprediksi independen (multi-label). Fokus project ada di strategi imbalance, jadi model dibuat secukupnya.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26"/>
        <w:gridCol w:w="1500"/>
        <w:gridCol w:w="1500"/>
      </w:tblGrid>
      <w:tr>
        <w:trPr>
          <w:tblHeader/>
        </w:trPr>
        <w:tc>
          <w:tcPr>
            <w:tcW w:type="dxa" w:w="15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pPr>
              <w:jc w:val="left"/>
            </w:pPr>
            <w:r>
              <w:rPr>
                <w:b/>
                <w:bCs/>
                <w:color w:val="FFFFFF"/>
                <w:sz w:val="20"/>
                <w:szCs w:val="20"/>
              </w:rPr>
              <w:t xml:space="preserve">Model</w:t>
            </w:r>
          </w:p>
        </w:tc>
        <w:tc>
          <w:tcPr>
            <w:tcW w:type="dxa" w:w="452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pPr>
              <w:jc w:val="left"/>
            </w:pPr>
            <w:r>
              <w:rPr>
                <w:b/>
                <w:bCs/>
                <w:color w:val="FFFFFF"/>
                <w:sz w:val="20"/>
                <w:szCs w:val="20"/>
              </w:rPr>
              <w:t xml:space="preserve">Deskripsi</w:t>
            </w:r>
          </w:p>
        </w:tc>
        <w:tc>
          <w:tcPr>
            <w:tcW w:type="dxa" w:w="15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pPr>
              <w:jc w:val="right"/>
            </w:pPr>
            <w:r>
              <w:rPr>
                <w:b/>
                <w:bCs/>
                <w:color w:val="FFFFFF"/>
                <w:sz w:val="20"/>
                <w:szCs w:val="20"/>
              </w:rPr>
              <w:t xml:space="preserve">Parameter</w:t>
            </w:r>
          </w:p>
        </w:tc>
        <w:tc>
          <w:tcPr>
            <w:tcW w:type="dxa" w:w="15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pPr>
              <w:jc w:val="left"/>
            </w:pPr>
            <w:r>
              <w:rPr>
                <w:b/>
                <w:bCs/>
                <w:color w:val="FFFFFF"/>
                <w:sz w:val="20"/>
                <w:szCs w:val="20"/>
              </w:rPr>
              <w:t xml:space="preserve">Peran</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MLP</w:t>
            </w:r>
          </w:p>
        </w:tc>
        <w:tc>
          <w:tcPr>
            <w:tcW w:type="dxa" w:w="45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Average pooling (faktor 10), flatten, dua lapisan linear (256 dan 128) dengan ReLU dan dropout.</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342 ribu</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Baseline</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CNN1D</w:t>
            </w:r>
          </w:p>
        </w:tc>
        <w:tc>
          <w:tcPr>
            <w:tcW w:type="dxa" w:w="45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Empat blok Conv1d (kernel 7) + BatchNorm + ReLU + MaxPool, lebar 32/64/128/128; mean dan max pooling global digabung; dropout dan lapisan linear.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194 ribu</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Model terbaik</w:t>
            </w:r>
          </w:p>
        </w:tc>
      </w:tr>
      <w:tr>
        <w:trPr>
          <w:cantSplit/>
        </w:trPr>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ResNet-1D</w:t>
            </w:r>
          </w:p>
        </w:tc>
        <w:tc>
          <w:tcPr>
            <w:tcW w:type="dxa" w:w="45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Stem Conv1d kernel 15, empat tahap blok residual (kernel 7) dengan shortcut 1x1 saat dimensi berubah; mean dan max pooling; dropout dan linear.</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497 ribu</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Backbone awal</w:t>
            </w:r>
          </w:p>
        </w:tc>
      </w:tr>
    </w:tbl>
    <w:p>
      <w:pPr>
        <w:spacing w:after="200" w:before="60"/>
      </w:pPr>
      <w:r>
        <w:rPr>
          <w:i/>
          <w:iCs/>
          <w:color w:val="555555"/>
          <w:sz w:val="20"/>
          <w:szCs w:val="20"/>
        </w:rPr>
        <w:t xml:space="preserve">Tabel 3. Arsitektur yang dibandingkan (kode di src/models.py).</w:t>
      </w:r>
    </w:p>
    <w:p>
      <w:pPr>
        <w:pStyle w:val="Heading1"/>
      </w:pPr>
      <w:r>
        <w:t xml:space="preserve">7. Strategi Penanganan Imbalance</w:t>
      </w:r>
    </w:p>
    <w:p>
      <w:pPr>
        <w:spacing w:after="120" w:line="276"/>
      </w:pPr>
      <w:r>
        <w:t xml:space="preserve">Inti eksperimen adalah membandingkan strategi berikut dengan model dan data yang sama. Semua strategi hanya menyentuh data latih.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5926"/>
      </w:tblGrid>
      <w:tr>
        <w:trPr>
          <w:tblHeader/>
        </w:trPr>
        <w:tc>
          <w:tcPr>
            <w:tcW w:type="dxa" w:w="8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pPr>
              <w:jc w:val="left"/>
            </w:pPr>
            <w:r>
              <w:rPr>
                <w:b/>
                <w:bCs/>
                <w:color w:val="FFFFFF"/>
                <w:sz w:val="20"/>
                <w:szCs w:val="20"/>
              </w:rPr>
              <w:t xml:space="preserve">Kode</w:t>
            </w:r>
          </w:p>
        </w:tc>
        <w:tc>
          <w:tcPr>
            <w:tcW w:type="dxa" w:w="23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pPr>
              <w:jc w:val="left"/>
            </w:pPr>
            <w:r>
              <w:rPr>
                <w:b/>
                <w:bCs/>
                <w:color w:val="FFFFFF"/>
                <w:sz w:val="20"/>
                <w:szCs w:val="20"/>
              </w:rPr>
              <w:t xml:space="preserve">Strategi</w:t>
            </w:r>
          </w:p>
        </w:tc>
        <w:tc>
          <w:tcPr>
            <w:tcW w:type="dxa" w:w="592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pPr>
              <w:jc w:val="left"/>
            </w:pPr>
            <w:r>
              <w:rPr>
                <w:b/>
                <w:bCs/>
                <w:color w:val="FFFFFF"/>
                <w:sz w:val="20"/>
                <w:szCs w:val="20"/>
              </w:rPr>
              <w:t xml:space="preserve">Cara kerja</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B0</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BCE biasa</w:t>
            </w:r>
          </w:p>
        </w:tc>
        <w:tc>
          <w:tcPr>
            <w:tcW w:type="dxa" w:w="59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Binary cross-entropy tanpa penanganan; menjadi pembanding.</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B1</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BCE dengan pos_weight</w:t>
            </w:r>
          </w:p>
        </w:tc>
        <w:tc>
          <w:tcPr>
            <w:tcW w:type="dxa" w:w="59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Bobot contoh positif = (negatif/positif) dipangkatkan 0,5, dihitung dari data latih.</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B2</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Focal loss</w:t>
            </w:r>
          </w:p>
        </w:tc>
        <w:tc>
          <w:tcPr>
            <w:tcW w:type="dxa" w:w="59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Memperkecil kontribusi contoh yang sudah mudah (gamma = 2) agar model fokus pada contoh sulit.</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B3</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Asymmetric loss</w:t>
            </w:r>
          </w:p>
        </w:tc>
        <w:tc>
          <w:tcPr>
            <w:tcW w:type="dxa" w:w="59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Positif dan negatif diperlakukan berbeda: down-weighting negatif lebih kuat (gamma negatif 4, positif 1) dan margin clip 0,05.</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B4</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Class-balanced loss</w:t>
            </w:r>
          </w:p>
        </w:tc>
        <w:tc>
          <w:tcPr>
            <w:tcW w:type="dxa" w:w="59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Bobot kelas dari effective number of samples (beta = 0,999).</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B5</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Oversampling</w:t>
            </w:r>
          </w:p>
        </w:tc>
        <w:tc>
          <w:tcPr>
            <w:tcW w:type="dxa" w:w="59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WeightedRandomSampler pada level rekaman, bobot 1/(jumlah kelas) dipangkatkan 0,5; rekaman berkelas jarang lebih sering terambil.</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B6</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Augmentasi</w:t>
            </w:r>
          </w:p>
        </w:tc>
        <w:tc>
          <w:tcPr>
            <w:tcW w:type="dxa" w:w="59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Perubahan amplitudo sampai 10%, noise Gaussian 0,03, dan pergeseran waktu sampai 50 sampel pada batch latih.</w:t>
            </w:r>
          </w:p>
        </w:tc>
      </w:tr>
      <w:tr>
        <w:trPr>
          <w:cantSplit/>
        </w:trPr>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B7</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Threshold per kelas</w:t>
            </w:r>
          </w:p>
        </w:tc>
        <w:tc>
          <w:tcPr>
            <w:tcW w:type="dxa" w:w="59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Threshold tiap kelas dipilih dari grid 0,02 sampai 0,98 yang memaksimalkan F1 pada fold validasi.</w:t>
            </w:r>
          </w:p>
        </w:tc>
      </w:tr>
    </w:tbl>
    <w:p>
      <w:pPr>
        <w:spacing w:after="200" w:before="60"/>
      </w:pPr>
      <w:r>
        <w:rPr>
          <w:i/>
          <w:iCs/>
          <w:color w:val="555555"/>
          <w:sz w:val="20"/>
          <w:szCs w:val="20"/>
        </w:rPr>
        <w:t xml:space="preserve">Tabel 4. Strategi imbalance (src/losses.py, src/train.py, src/metrics.py).</w:t>
      </w:r>
    </w:p>
    <w:p>
      <w:pPr>
        <w:spacing w:after="120" w:line="276"/>
      </w:pPr>
      <w:r>
        <w:t xml:space="preserve">Resampling pada data multi-label dilakukan berbasis rekaman, bukan per label, supaya satu rekaman tidak terduplikasi secara tidak konsisten.</w:t>
      </w:r>
    </w:p>
    <w:p>
      <w:pPr>
        <w:pStyle w:val="Heading1"/>
      </w:pPr>
      <w:r>
        <w:t xml:space="preserve">8. Prosedur Pelatihan</w:t>
      </w:r>
    </w:p>
    <w:p>
      <w:pPr>
        <w:pStyle w:val="ListParagraph"/>
        <w:numPr>
          <w:ilvl w:val="0"/>
          <w:numId w:val="3"/>
        </w:numPr>
        <w:spacing w:after="60"/>
      </w:pPr>
      <w:r>
        <w:t xml:space="preserve">Optimizer AdamW, learning rate 0,001, weight decay 0,01, penjadwalan cosine annealing.</w:t>
      </w:r>
    </w:p>
    <w:p>
      <w:pPr>
        <w:pStyle w:val="ListParagraph"/>
        <w:numPr>
          <w:ilvl w:val="0"/>
          <w:numId w:val="3"/>
        </w:numPr>
        <w:spacing w:after="60"/>
      </w:pPr>
      <w:r>
        <w:t xml:space="preserve">Batch 64, maksimum 30 epoch, early stopping dengan kesabaran 8 epoch.</w:t>
      </w:r>
    </w:p>
    <w:p>
      <w:pPr>
        <w:pStyle w:val="ListParagraph"/>
        <w:numPr>
          <w:ilvl w:val="0"/>
          <w:numId w:val="3"/>
        </w:numPr>
        <w:spacing w:after="60"/>
      </w:pPr>
      <w:r>
        <w:t xml:space="preserve">Pemilihan checkpoint terbaik memakai macro AUPRC pada fold validasi (bukan loss atau akurasi).</w:t>
      </w:r>
    </w:p>
    <w:p>
      <w:pPr>
        <w:pStyle w:val="ListParagraph"/>
        <w:numPr>
          <w:ilvl w:val="0"/>
          <w:numId w:val="3"/>
        </w:numPr>
        <w:spacing w:after="60"/>
      </w:pPr>
      <w:r>
        <w:t xml:space="preserve">Setiap run disimpan di results/runs/&lt;data&gt;/&lt;config&gt;_f&lt;fold&gt;_s&lt;seed&gt;/ berisi konfigurasi, riwayat pelatihan, dan prediksi validasi serta uji.</w:t>
      </w:r>
    </w:p>
    <w:p>
      <w:pPr>
        <w:pStyle w:val="ListParagraph"/>
        <w:numPr>
          <w:ilvl w:val="0"/>
          <w:numId w:val="3"/>
        </w:numPr>
        <w:spacing w:after="60"/>
      </w:pPr>
      <w:r>
        <w:t xml:space="preserve">Satu run 30 epoch di CPU memakan sekitar 10 sampai 25 menit. run_all.py menjalankan banyak konfigurasi berurutan dan melewati run yang sudah selesai, sehingga aman dihentikan dan dilanjutkan.</w:t>
      </w:r>
    </w:p>
    <w:p>
      <w:pPr>
        <w:pStyle w:val="Heading1"/>
      </w:pPr>
      <w:r>
        <w:t xml:space="preserve">9. Metrik Evaluasi</w:t>
      </w:r>
    </w:p>
    <w:p>
      <w:pPr>
        <w:spacing w:after="120" w:line="276"/>
      </w:pPr>
      <w:r>
        <w:t xml:space="preserve">Akurasi tidak dipakai karena menyesatkan pada data tidak seimbang. Metrik yang dilaporkan:</w:t>
      </w:r>
    </w:p>
    <w:p>
      <w:pPr>
        <w:pStyle w:val="ListParagraph"/>
        <w:numPr>
          <w:ilvl w:val="0"/>
          <w:numId w:val="3"/>
        </w:numPr>
        <w:spacing w:after="60"/>
      </w:pPr>
      <w:r>
        <w:rPr>
          <w:b/>
          <w:bCs/>
        </w:rPr>
        <w:t xml:space="preserve">Macro AUROC dan macro AUPRC</w:t>
      </w:r>
      <w:r>
        <w:t xml:space="preserve">: rata-rata per kelas. AUPRC lebih informatif untuk kelas jarang.</w:t>
      </w:r>
    </w:p>
    <w:p>
      <w:pPr>
        <w:pStyle w:val="ListParagraph"/>
        <w:numPr>
          <w:ilvl w:val="0"/>
          <w:numId w:val="3"/>
        </w:numPr>
        <w:spacing w:after="60"/>
      </w:pPr>
      <w:r>
        <w:rPr>
          <w:b/>
          <w:bCs/>
        </w:rPr>
        <w:t xml:space="preserve">AUPRC kelas jarang</w:t>
      </w:r>
      <w:r>
        <w:t xml:space="preserve">: rata-rata AUPRC pada kelas-kelas paling jarang.</w:t>
      </w:r>
    </w:p>
    <w:p>
      <w:pPr>
        <w:pStyle w:val="ListParagraph"/>
        <w:numPr>
          <w:ilvl w:val="0"/>
          <w:numId w:val="3"/>
        </w:numPr>
        <w:spacing w:after="60"/>
      </w:pPr>
      <w:r>
        <w:rPr>
          <w:b/>
          <w:bCs/>
        </w:rPr>
        <w:t xml:space="preserve">Macro F1</w:t>
      </w:r>
      <w:r>
        <w:t xml:space="preserve">: pada threshold tetap 0,5 dan pada threshold per kelas dari validasi (tuned).</w:t>
      </w:r>
    </w:p>
    <w:p>
      <w:pPr>
        <w:pStyle w:val="ListParagraph"/>
        <w:numPr>
          <w:ilvl w:val="0"/>
          <w:numId w:val="3"/>
        </w:numPr>
        <w:spacing w:after="60"/>
      </w:pPr>
      <w:r>
        <w:rPr>
          <w:b/>
          <w:bCs/>
        </w:rPr>
        <w:t xml:space="preserve">Presisi, sensitivitas, spesifisitas per kelas</w:t>
      </w:r>
      <w:r>
        <w:t xml:space="preserve">, serta analisis subkelompok jenis kelamin dan usia.</w:t>
      </w:r>
    </w:p>
    <w:p>
      <w:pPr>
        <w:pStyle w:val="ListParagraph"/>
        <w:numPr>
          <w:ilvl w:val="0"/>
          <w:numId w:val="3"/>
        </w:numPr>
        <w:spacing w:after="60"/>
      </w:pPr>
      <w:r>
        <w:rPr>
          <w:b/>
          <w:bCs/>
        </w:rPr>
        <w:t xml:space="preserve">Uji statistik berpasangan</w:t>
      </w:r>
      <w:r>
        <w:t xml:space="preserve"> antar fold: bootstrap CI 95% dan uji Wilcoxon.</w:t>
      </w:r>
    </w:p>
    <w:p>
      <w:pPr>
        <w:pStyle w:val="Heading1"/>
      </w:pPr>
      <w:r>
        <w:t xml:space="preserve">10. Hasil</w:t>
      </w:r>
    </w:p>
    <w:p>
      <w:pPr>
        <w:pStyle w:val="Heading2"/>
      </w:pPr>
      <w:r>
        <w:t xml:space="preserve">10.1 Perbandingan strategi (fold uji 10, tugas sub)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800"/>
        <w:gridCol w:w="1250"/>
        <w:gridCol w:w="1250"/>
        <w:gridCol w:w="1450"/>
        <w:gridCol w:w="1376"/>
      </w:tblGrid>
      <w:tr>
        <w:trPr>
          <w:tblHeader/>
        </w:trPr>
        <w:tc>
          <w:tcPr>
            <w:tcW w:type="dxa" w:w="29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pPr>
              <w:jc w:val="left"/>
            </w:pPr>
            <w:r>
              <w:rPr>
                <w:b/>
                <w:bCs/>
                <w:color w:val="FFFFFF"/>
                <w:sz w:val="20"/>
                <w:szCs w:val="20"/>
              </w:rPr>
              <w:t xml:space="preserve">Konfigurasi</w:t>
            </w:r>
          </w:p>
        </w:tc>
        <w:tc>
          <w:tcPr>
            <w:tcW w:type="dxa" w:w="8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pPr>
              <w:jc w:val="right"/>
            </w:pPr>
            <w:r>
              <w:rPr>
                <w:b/>
                <w:bCs/>
                <w:color w:val="FFFFFF"/>
                <w:sz w:val="20"/>
                <w:szCs w:val="20"/>
              </w:rPr>
              <w:t xml:space="preserve">Seed</w:t>
            </w:r>
          </w:p>
        </w:tc>
        <w:tc>
          <w:tcPr>
            <w:tcW w:type="dxa" w:w="125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pPr>
              <w:jc w:val="right"/>
            </w:pPr>
            <w:r>
              <w:rPr>
                <w:b/>
                <w:bCs/>
                <w:color w:val="FFFFFF"/>
                <w:sz w:val="20"/>
                <w:szCs w:val="20"/>
              </w:rPr>
              <w:t xml:space="preserve">AUROC</w:t>
            </w:r>
          </w:p>
        </w:tc>
        <w:tc>
          <w:tcPr>
            <w:tcW w:type="dxa" w:w="125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pPr>
              <w:jc w:val="right"/>
            </w:pPr>
            <w:r>
              <w:rPr>
                <w:b/>
                <w:bCs/>
                <w:color w:val="FFFFFF"/>
                <w:sz w:val="20"/>
                <w:szCs w:val="20"/>
              </w:rPr>
              <w:t xml:space="preserve">AUPRC</w:t>
            </w:r>
          </w:p>
        </w:tc>
        <w:tc>
          <w:tcPr>
            <w:tcW w:type="dxa" w:w="145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pPr>
              <w:jc w:val="right"/>
            </w:pPr>
            <w:r>
              <w:rPr>
                <w:b/>
                <w:bCs/>
                <w:color w:val="FFFFFF"/>
                <w:sz w:val="20"/>
                <w:szCs w:val="20"/>
              </w:rPr>
              <w:t xml:space="preserve">AUPRC jarang</w:t>
            </w:r>
          </w:p>
        </w:tc>
        <w:tc>
          <w:tcPr>
            <w:tcW w:type="dxa" w:w="137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pPr>
              <w:jc w:val="right"/>
            </w:pPr>
            <w:r>
              <w:rPr>
                <w:b/>
                <w:bCs/>
                <w:color w:val="FFFFFF"/>
                <w:sz w:val="20"/>
                <w:szCs w:val="20"/>
              </w:rPr>
              <w:t xml:space="preserve">F1 tuned</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CNN1D + pos_weight</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3</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0,918</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0,594</w:t>
            </w:r>
          </w:p>
        </w:tc>
        <w:tc>
          <w:tcPr>
            <w:tcW w:type="dxa" w:w="14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0,426</w:t>
            </w:r>
          </w:p>
        </w:tc>
        <w:tc>
          <w:tcPr>
            <w:tcW w:type="dxa" w:w="137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0,559</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CNN1D + class-balanced</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3</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0,919</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0,594</w:t>
            </w:r>
          </w:p>
        </w:tc>
        <w:tc>
          <w:tcPr>
            <w:tcW w:type="dxa" w:w="14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0,421</w:t>
            </w:r>
          </w:p>
        </w:tc>
        <w:tc>
          <w:tcPr>
            <w:tcW w:type="dxa" w:w="137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0,552</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CNN1D + BCE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3</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0,917</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0,592</w:t>
            </w:r>
          </w:p>
        </w:tc>
        <w:tc>
          <w:tcPr>
            <w:tcW w:type="dxa" w:w="14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0,414</w:t>
            </w:r>
          </w:p>
        </w:tc>
        <w:tc>
          <w:tcPr>
            <w:tcW w:type="dxa" w:w="137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0,549</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CNN1D + augmentasi</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3</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0,916</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0,592</w:t>
            </w:r>
          </w:p>
        </w:tc>
        <w:tc>
          <w:tcPr>
            <w:tcW w:type="dxa" w:w="14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0,412</w:t>
            </w:r>
          </w:p>
        </w:tc>
        <w:tc>
          <w:tcPr>
            <w:tcW w:type="dxa" w:w="137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0,553</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CNN1D + focal</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3</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0,917</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0,589</w:t>
            </w:r>
          </w:p>
        </w:tc>
        <w:tc>
          <w:tcPr>
            <w:tcW w:type="dxa" w:w="14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0,410</w:t>
            </w:r>
          </w:p>
        </w:tc>
        <w:tc>
          <w:tcPr>
            <w:tcW w:type="dxa" w:w="137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0,541</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CNN1D + oversampling</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3</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0,910</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0,582</w:t>
            </w:r>
          </w:p>
        </w:tc>
        <w:tc>
          <w:tcPr>
            <w:tcW w:type="dxa" w:w="14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0,410</w:t>
            </w:r>
          </w:p>
        </w:tc>
        <w:tc>
          <w:tcPr>
            <w:tcW w:type="dxa" w:w="137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0,559</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ResNet-1D + augmentasi (B6)</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3</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0,907</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0,573</w:t>
            </w:r>
          </w:p>
        </w:tc>
        <w:tc>
          <w:tcPr>
            <w:tcW w:type="dxa" w:w="14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0,406</w:t>
            </w:r>
          </w:p>
        </w:tc>
        <w:tc>
          <w:tcPr>
            <w:tcW w:type="dxa" w:w="137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0,543</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ResNet-1D + BCE (B0)</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3</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0,900</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0,556</w:t>
            </w:r>
          </w:p>
        </w:tc>
        <w:tc>
          <w:tcPr>
            <w:tcW w:type="dxa" w:w="14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0,395</w:t>
            </w:r>
          </w:p>
        </w:tc>
        <w:tc>
          <w:tcPr>
            <w:tcW w:type="dxa" w:w="137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0,522</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ResNet-1D + ASL (B3)</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3</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0,892</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0,552</w:t>
            </w:r>
          </w:p>
        </w:tc>
        <w:tc>
          <w:tcPr>
            <w:tcW w:type="dxa" w:w="14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0,384</w:t>
            </w:r>
          </w:p>
        </w:tc>
        <w:tc>
          <w:tcPr>
            <w:tcW w:type="dxa" w:w="137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0,527</w:t>
            </w:r>
          </w:p>
        </w:tc>
      </w:tr>
      <w:tr>
        <w:trPr>
          <w:cantSplit/>
        </w:trP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MLP (baseline)</w:t>
            </w:r>
          </w:p>
        </w:tc>
        <w:tc>
          <w:tcPr>
            <w:tcW w:type="dxa" w:w="8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1</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0,630</w:t>
            </w:r>
          </w:p>
        </w:tc>
        <w:tc>
          <w:tcPr>
            <w:tcW w:type="dxa" w:w="12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0,165</w:t>
            </w:r>
          </w:p>
        </w:tc>
        <w:tc>
          <w:tcPr>
            <w:tcW w:type="dxa" w:w="145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0,088</w:t>
            </w:r>
          </w:p>
        </w:tc>
        <w:tc>
          <w:tcPr>
            <w:tcW w:type="dxa" w:w="137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0,202</w:t>
            </w:r>
          </w:p>
        </w:tc>
      </w:tr>
    </w:tbl>
    <w:p>
      <w:pPr>
        <w:spacing w:after="200" w:before="60"/>
      </w:pPr>
      <w:r>
        <w:rPr>
          <w:i/>
          <w:iCs/>
          <w:color w:val="555555"/>
          <w:sz w:val="20"/>
          <w:szCs w:val="20"/>
        </w:rPr>
        <w:t xml:space="preserve">Tabel 5. Rata-rata antar seed pada fold uji 10 (results/tables/by_config_fold10.csv). Simpangan baku AUPRC antar seed sekitar 0,002 sampai 0,014.</w:t>
      </w:r>
    </w:p>
    <w:p>
      <w:pPr>
        <w:spacing w:after="120" w:line="276"/>
      </w:pPr>
      <w:r>
        <w:t xml:space="preserve">Pembacaan hasilnya:</w:t>
      </w:r>
    </w:p>
    <w:p>
      <w:pPr>
        <w:pStyle w:val="ListParagraph"/>
        <w:numPr>
          <w:ilvl w:val="0"/>
          <w:numId w:val="3"/>
        </w:numPr>
        <w:spacing w:after="60"/>
      </w:pPr>
      <w:r>
        <w:rPr>
          <w:b/>
          <w:bCs/>
        </w:rPr>
        <w:t xml:space="preserve">Arsitektur lebih menentukan daripada loss. </w:t>
      </w:r>
      <w:r>
        <w:t xml:space="preserve">CNN1D dengan BCE sudah mengungguli semua varian ResNet-1D di ketiga seed (AUPRC 0,592 vs 0,556). Dengan hanya sekitar 6 ribu rekaman latih, model yang lebih kecil lebih cocok. MLP jauh di bawah semuanya.</w:t>
      </w:r>
    </w:p>
    <w:p>
      <w:pPr>
        <w:pStyle w:val="ListParagraph"/>
        <w:numPr>
          <w:ilvl w:val="0"/>
          <w:numId w:val="3"/>
        </w:numPr>
        <w:spacing w:after="60"/>
      </w:pPr>
      <w:r>
        <w:rPr>
          <w:b/>
          <w:bCs/>
        </w:rPr>
        <w:t xml:space="preserve">Strategi imbalance berada dalam rentang sempit pada AUPRC </w:t>
      </w:r>
      <w:r>
        <w:t xml:space="preserve">(selisih terhadap BCE pada CNN1D: -0,010 sampai +0,002), sebanding dengan variasi antar seed.</w:t>
      </w:r>
    </w:p>
    <w:p>
      <w:pPr>
        <w:pStyle w:val="ListParagraph"/>
        <w:numPr>
          <w:ilvl w:val="0"/>
          <w:numId w:val="3"/>
        </w:numPr>
        <w:spacing w:after="60"/>
      </w:pPr>
      <w:r>
        <w:rPr>
          <w:b/>
          <w:bCs/>
        </w:rPr>
        <w:t xml:space="preserve">Efek nyata pada threshold tetap. </w:t>
      </w:r>
      <w:r>
        <w:t xml:space="preserve">Pada F1 dengan threshold 0,5, pos_weight menaikkan macro F1 dari 0,484 ke 0,554 karena menggeser keputusan ke kelas jarang. Namun begitu threshold dipilih per kelas dari validasi, semua strategi menjadi setara (sekitar 0,55 plus minus 0,01). Jadi efek penanganan imbalance nyata, tetapi dapat digantikan oleh threshold per kelas yang jauh lebih murah.</w:t>
      </w:r>
    </w:p>
    <w:p>
      <w:pPr>
        <w:pStyle w:val="Heading2"/>
      </w:pPr>
      <w:r>
        <w:t xml:space="preserve">10.2 Tuning hiperparameter (CNN1D, 1 seed)</w:t>
      </w:r>
    </w:p>
    <w:p>
      <w:pPr>
        <w:spacing w:after="120" w:line="276"/>
      </w:pPr>
      <w:r>
        <w:t xml:space="preserve">Lebar 64 (+0,011 AUPRC) dan dropout 0,5 (+0,004) sedikit lebih baik dari konfigurasi dasar, tetapi selisihnya sebanding dengan variasi antar seed (sekitar 0,01). Lebar 64 membutuhkan sekitar 56 menit per run, sehingga konfigurasi dasar tetap dipakai. Lebar 16 dan learning rate 3e-4 lebih buruk, dan learning rate 3e-4 paling rendah.</w:t>
      </w:r>
    </w:p>
    <w:p>
      <w:pPr>
        <w:pStyle w:val="Heading2"/>
      </w:pPr>
      <w:r>
        <w:t xml:space="preserve">10.3 Generalisasi antar pasien: rotasi 10 fold</w:t>
      </w:r>
    </w:p>
    <w:p>
      <w:pPr>
        <w:spacing w:after="120" w:line="276"/>
      </w:pPr>
      <w:r>
        <w:t xml:space="preserve">Dengan CNN1D + BCE, macro AUPRC rata-rata 0,608 dengan simpangan baku 0,021 antar fold (rentang 0,578 sampai 0,637). Fold 10 berada di ujung bawah, sehingga angka pada split standar cenderung konservatif. Perbandingan berpasangan pos_weight terhadap BCE pada 10 fold: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300"/>
        <w:gridCol w:w="1326"/>
        <w:gridCol w:w="1300"/>
      </w:tblGrid>
      <w:tr>
        <w:trPr>
          <w:tblHeader/>
        </w:trPr>
        <w:tc>
          <w:tcPr>
            <w:tcW w:type="dxa" w:w="26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pPr>
              <w:jc w:val="left"/>
            </w:pPr>
            <w:r>
              <w:rPr>
                <w:b/>
                <w:bCs/>
                <w:color w:val="FFFFFF"/>
                <w:sz w:val="20"/>
                <w:szCs w:val="20"/>
              </w:rPr>
              <w:t xml:space="preserve">Metrik</w:t>
            </w:r>
          </w:p>
        </w:tc>
        <w:tc>
          <w:tcPr>
            <w:tcW w:type="dxa" w:w="15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pPr>
              <w:jc w:val="right"/>
            </w:pPr>
            <w:r>
              <w:rPr>
                <w:b/>
                <w:bCs/>
                <w:color w:val="FFFFFF"/>
                <w:sz w:val="20"/>
                <w:szCs w:val="20"/>
              </w:rPr>
              <w:t xml:space="preserve">Selisih rata-rata</w:t>
            </w:r>
          </w:p>
        </w:tc>
        <w:tc>
          <w:tcPr>
            <w:tcW w:type="dxa" w:w="23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pPr>
              <w:jc w:val="center"/>
            </w:pPr>
            <w:r>
              <w:rPr>
                <w:b/>
                <w:bCs/>
                <w:color w:val="FFFFFF"/>
                <w:sz w:val="20"/>
                <w:szCs w:val="20"/>
              </w:rPr>
              <w:t xml:space="preserve">CI 95% bootstrap</w:t>
            </w:r>
          </w:p>
        </w:tc>
        <w:tc>
          <w:tcPr>
            <w:tcW w:type="dxa" w:w="132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pPr>
              <w:jc w:val="center"/>
            </w:pPr>
            <w:r>
              <w:rPr>
                <w:b/>
                <w:bCs/>
                <w:color w:val="FFFFFF"/>
                <w:sz w:val="20"/>
                <w:szCs w:val="20"/>
              </w:rPr>
              <w:t xml:space="preserve">Menang</w:t>
            </w:r>
          </w:p>
        </w:tc>
        <w:tc>
          <w:tcPr>
            <w:tcW w:type="dxa" w:w="13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pPr>
              <w:jc w:val="right"/>
            </w:pPr>
            <w:r>
              <w:rPr>
                <w:b/>
                <w:bCs/>
                <w:color w:val="FFFFFF"/>
                <w:sz w:val="20"/>
                <w:szCs w:val="20"/>
              </w:rPr>
              <w:t xml:space="preserve">p Wilcoxon</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Macro AUPRC</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+0,003</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color w:val="000000"/>
                <w:sz w:val="20"/>
                <w:szCs w:val="20"/>
              </w:rPr>
              <w:t xml:space="preserve">[-0,002; +0,009]</w:t>
            </w:r>
          </w:p>
        </w:tc>
        <w:tc>
          <w:tcPr>
            <w:tcW w:type="dxa" w:w="13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color w:val="000000"/>
                <w:sz w:val="20"/>
                <w:szCs w:val="20"/>
              </w:rPr>
              <w:t xml:space="preserve">5 dari 10</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0,38</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Macro AUROC</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+0,003</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color w:val="000000"/>
                <w:sz w:val="20"/>
                <w:szCs w:val="20"/>
              </w:rPr>
              <w:t xml:space="preserve">[-0,000; +0,006]</w:t>
            </w:r>
          </w:p>
        </w:tc>
        <w:tc>
          <w:tcPr>
            <w:tcW w:type="dxa" w:w="13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color w:val="000000"/>
                <w:sz w:val="20"/>
                <w:szCs w:val="20"/>
              </w:rPr>
              <w:t xml:space="preserve">6 dari 10</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0,32</w:t>
            </w:r>
          </w:p>
        </w:tc>
      </w:tr>
      <w:tr>
        <w:trPr>
          <w:cantSplit/>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AUPRC kelas jarang</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+0,005</w:t>
            </w:r>
          </w:p>
        </w:tc>
        <w:tc>
          <w:tcPr>
            <w:tcW w:type="dxa" w:w="2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color w:val="000000"/>
                <w:sz w:val="20"/>
                <w:szCs w:val="20"/>
              </w:rPr>
              <w:t xml:space="preserve">[-0,004; +0,013]</w:t>
            </w:r>
          </w:p>
        </w:tc>
        <w:tc>
          <w:tcPr>
            <w:tcW w:type="dxa" w:w="13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center"/>
            </w:pPr>
            <w:r>
              <w:rPr>
                <w:b w:val="false"/>
                <w:bCs w:val="false"/>
                <w:color w:val="000000"/>
                <w:sz w:val="20"/>
                <w:szCs w:val="20"/>
              </w:rPr>
              <w:t xml:space="preserve">7 dari 10</w:t>
            </w:r>
          </w:p>
        </w:tc>
        <w:tc>
          <w:tcPr>
            <w:tcW w:type="dxa" w:w="13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0,23</w:t>
            </w:r>
          </w:p>
        </w:tc>
      </w:tr>
    </w:tbl>
    <w:p>
      <w:pPr>
        <w:spacing w:after="200" w:before="60"/>
      </w:pPr>
      <w:r>
        <w:rPr>
          <w:i/>
          <w:iCs/>
          <w:color w:val="555555"/>
          <w:sz w:val="20"/>
          <w:szCs w:val="20"/>
        </w:rPr>
        <w:t xml:space="preserve">Tabel 6. Uji berpasangan antar fold (results/extra_analysis.json).</w:t>
      </w:r>
    </w:p>
    <w:p>
      <w:pPr>
        <w:spacing w:after="120" w:line="276"/>
      </w:pPr>
      <w:r>
        <w:t xml:space="preserve">Semua interval kepercayaan mencakup nol, sehingga tidak ada bukti bahwa pos_weight lebih baik. Dengan hanya 10 fold, uji ini berdaya rendah, jadi hasilnya berarti tidak ada bukti keunggulan, bukan bahwa kedua strategi pasti setara.</w:t>
      </w:r>
    </w:p>
    <w:p>
      <w:pPr>
        <w:pStyle w:val="Heading2"/>
      </w:pPr>
      <w:r>
        <w:t xml:space="preserve">10.4 Hasil per kelas dan analisis kesalahan</w:t>
      </w:r>
    </w:p>
    <w:p>
      <w:pPr>
        <w:spacing w:after="120" w:line="276"/>
      </w:pPr>
      <w:r>
        <w:t xml:space="preserve">Kesulitan kelas bergantung pada karakter EKG-nya, bukan hanya jumlah contoh. Left bundle branch block (CLBBB) hanya punya 16 contoh uji tetapi AUPRC mencapai 0,97 karena polanya khas. Sebaliknya LAO/LAE, NST_, dan IVCD tidak melewati AUPRC 0,21. Analisis kesalahan (prediksi gabungan 10 fold, CNN1D + BCE, threshold tuned):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200"/>
        <w:gridCol w:w="4926"/>
      </w:tblGrid>
      <w:tr>
        <w:trPr>
          <w:tblHeader/>
        </w:trPr>
        <w:tc>
          <w:tcPr>
            <w:tcW w:type="dxa" w:w="14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pPr>
              <w:jc w:val="left"/>
            </w:pPr>
            <w:r>
              <w:rPr>
                <w:b/>
                <w:bCs/>
                <w:color w:val="FFFFFF"/>
                <w:sz w:val="20"/>
                <w:szCs w:val="20"/>
              </w:rPr>
              <w:t xml:space="preserve">Kelas</w:t>
            </w:r>
          </w:p>
        </w:tc>
        <w:tc>
          <w:tcPr>
            <w:tcW w:type="dxa" w:w="15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pPr>
              <w:jc w:val="right"/>
            </w:pPr>
            <w:r>
              <w:rPr>
                <w:b/>
                <w:bCs/>
                <w:color w:val="FFFFFF"/>
                <w:sz w:val="20"/>
                <w:szCs w:val="20"/>
              </w:rPr>
              <w:t xml:space="preserve">Sensitivitas</w:t>
            </w:r>
          </w:p>
        </w:tc>
        <w:tc>
          <w:tcPr>
            <w:tcW w:type="dxa" w:w="1200"/>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pPr>
              <w:jc w:val="right"/>
            </w:pPr>
            <w:r>
              <w:rPr>
                <w:b/>
                <w:bCs/>
                <w:color w:val="FFFFFF"/>
                <w:sz w:val="20"/>
                <w:szCs w:val="20"/>
              </w:rPr>
              <w:t xml:space="preserve">Presisi</w:t>
            </w:r>
          </w:p>
        </w:tc>
        <w:tc>
          <w:tcPr>
            <w:tcW w:type="dxa" w:w="4926"/>
            <w:tcBorders>
              <w:top w:val="single" w:color="BBBBBB" w:sz="4"/>
              <w:left w:val="single" w:color="BBBBBB" w:sz="4"/>
              <w:bottom w:val="single" w:color="BBBBBB" w:sz="4"/>
              <w:right w:val="single" w:color="BBBBBB" w:sz="4"/>
            </w:tcBorders>
            <w:shd w:fill="1F3864" w:val="clear"/>
            <w:tcMar>
              <w:top w:type="dxa" w:w="60"/>
              <w:left w:type="dxa" w:w="100"/>
              <w:bottom w:type="dxa" w:w="60"/>
              <w:right w:type="dxa" w:w="100"/>
            </w:tcMar>
          </w:tcPr>
          <w:p>
            <w:pPr>
              <w:jc w:val="left"/>
            </w:pPr>
            <w:r>
              <w:rPr>
                <w:b/>
                <w:bCs/>
                <w:color w:val="FFFFFF"/>
                <w:sz w:val="20"/>
                <w:szCs w:val="20"/>
              </w:rPr>
              <w:t xml:space="preserve">Pola kesalahan</w:t>
            </w:r>
          </w:p>
        </w:tc>
      </w:tr>
      <w:tr>
        <w:trPr>
          <w:cantSplit/>
        </w:trPr>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IVCD</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29%</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0,20</w:t>
            </w:r>
          </w:p>
        </w:tc>
        <w:tc>
          <w:tcPr>
            <w:tcW w:type="dxa" w:w="49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44% rekaman yang terlewat diprediksi NORM, kemungkinan karena pelebaran QRS yang ringan.</w:t>
            </w:r>
          </w:p>
        </w:tc>
      </w:tr>
      <w:tr>
        <w:trPr>
          <w:cantSplit/>
        </w:trPr>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NST_</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38%</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0,18</w:t>
            </w:r>
          </w:p>
        </w:tc>
        <w:tc>
          <w:tcPr>
            <w:tcW w:type="dxa" w:w="49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Yang terlewat sering diprediksi STTC (32%) atau NORM (28%), sesuai sifatnya sebagai kategori non-spesifik.</w:t>
            </w:r>
          </w:p>
        </w:tc>
      </w:tr>
      <w:tr>
        <w:trPr>
          <w:cantSplit/>
        </w:trPr>
        <w:tc>
          <w:tcPr>
            <w:tcW w:type="dxa" w:w="14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LAO/LAE</w:t>
            </w:r>
          </w:p>
        </w:tc>
        <w:tc>
          <w:tcPr>
            <w:tcW w:type="dxa" w:w="15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23%</w:t>
            </w:r>
          </w:p>
        </w:tc>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right"/>
            </w:pPr>
            <w:r>
              <w:rPr>
                <w:b w:val="false"/>
                <w:bCs w:val="false"/>
                <w:color w:val="000000"/>
                <w:sz w:val="20"/>
                <w:szCs w:val="20"/>
              </w:rPr>
              <w:t xml:space="preserve">0,09</w:t>
            </w:r>
          </w:p>
        </w:tc>
        <w:tc>
          <w:tcPr>
            <w:tcW w:type="dxa" w:w="4926"/>
            <w:tcBorders>
              <w:top w:val="single" w:color="BBBBBB" w:sz="4"/>
              <w:left w:val="single" w:color="BBBBBB" w:sz="4"/>
              <w:bottom w:val="single" w:color="BBBBBB" w:sz="4"/>
              <w:right w:val="single" w:color="BBBBBB" w:sz="4"/>
            </w:tcBorders>
            <w:tcMar>
              <w:top w:type="dxa" w:w="60"/>
              <w:left w:type="dxa" w:w="100"/>
              <w:bottom w:type="dxa" w:w="60"/>
              <w:right w:type="dxa" w:w="100"/>
            </w:tcMar>
          </w:tcPr>
          <w:p>
            <w:pPr>
              <w:jc w:val="left"/>
            </w:pPr>
            <w:r>
              <w:rPr>
                <w:b w:val="false"/>
                <w:bCs w:val="false"/>
                <w:color w:val="000000"/>
                <w:sz w:val="20"/>
                <w:szCs w:val="20"/>
              </w:rPr>
              <w:t xml:space="preserve">Sering tertukar dengan AMI (30%) dan LVH (24%), yang juga sering muncul bersamaan dengannya.</w:t>
            </w:r>
          </w:p>
        </w:tc>
      </w:tr>
    </w:tbl>
    <w:p>
      <w:pPr>
        <w:spacing w:after="200" w:before="60"/>
      </w:pPr>
      <w:r>
        <w:rPr>
          <w:i/>
          <w:iCs/>
          <w:color w:val="555555"/>
          <w:sz w:val="20"/>
          <w:szCs w:val="20"/>
        </w:rPr>
        <w:t xml:space="preserve">Tabel 7. Tiga kelas tersulit. Ini hanya pola prediksi, bukan penjelasan penyebab.</w:t>
      </w:r>
    </w:p>
    <w:p>
      <w:pPr>
        <w:pStyle w:val="Heading2"/>
      </w:pPr>
      <w:r>
        <w:t xml:space="preserve">10.5 Subkelompok</w:t>
      </w:r>
    </w:p>
    <w:p>
      <w:pPr>
        <w:spacing w:after="120" w:line="276"/>
      </w:pPr>
      <w:r>
        <w:t xml:space="preserve">Pada prediksi gabungan seluruh fold (7.835 rekaman), AUROC turun dari 0,944 pada pasien di bawah 40 tahun menjadi 0,883 pada pasien 80 tahun ke atas. Antar jenis kelamin hasilnya hampir sama. Penyebab penurunan pada usia lanjut belum diuji.</w:t>
      </w:r>
    </w:p>
    <w:p>
      <w:pPr>
        <w:pStyle w:val="Heading1"/>
      </w:pPr>
      <w:r>
        <w:t xml:space="preserve">11. Kesimpulan</w:t>
      </w:r>
    </w:p>
    <w:p>
      <w:pPr>
        <w:pStyle w:val="ListParagraph"/>
        <w:numPr>
          <w:ilvl w:val="0"/>
          <w:numId w:val="2"/>
        </w:numPr>
        <w:spacing w:after="60"/>
      </w:pPr>
      <w:r>
        <w:rPr>
          <w:b/>
          <w:bCs/>
        </w:rPr>
        <w:t xml:space="preserve">Arsitektur paling berpengaruh. </w:t>
      </w:r>
      <w:r>
        <w:t xml:space="preserve">Model kecil (CNN1D) lebih baik daripada ResNet-1D pada data latih sekitar 6 ribu rekaman.</w:t>
      </w:r>
    </w:p>
    <w:p>
      <w:pPr>
        <w:pStyle w:val="ListParagraph"/>
        <w:numPr>
          <w:ilvl w:val="0"/>
          <w:numId w:val="2"/>
        </w:numPr>
        <w:spacing w:after="60"/>
      </w:pPr>
      <w:r>
        <w:rPr>
          <w:b/>
          <w:bCs/>
        </w:rPr>
        <w:t xml:space="preserve">Threshold per kelas adalah penanganan imbalance paling murah. </w:t>
      </w:r>
      <w:r>
        <w:t xml:space="preserve">Macro F1 naik sekitar 0,06 (0,484 menjadi 0,549 pada CNN1D + BCE), sedangkan pos_weight hampir tidak butuh koreksi.</w:t>
      </w:r>
    </w:p>
    <w:p>
      <w:pPr>
        <w:pStyle w:val="ListParagraph"/>
        <w:numPr>
          <w:ilvl w:val="0"/>
          <w:numId w:val="2"/>
        </w:numPr>
        <w:spacing w:after="60"/>
      </w:pPr>
      <w:r>
        <w:rPr>
          <w:b/>
          <w:bCs/>
        </w:rPr>
        <w:t xml:space="preserve">Loss khusus imbalance tidak konsisten membantu AUPRC, </w:t>
      </w:r>
      <w:r>
        <w:t xml:space="preserve">baik pada tiga seed maupun rotasi 10 fold. Manfaatnya terlihat terutama pada F1 dengan threshold tetap 0,5.</w:t>
      </w:r>
    </w:p>
    <w:p>
      <w:pPr>
        <w:pStyle w:val="ListParagraph"/>
        <w:numPr>
          <w:ilvl w:val="0"/>
          <w:numId w:val="2"/>
        </w:numPr>
        <w:spacing w:after="60"/>
      </w:pPr>
      <w:r>
        <w:rPr>
          <w:b/>
          <w:bCs/>
        </w:rPr>
        <w:t xml:space="preserve">Generalisasi antar pasien. </w:t>
      </w:r>
      <w:r>
        <w:t xml:space="preserve">Variasi antar fold (0,608 plus minus 0,021) lebih besar daripada selisih antar strategi, dan kinerja lebih rendah pada pasien lanjut usia.</w:t>
      </w:r>
    </w:p>
    <w:p>
      <w:pPr>
        <w:pStyle w:val="Heading2"/>
      </w:pPr>
      <w:r>
        <w:t xml:space="preserve">Keterbatasan dan langkah berikutnya</w:t>
      </w:r>
    </w:p>
    <w:p>
      <w:pPr>
        <w:pStyle w:val="ListParagraph"/>
        <w:numPr>
          <w:ilvl w:val="0"/>
          <w:numId w:val="3"/>
        </w:numPr>
        <w:spacing w:after="60"/>
      </w:pPr>
      <w:r>
        <w:t xml:space="preserve">Data hanya subset PTB-XL (8.031 dari 21.837 rekaman) dan fold uji kecil (sekitar 900 rekaman), sehingga metrik kelas jarang berfluktuasi.</w:t>
      </w:r>
    </w:p>
    <w:p>
      <w:pPr>
        <w:pStyle w:val="ListParagraph"/>
        <w:numPr>
          <w:ilvl w:val="0"/>
          <w:numId w:val="3"/>
        </w:numPr>
        <w:spacing w:after="60"/>
      </w:pPr>
      <w:r>
        <w:t xml:space="preserve">Hiperparameter loss (gamma focal, parameter ASL) belum dituning; hanya sebagian konfigurasi dijalankan dengan banyak seed dan rotasi penuh.</w:t>
      </w:r>
    </w:p>
    <w:p>
      <w:pPr>
        <w:pStyle w:val="ListParagraph"/>
        <w:numPr>
          <w:ilvl w:val="0"/>
          <w:numId w:val="3"/>
        </w:numPr>
        <w:spacing w:after="60"/>
      </w:pPr>
      <w:r>
        <w:t xml:space="preserve">Belum diuji pada dataset EKG lain. Langkah berikutnya: PTB-XL lengkap, tuning loss, dan validasi eksternal.</w:t>
      </w:r>
    </w:p>
    <w:p>
      <w:pPr>
        <w:pStyle w:val="ListParagraph"/>
        <w:numPr>
          <w:ilvl w:val="0"/>
          <w:numId w:val="3"/>
        </w:numPr>
        <w:spacing w:after="60"/>
      </w:pPr>
      <w:r>
        <w:t xml:space="preserve">Project ini hanya untuk keperluan akademik dan bukan alat diagnosis medis.</w:t>
      </w:r>
    </w:p>
    <w:p>
      <w:pPr>
        <w:pStyle w:val="Heading1"/>
      </w:pPr>
      <w:r>
        <w:t xml:space="preserve">12. Struktur Repositori dan Cara Menjalankan</w:t>
      </w:r>
    </w:p>
    <w:p>
      <w:pPr>
        <w:shd w:fill="F2F2F2" w:val="clear"/>
        <w:spacing w:after="0"/>
      </w:pPr>
      <w:r>
        <w:rPr>
          <w:rFonts w:ascii="Consolas" w:cs="Consolas" w:eastAsia="Consolas" w:hAnsi="Consolas"/>
          <w:sz w:val="19"/>
          <w:szCs w:val="19"/>
        </w:rPr>
        <w:t xml:space="preserve">code/</w:t>
      </w:r>
    </w:p>
    <w:p>
      <w:pPr>
        <w:shd w:fill="F2F2F2" w:val="clear"/>
        <w:spacing w:after="0"/>
      </w:pPr>
      <w:r>
        <w:rPr>
          <w:rFonts w:ascii="Consolas" w:cs="Consolas" w:eastAsia="Consolas" w:hAnsi="Consolas"/>
          <w:sz w:val="19"/>
          <w:szCs w:val="19"/>
        </w:rPr>
        <w:t xml:space="preserve">  src/        check_data, preprocess, data_utils, models, losses,</w:t>
      </w:r>
    </w:p>
    <w:p>
      <w:pPr>
        <w:shd w:fill="F2F2F2" w:val="clear"/>
        <w:spacing w:after="0"/>
      </w:pPr>
      <w:r>
        <w:rPr>
          <w:rFonts w:ascii="Consolas" w:cs="Consolas" w:eastAsia="Consolas" w:hAnsi="Consolas"/>
          <w:sz w:val="19"/>
          <w:szCs w:val="19"/>
        </w:rPr>
        <w:t xml:space="preserve">              metrics, train, evaluate, run_all, collect_results,</w:t>
      </w:r>
    </w:p>
    <w:p>
      <w:pPr>
        <w:shd w:fill="F2F2F2" w:val="clear"/>
        <w:spacing w:after="0"/>
      </w:pPr>
      <w:r>
        <w:rPr>
          <w:rFonts w:ascii="Consolas" w:cs="Consolas" w:eastAsia="Consolas" w:hAnsi="Consolas"/>
          <w:sz w:val="19"/>
          <w:szCs w:val="19"/>
        </w:rPr>
        <w:t xml:space="preserve">              extra_analysis</w:t>
      </w:r>
    </w:p>
    <w:p>
      <w:pPr>
        <w:shd w:fill="F2F2F2" w:val="clear"/>
        <w:spacing w:after="0"/>
      </w:pPr>
      <w:r>
        <w:rPr>
          <w:rFonts w:ascii="Consolas" w:cs="Consolas" w:eastAsia="Consolas" w:hAnsi="Consolas"/>
          <w:sz w:val="19"/>
          <w:szCs w:val="19"/>
        </w:rPr>
        <w:t xml:space="preserve">  configs/    YAML tiap strategi (b0_bce ... b6_augment, cnn1d_*, tune_*)</w:t>
      </w:r>
    </w:p>
    <w:p>
      <w:pPr>
        <w:shd w:fill="F2F2F2" w:val="clear"/>
        <w:spacing w:after="0"/>
      </w:pPr>
      <w:r>
        <w:rPr>
          <w:rFonts w:ascii="Consolas" w:cs="Consolas" w:eastAsia="Consolas" w:hAnsi="Consolas"/>
          <w:sz w:val="19"/>
          <w:szCs w:val="19"/>
        </w:rPr>
        <w:t xml:space="preserve">  data/       raw dan processed (di-ignore git)</w:t>
      </w:r>
    </w:p>
    <w:p>
      <w:pPr>
        <w:shd w:fill="F2F2F2" w:val="clear"/>
        <w:spacing w:after="0"/>
      </w:pPr>
      <w:r>
        <w:rPr>
          <w:rFonts w:ascii="Consolas" w:cs="Consolas" w:eastAsia="Consolas" w:hAnsi="Consolas"/>
          <w:sz w:val="19"/>
          <w:szCs w:val="19"/>
        </w:rPr>
        <w:t xml:space="preserve">  results/    runs, tabel, gambar, summary.json</w:t>
      </w:r>
    </w:p>
    <w:p>
      <w:pPr>
        <w:shd w:fill="F2F2F2" w:val="clear"/>
        <w:spacing w:after="0"/>
      </w:pPr>
      <w:r>
        <w:rPr>
          <w:rFonts w:ascii="Consolas" w:cs="Consolas" w:eastAsia="Consolas" w:hAnsi="Consolas"/>
          <w:sz w:val="19"/>
          <w:szCs w:val="19"/>
        </w:rPr>
        <w:t xml:space="preserve">slides/       build_pptx.js dan deck presentasi (.pptx, .pdf)</w:t>
      </w:r>
    </w:p>
    <w:p>
      <w:pPr>
        <w:shd w:fill="F2F2F2" w:val="clear"/>
        <w:spacing w:after="0"/>
      </w:pPr>
      <w:r>
        <w:rPr>
          <w:rFonts w:ascii="Consolas" w:cs="Consolas" w:eastAsia="Consolas" w:hAnsi="Consolas"/>
          <w:sz w:val="19"/>
          <w:szCs w:val="19"/>
        </w:rPr>
        <w:t xml:space="preserve">docs/         experiment_plan.md, jobdesc.md, references.md</w:t>
      </w:r>
    </w:p>
    <w:p>
      <w:pPr>
        <w:spacing w:after="60"/>
      </w:pPr>
      <w:r>
        <w:t xml:space="preserve"/>
      </w:r>
    </w:p>
    <w:p>
      <w:pPr>
        <w:shd w:fill="F2F2F2" w:val="clear"/>
        <w:spacing w:after="0"/>
      </w:pPr>
      <w:r>
        <w:rPr>
          <w:rFonts w:ascii="Consolas" w:cs="Consolas" w:eastAsia="Consolas" w:hAnsi="Consolas"/>
          <w:sz w:val="19"/>
          <w:szCs w:val="19"/>
        </w:rPr>
        <w:t xml:space="preserve">pip install -r requirements.txt</w:t>
      </w:r>
    </w:p>
    <w:p>
      <w:pPr>
        <w:shd w:fill="F2F2F2" w:val="clear"/>
        <w:spacing w:after="0"/>
      </w:pPr>
      <w:r>
        <w:rPr>
          <w:rFonts w:ascii="Consolas" w:cs="Consolas" w:eastAsia="Consolas" w:hAnsi="Consolas"/>
          <w:sz w:val="19"/>
          <w:szCs w:val="19"/>
        </w:rPr>
        <w:t xml:space="preserve">python src/check_data.py</w:t>
      </w:r>
    </w:p>
    <w:p>
      <w:pPr>
        <w:shd w:fill="F2F2F2" w:val="clear"/>
        <w:spacing w:after="0"/>
      </w:pPr>
      <w:r>
        <w:rPr>
          <w:rFonts w:ascii="Consolas" w:cs="Consolas" w:eastAsia="Consolas" w:hAnsi="Consolas"/>
          <w:sz w:val="19"/>
          <w:szCs w:val="19"/>
        </w:rPr>
        <w:t xml:space="preserve">python src/preprocess.py --task sub --min-count 150</w:t>
      </w:r>
    </w:p>
    <w:p>
      <w:pPr>
        <w:shd w:fill="F2F2F2" w:val="clear"/>
        <w:spacing w:after="0"/>
      </w:pPr>
      <w:r>
        <w:rPr>
          <w:rFonts w:ascii="Consolas" w:cs="Consolas" w:eastAsia="Consolas" w:hAnsi="Consolas"/>
          <w:sz w:val="19"/>
          <w:szCs w:val="19"/>
        </w:rPr>
        <w:t xml:space="preserve">python src/train.py --config configs/b0_bce.yaml</w:t>
      </w:r>
    </w:p>
    <w:p>
      <w:pPr>
        <w:shd w:fill="F2F2F2" w:val="clear"/>
        <w:spacing w:after="0"/>
      </w:pPr>
      <w:r>
        <w:rPr>
          <w:rFonts w:ascii="Consolas" w:cs="Consolas" w:eastAsia="Consolas" w:hAnsi="Consolas"/>
          <w:sz w:val="19"/>
          <w:szCs w:val="19"/>
        </w:rPr>
        <w:t xml:space="preserve">python src/run_all.py --configs b0_bce b3_asl --folds 1-10</w:t>
      </w:r>
    </w:p>
    <w:p>
      <w:pPr>
        <w:shd w:fill="F2F2F2" w:val="clear"/>
        <w:spacing w:after="0"/>
      </w:pPr>
      <w:r>
        <w:rPr>
          <w:rFonts w:ascii="Consolas" w:cs="Consolas" w:eastAsia="Consolas" w:hAnsi="Consolas"/>
          <w:sz w:val="19"/>
          <w:szCs w:val="19"/>
        </w:rPr>
        <w:t xml:space="preserve">python src/evaluate.py results/runs/*/b0_bce_f*_s0 --pool --subgroups --plot</w:t>
      </w:r>
    </w:p>
    <w:p>
      <w:pPr>
        <w:shd w:fill="F2F2F2" w:val="clear"/>
        <w:spacing w:after="0"/>
      </w:pPr>
      <w:r>
        <w:rPr>
          <w:rFonts w:ascii="Consolas" w:cs="Consolas" w:eastAsia="Consolas" w:hAnsi="Consolas"/>
          <w:sz w:val="19"/>
          <w:szCs w:val="19"/>
        </w:rPr>
        <w:t xml:space="preserve">python src/collect_results.py</w:t>
      </w:r>
    </w:p>
    <w:p>
      <w:pPr>
        <w:spacing w:after="60"/>
      </w:pPr>
      <w:r>
        <w:t xml:space="preserve"/>
      </w:r>
    </w:p>
    <w:p>
      <w:pPr>
        <w:spacing w:after="120" w:line="276"/>
      </w:pPr>
      <w:r>
        <w:t xml:space="preserve">Dokumen ini dirangkum dari kode, konfigurasi, dan berkas hasil di folder Group Mini Project. Referensi yang mendasari metode: Wagner et al. (PTB-XL, 2020); Strodthoff et al. (benchmark PTB-XL, 2021); Lin et al. (focal loss, 2017); Ridnik et al. (asymmetric loss, 2021); Cui et al. (class-balanced loss, 2019); He et al. (ResNet, 2016).</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Halaman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2026-10-15T06:05:25.607Z</dcterms:created>
  <dcterms:modified xsi:type="dcterms:W3CDTF">2026-10-15T06:05:25.609Z</dcterms:modified>
</cp:coreProperties>
</file>

<file path=docProps/custom.xml><?xml version="1.0" encoding="utf-8"?>
<Properties xmlns="http://schemas.openxmlformats.org/officeDocument/2006/custom-properties" xmlns:vt="http://schemas.openxmlformats.org/officeDocument/2006/docPropsVTypes"/>
</file>