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60AB" w14:textId="77777777" w:rsidR="00AC2239" w:rsidRDefault="00BF582B">
      <w:r>
        <w:t>Gregory Asher</w:t>
      </w:r>
    </w:p>
    <w:p w14:paraId="5EB87ED3" w14:textId="77777777" w:rsidR="005E4091" w:rsidRDefault="005E4091"/>
    <w:p w14:paraId="66E6447C" w14:textId="77777777" w:rsidR="005E4091" w:rsidRDefault="005E4091"/>
    <w:p w14:paraId="2ADE2F1A" w14:textId="77777777" w:rsidR="005E4091" w:rsidRDefault="005E4091">
      <w:r>
        <w:t>The following is a sample output of my program when n = 15.</w:t>
      </w:r>
    </w:p>
    <w:p w14:paraId="28C1BB0F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Please enter a value for n</w:t>
      </w:r>
    </w:p>
    <w:p w14:paraId="2B31F449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14:paraId="36755316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8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(5,8) = 1 took 4 operations. Completed in: 0.001 milliseconds</w:t>
      </w:r>
    </w:p>
    <w:p w14:paraId="4E01402B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9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(5,8) = 1 took 4 operations. Completed in: 0.064 milliseconds</w:t>
      </w:r>
    </w:p>
    <w:p w14:paraId="21078EE9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10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(5,8) = 1 took 4 operations. Completed in: 0.102 milliseconds</w:t>
      </w:r>
    </w:p>
    <w:p w14:paraId="3A023997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11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(5,8) = 1 took 4 operations. Completed in: 0.129 milliseconds</w:t>
      </w:r>
    </w:p>
    <w:p w14:paraId="0268317F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12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(5,8) = 1 took 4 operations. Completed in: 0.156 milliseconds</w:t>
      </w:r>
    </w:p>
    <w:p w14:paraId="723F8E3B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13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(8,13) = 1 took 5 operations. Completed in: 0.183 milliseconds</w:t>
      </w:r>
    </w:p>
    <w:p w14:paraId="0B405703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14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(8,13) = 1 took 5 operations. Completed in: 0.208 milliseconds</w:t>
      </w:r>
    </w:p>
    <w:p w14:paraId="3E56D5F2" w14:textId="77777777" w:rsidR="005E4091" w:rsidRDefault="005E4091" w:rsidP="005E40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At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= 15</w:t>
      </w:r>
      <w:proofErr w:type="gram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;</w:t>
      </w:r>
      <w:proofErr w:type="gram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000000"/>
          <w:sz w:val="22"/>
          <w:szCs w:val="22"/>
        </w:rPr>
        <w:t>gcd</w:t>
      </w:r>
      <w:proofErr w:type="spellEnd"/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(8,13) = 1 took 5 operations. Completed in: 0.261 milliseconds</w:t>
      </w:r>
    </w:p>
    <w:p w14:paraId="245A862C" w14:textId="77777777" w:rsidR="005E4091" w:rsidRDefault="005E4091" w:rsidP="005E4091">
      <w:pPr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Program ended with exit code: 0</w:t>
      </w:r>
    </w:p>
    <w:p w14:paraId="3FDA16FB" w14:textId="77777777" w:rsidR="005E4091" w:rsidRDefault="005E4091" w:rsidP="005E4091">
      <w:pPr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14:paraId="2CB08296" w14:textId="77777777" w:rsidR="005E4091" w:rsidRPr="005E4091" w:rsidRDefault="005E4091" w:rsidP="005E4091">
      <w:pPr>
        <w:rPr>
          <w:rFonts w:ascii="Arial" w:hAnsi="Arial" w:cs="Arial"/>
        </w:rPr>
      </w:pPr>
      <w:r>
        <w:rPr>
          <w:rFonts w:ascii="Arial" w:hAnsi="Arial" w:cs="Arial"/>
        </w:rPr>
        <w:t>The graph below displays the graphical representation of my modulus operations as a function of N. Additionally I have graphed an upper bound function that describes the worst case scenario.</w:t>
      </w:r>
    </w:p>
    <w:p w14:paraId="0A8E8172" w14:textId="77777777" w:rsidR="00BF582B" w:rsidRDefault="00BF582B">
      <w:r>
        <w:rPr>
          <w:noProof/>
        </w:rPr>
        <w:drawing>
          <wp:inline distT="0" distB="0" distL="0" distR="0" wp14:anchorId="130A01A1" wp14:editId="01ED31DE">
            <wp:extent cx="5486400" cy="3510915"/>
            <wp:effectExtent l="0" t="0" r="2540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08BACC" w14:textId="77777777" w:rsidR="00BF582B" w:rsidRDefault="00BF582B"/>
    <w:p w14:paraId="21F2E96C" w14:textId="77777777" w:rsidR="00BF582B" w:rsidRDefault="005E4091">
      <w:r>
        <w:lastRenderedPageBreak/>
        <w:t xml:space="preserve">Below is a graphical representation of the processing time as a function of n operations. In an effort to display the similarity I set the upper limits of the graph to be 1.5 million. The blue graph represents n^2, or the big O of my function. That is, </w:t>
      </w:r>
      <w:proofErr w:type="gramStart"/>
      <w:r>
        <w:t>O(</w:t>
      </w:r>
      <w:proofErr w:type="gramEnd"/>
      <w:r>
        <w:t>n^2)</w:t>
      </w:r>
      <w:bookmarkStart w:id="0" w:name="_GoBack"/>
      <w:bookmarkEnd w:id="0"/>
    </w:p>
    <w:p w14:paraId="7EF18862" w14:textId="77777777" w:rsidR="00BF582B" w:rsidRDefault="009E3207">
      <w:r>
        <w:rPr>
          <w:noProof/>
        </w:rPr>
        <w:drawing>
          <wp:inline distT="0" distB="0" distL="0" distR="0" wp14:anchorId="039EC3DB" wp14:editId="7CCC507F">
            <wp:extent cx="5486400" cy="3237865"/>
            <wp:effectExtent l="0" t="0" r="25400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F582B" w:rsidSect="00AC2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2B"/>
    <w:rsid w:val="005E4091"/>
    <w:rsid w:val="006D764B"/>
    <w:rsid w:val="009E3207"/>
    <w:rsid w:val="00AC2239"/>
    <w:rsid w:val="00B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A5E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Modulus</a:t>
            </a:r>
            <a:r>
              <a:rPr lang="en-US" baseline="0"/>
              <a:t> Operations  vs N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My Data</c:v>
          </c:tx>
          <c:marker>
            <c:symbol val="none"/>
          </c:marker>
          <c:xVal>
            <c:numRef>
              <c:f>Sheet1!$A$1:$A$60</c:f>
              <c:numCache>
                <c:formatCode>General</c:formatCode>
                <c:ptCount val="60"/>
                <c:pt idx="0">
                  <c:v>8.0</c:v>
                </c:pt>
                <c:pt idx="1">
                  <c:v>10.0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1000.0</c:v>
                </c:pt>
                <c:pt idx="13">
                  <c:v>1100.0</c:v>
                </c:pt>
                <c:pt idx="14">
                  <c:v>1200.0</c:v>
                </c:pt>
                <c:pt idx="15">
                  <c:v>1300.0</c:v>
                </c:pt>
                <c:pt idx="16">
                  <c:v>1400.0</c:v>
                </c:pt>
                <c:pt idx="17">
                  <c:v>1500.0</c:v>
                </c:pt>
                <c:pt idx="18">
                  <c:v>1600.0</c:v>
                </c:pt>
                <c:pt idx="19">
                  <c:v>1700.0</c:v>
                </c:pt>
                <c:pt idx="20">
                  <c:v>1800.0</c:v>
                </c:pt>
                <c:pt idx="21">
                  <c:v>1900.0</c:v>
                </c:pt>
                <c:pt idx="22">
                  <c:v>2000.0</c:v>
                </c:pt>
                <c:pt idx="23">
                  <c:v>2100.0</c:v>
                </c:pt>
                <c:pt idx="24">
                  <c:v>2200.0</c:v>
                </c:pt>
                <c:pt idx="25">
                  <c:v>2300.0</c:v>
                </c:pt>
                <c:pt idx="26">
                  <c:v>2400.0</c:v>
                </c:pt>
                <c:pt idx="27">
                  <c:v>2500.0</c:v>
                </c:pt>
                <c:pt idx="28">
                  <c:v>2600.0</c:v>
                </c:pt>
                <c:pt idx="29">
                  <c:v>2700.0</c:v>
                </c:pt>
                <c:pt idx="30">
                  <c:v>2800.0</c:v>
                </c:pt>
                <c:pt idx="31">
                  <c:v>2900.0</c:v>
                </c:pt>
                <c:pt idx="32">
                  <c:v>3000.0</c:v>
                </c:pt>
              </c:numCache>
            </c:numRef>
          </c:xVal>
          <c:yVal>
            <c:numRef>
              <c:f>Sheet1!$B$1:$B$60</c:f>
              <c:numCache>
                <c:formatCode>General</c:formatCode>
                <c:ptCount val="60"/>
                <c:pt idx="0">
                  <c:v>4.0</c:v>
                </c:pt>
                <c:pt idx="1">
                  <c:v>4.0</c:v>
                </c:pt>
                <c:pt idx="2">
                  <c:v>7.0</c:v>
                </c:pt>
                <c:pt idx="3">
                  <c:v>9.0</c:v>
                </c:pt>
                <c:pt idx="4">
                  <c:v>10.0</c:v>
                </c:pt>
                <c:pt idx="5">
                  <c:v>11.0</c:v>
                </c:pt>
                <c:pt idx="6">
                  <c:v>12.0</c:v>
                </c:pt>
                <c:pt idx="7">
                  <c:v>12.0</c:v>
                </c:pt>
                <c:pt idx="8">
                  <c:v>12.0</c:v>
                </c:pt>
                <c:pt idx="9">
                  <c:v>13.0</c:v>
                </c:pt>
                <c:pt idx="10">
                  <c:v>13.0</c:v>
                </c:pt>
                <c:pt idx="11">
                  <c:v>13.0</c:v>
                </c:pt>
                <c:pt idx="12">
                  <c:v>14.0</c:v>
                </c:pt>
                <c:pt idx="13">
                  <c:v>14.0</c:v>
                </c:pt>
                <c:pt idx="14">
                  <c:v>14.0</c:v>
                </c:pt>
                <c:pt idx="15">
                  <c:v>14.0</c:v>
                </c:pt>
                <c:pt idx="16">
                  <c:v>14.0</c:v>
                </c:pt>
                <c:pt idx="17">
                  <c:v>14.0</c:v>
                </c:pt>
                <c:pt idx="18">
                  <c:v>15.0</c:v>
                </c:pt>
                <c:pt idx="19">
                  <c:v>15.0</c:v>
                </c:pt>
                <c:pt idx="20">
                  <c:v>15.0</c:v>
                </c:pt>
                <c:pt idx="21">
                  <c:v>15.0</c:v>
                </c:pt>
                <c:pt idx="22">
                  <c:v>15.0</c:v>
                </c:pt>
                <c:pt idx="23">
                  <c:v>15.0</c:v>
                </c:pt>
                <c:pt idx="24">
                  <c:v>15.0</c:v>
                </c:pt>
                <c:pt idx="25">
                  <c:v>15.0</c:v>
                </c:pt>
                <c:pt idx="26">
                  <c:v>15.0</c:v>
                </c:pt>
                <c:pt idx="27">
                  <c:v>15.0</c:v>
                </c:pt>
                <c:pt idx="28">
                  <c:v>16.0</c:v>
                </c:pt>
                <c:pt idx="29">
                  <c:v>16.0</c:v>
                </c:pt>
                <c:pt idx="30">
                  <c:v>16.0</c:v>
                </c:pt>
                <c:pt idx="31">
                  <c:v>16.0</c:v>
                </c:pt>
                <c:pt idx="32">
                  <c:v>16.0</c:v>
                </c:pt>
              </c:numCache>
            </c:numRef>
          </c:yVal>
          <c:smooth val="1"/>
        </c:ser>
        <c:ser>
          <c:idx val="1"/>
          <c:order val="1"/>
          <c:tx>
            <c:v>Log(2n/3) base 3/2</c:v>
          </c:tx>
          <c:marker>
            <c:symbol val="none"/>
          </c:marker>
          <c:xVal>
            <c:numRef>
              <c:f>Sheet1!$A$1:$A$60</c:f>
              <c:numCache>
                <c:formatCode>General</c:formatCode>
                <c:ptCount val="60"/>
                <c:pt idx="0">
                  <c:v>8.0</c:v>
                </c:pt>
                <c:pt idx="1">
                  <c:v>10.0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1000.0</c:v>
                </c:pt>
                <c:pt idx="13">
                  <c:v>1100.0</c:v>
                </c:pt>
                <c:pt idx="14">
                  <c:v>1200.0</c:v>
                </c:pt>
                <c:pt idx="15">
                  <c:v>1300.0</c:v>
                </c:pt>
                <c:pt idx="16">
                  <c:v>1400.0</c:v>
                </c:pt>
                <c:pt idx="17">
                  <c:v>1500.0</c:v>
                </c:pt>
                <c:pt idx="18">
                  <c:v>1600.0</c:v>
                </c:pt>
                <c:pt idx="19">
                  <c:v>1700.0</c:v>
                </c:pt>
                <c:pt idx="20">
                  <c:v>1800.0</c:v>
                </c:pt>
                <c:pt idx="21">
                  <c:v>1900.0</c:v>
                </c:pt>
                <c:pt idx="22">
                  <c:v>2000.0</c:v>
                </c:pt>
                <c:pt idx="23">
                  <c:v>2100.0</c:v>
                </c:pt>
                <c:pt idx="24">
                  <c:v>2200.0</c:v>
                </c:pt>
                <c:pt idx="25">
                  <c:v>2300.0</c:v>
                </c:pt>
                <c:pt idx="26">
                  <c:v>2400.0</c:v>
                </c:pt>
                <c:pt idx="27">
                  <c:v>2500.0</c:v>
                </c:pt>
                <c:pt idx="28">
                  <c:v>2600.0</c:v>
                </c:pt>
                <c:pt idx="29">
                  <c:v>2700.0</c:v>
                </c:pt>
                <c:pt idx="30">
                  <c:v>2800.0</c:v>
                </c:pt>
                <c:pt idx="31">
                  <c:v>2900.0</c:v>
                </c:pt>
                <c:pt idx="32">
                  <c:v>3000.0</c:v>
                </c:pt>
              </c:numCache>
            </c:numRef>
          </c:xVal>
          <c:yVal>
            <c:numRef>
              <c:f>Sheet1!$C$1:$C$60</c:f>
              <c:numCache>
                <c:formatCode>General</c:formatCode>
                <c:ptCount val="60"/>
                <c:pt idx="0">
                  <c:v>4.128533874054364</c:v>
                </c:pt>
                <c:pt idx="1">
                  <c:v>4.678873587267573</c:v>
                </c:pt>
                <c:pt idx="2">
                  <c:v>8.648235883183691</c:v>
                </c:pt>
                <c:pt idx="3">
                  <c:v>10.35774717453515</c:v>
                </c:pt>
                <c:pt idx="4">
                  <c:v>12.0672584658866</c:v>
                </c:pt>
                <c:pt idx="5">
                  <c:v>13.0672584658866</c:v>
                </c:pt>
                <c:pt idx="6">
                  <c:v>13.77676975723806</c:v>
                </c:pt>
                <c:pt idx="7">
                  <c:v>14.32710947045126</c:v>
                </c:pt>
                <c:pt idx="8">
                  <c:v>14.77676975723806</c:v>
                </c:pt>
                <c:pt idx="9">
                  <c:v>15.1569521126237</c:v>
                </c:pt>
                <c:pt idx="10">
                  <c:v>15.48628104858951</c:v>
                </c:pt>
                <c:pt idx="11">
                  <c:v>15.77676975723806</c:v>
                </c:pt>
                <c:pt idx="12">
                  <c:v>16.03662076180272</c:v>
                </c:pt>
                <c:pt idx="13">
                  <c:v>16.27168458825384</c:v>
                </c:pt>
                <c:pt idx="14">
                  <c:v>16.48628104858951</c:v>
                </c:pt>
                <c:pt idx="15">
                  <c:v>16.68369065566274</c:v>
                </c:pt>
                <c:pt idx="16">
                  <c:v>16.86646340397516</c:v>
                </c:pt>
                <c:pt idx="17">
                  <c:v>17.03662076180272</c:v>
                </c:pt>
                <c:pt idx="18">
                  <c:v>17.19579233994097</c:v>
                </c:pt>
                <c:pt idx="19">
                  <c:v>17.3453110546321</c:v>
                </c:pt>
                <c:pt idx="20">
                  <c:v>17.48628104858951</c:v>
                </c:pt>
                <c:pt idx="21">
                  <c:v>17.61962722360946</c:v>
                </c:pt>
                <c:pt idx="22">
                  <c:v>17.74613205315417</c:v>
                </c:pt>
                <c:pt idx="23">
                  <c:v>17.86646340397516</c:v>
                </c:pt>
                <c:pt idx="24">
                  <c:v>17.9811958796053</c:v>
                </c:pt>
                <c:pt idx="25">
                  <c:v>18.09082741554248</c:v>
                </c:pt>
                <c:pt idx="26">
                  <c:v>18.19579233994097</c:v>
                </c:pt>
                <c:pt idx="27">
                  <c:v>18.29647176636738</c:v>
                </c:pt>
                <c:pt idx="28">
                  <c:v>18.3932019470142</c:v>
                </c:pt>
                <c:pt idx="29">
                  <c:v>18.48628104858951</c:v>
                </c:pt>
                <c:pt idx="30">
                  <c:v>18.57597469532661</c:v>
                </c:pt>
                <c:pt idx="31">
                  <c:v>18.66252053887651</c:v>
                </c:pt>
                <c:pt idx="32">
                  <c:v>18.74613205315417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642936"/>
        <c:axId val="2118752760"/>
      </c:scatterChart>
      <c:valAx>
        <c:axId val="2118642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8752760"/>
        <c:crosses val="autoZero"/>
        <c:crossBetween val="midCat"/>
      </c:valAx>
      <c:valAx>
        <c:axId val="2118752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Modulous</a:t>
                </a:r>
                <a:r>
                  <a:rPr lang="en-US" baseline="0"/>
                  <a:t> Operations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86429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Time</a:t>
            </a:r>
            <a:r>
              <a:rPr lang="en-US" baseline="0"/>
              <a:t> vs N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n^2</c:v>
          </c:tx>
          <c:marker>
            <c:symbol val="none"/>
          </c:marker>
          <c:xVal>
            <c:numRef>
              <c:f>Sheet1!$A$1:$A$62</c:f>
              <c:numCache>
                <c:formatCode>General</c:formatCode>
                <c:ptCount val="62"/>
                <c:pt idx="0">
                  <c:v>8.0</c:v>
                </c:pt>
                <c:pt idx="1">
                  <c:v>10.0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1000.0</c:v>
                </c:pt>
                <c:pt idx="13">
                  <c:v>1100.0</c:v>
                </c:pt>
                <c:pt idx="14">
                  <c:v>1200.0</c:v>
                </c:pt>
                <c:pt idx="15">
                  <c:v>1300.0</c:v>
                </c:pt>
                <c:pt idx="16">
                  <c:v>1400.0</c:v>
                </c:pt>
                <c:pt idx="17">
                  <c:v>1500.0</c:v>
                </c:pt>
                <c:pt idx="18">
                  <c:v>1600.0</c:v>
                </c:pt>
                <c:pt idx="19">
                  <c:v>1700.0</c:v>
                </c:pt>
                <c:pt idx="20">
                  <c:v>1800.0</c:v>
                </c:pt>
                <c:pt idx="21">
                  <c:v>1900.0</c:v>
                </c:pt>
                <c:pt idx="22">
                  <c:v>2000.0</c:v>
                </c:pt>
                <c:pt idx="23">
                  <c:v>2100.0</c:v>
                </c:pt>
                <c:pt idx="24">
                  <c:v>2200.0</c:v>
                </c:pt>
                <c:pt idx="25">
                  <c:v>2300.0</c:v>
                </c:pt>
                <c:pt idx="26">
                  <c:v>2400.0</c:v>
                </c:pt>
                <c:pt idx="27">
                  <c:v>2500.0</c:v>
                </c:pt>
                <c:pt idx="28">
                  <c:v>2600.0</c:v>
                </c:pt>
                <c:pt idx="29">
                  <c:v>2700.0</c:v>
                </c:pt>
                <c:pt idx="30">
                  <c:v>2800.0</c:v>
                </c:pt>
                <c:pt idx="31">
                  <c:v>2900.0</c:v>
                </c:pt>
                <c:pt idx="32">
                  <c:v>3000.0</c:v>
                </c:pt>
              </c:numCache>
            </c:numRef>
          </c:xVal>
          <c:yVal>
            <c:numRef>
              <c:f>Sheet1!$E$1:$E$51</c:f>
              <c:numCache>
                <c:formatCode>General</c:formatCode>
                <c:ptCount val="51"/>
                <c:pt idx="0">
                  <c:v>1.01</c:v>
                </c:pt>
                <c:pt idx="1">
                  <c:v>100.0</c:v>
                </c:pt>
                <c:pt idx="2">
                  <c:v>2500.0</c:v>
                </c:pt>
                <c:pt idx="3">
                  <c:v>10000.0</c:v>
                </c:pt>
                <c:pt idx="4">
                  <c:v>40000.0</c:v>
                </c:pt>
                <c:pt idx="5">
                  <c:v>90000.0</c:v>
                </c:pt>
                <c:pt idx="6">
                  <c:v>160000.0</c:v>
                </c:pt>
                <c:pt idx="7">
                  <c:v>250000.0</c:v>
                </c:pt>
                <c:pt idx="8">
                  <c:v>360000.0</c:v>
                </c:pt>
                <c:pt idx="9">
                  <c:v>490000.0</c:v>
                </c:pt>
                <c:pt idx="10">
                  <c:v>640000.0</c:v>
                </c:pt>
                <c:pt idx="11">
                  <c:v>810000.0</c:v>
                </c:pt>
                <c:pt idx="12">
                  <c:v>1.0E6</c:v>
                </c:pt>
                <c:pt idx="13">
                  <c:v>1.21E6</c:v>
                </c:pt>
                <c:pt idx="14">
                  <c:v>1.44E6</c:v>
                </c:pt>
                <c:pt idx="15">
                  <c:v>1.69E6</c:v>
                </c:pt>
                <c:pt idx="16">
                  <c:v>1.96E6</c:v>
                </c:pt>
                <c:pt idx="17">
                  <c:v>2.25E6</c:v>
                </c:pt>
                <c:pt idx="18">
                  <c:v>2.56E6</c:v>
                </c:pt>
                <c:pt idx="19">
                  <c:v>2.89E6</c:v>
                </c:pt>
                <c:pt idx="20">
                  <c:v>3.24E6</c:v>
                </c:pt>
                <c:pt idx="21">
                  <c:v>3.61E6</c:v>
                </c:pt>
                <c:pt idx="22">
                  <c:v>4.0E6</c:v>
                </c:pt>
                <c:pt idx="23">
                  <c:v>4.41E6</c:v>
                </c:pt>
                <c:pt idx="24">
                  <c:v>4.84E6</c:v>
                </c:pt>
                <c:pt idx="25">
                  <c:v>5.29E6</c:v>
                </c:pt>
                <c:pt idx="26">
                  <c:v>5.76E6</c:v>
                </c:pt>
                <c:pt idx="27">
                  <c:v>6.25E6</c:v>
                </c:pt>
                <c:pt idx="28">
                  <c:v>6.76E6</c:v>
                </c:pt>
                <c:pt idx="29">
                  <c:v>7.29E6</c:v>
                </c:pt>
                <c:pt idx="30">
                  <c:v>7.84E6</c:v>
                </c:pt>
                <c:pt idx="31">
                  <c:v>8.41E6</c:v>
                </c:pt>
                <c:pt idx="32">
                  <c:v>9.0E6</c:v>
                </c:pt>
              </c:numCache>
            </c:numRef>
          </c:yVal>
          <c:smooth val="1"/>
        </c:ser>
        <c:ser>
          <c:idx val="1"/>
          <c:order val="1"/>
          <c:tx>
            <c:v>My Data</c:v>
          </c:tx>
          <c:marker>
            <c:symbol val="none"/>
          </c:marker>
          <c:xVal>
            <c:numRef>
              <c:f>Sheet1!$A$1:$A$62</c:f>
              <c:numCache>
                <c:formatCode>General</c:formatCode>
                <c:ptCount val="62"/>
                <c:pt idx="0">
                  <c:v>8.0</c:v>
                </c:pt>
                <c:pt idx="1">
                  <c:v>10.0</c:v>
                </c:pt>
                <c:pt idx="2">
                  <c:v>50.0</c:v>
                </c:pt>
                <c:pt idx="3">
                  <c:v>100.0</c:v>
                </c:pt>
                <c:pt idx="4">
                  <c:v>200.0</c:v>
                </c:pt>
                <c:pt idx="5">
                  <c:v>300.0</c:v>
                </c:pt>
                <c:pt idx="6">
                  <c:v>400.0</c:v>
                </c:pt>
                <c:pt idx="7">
                  <c:v>500.0</c:v>
                </c:pt>
                <c:pt idx="8">
                  <c:v>600.0</c:v>
                </c:pt>
                <c:pt idx="9">
                  <c:v>700.0</c:v>
                </c:pt>
                <c:pt idx="10">
                  <c:v>800.0</c:v>
                </c:pt>
                <c:pt idx="11">
                  <c:v>900.0</c:v>
                </c:pt>
                <c:pt idx="12">
                  <c:v>1000.0</c:v>
                </c:pt>
                <c:pt idx="13">
                  <c:v>1100.0</c:v>
                </c:pt>
                <c:pt idx="14">
                  <c:v>1200.0</c:v>
                </c:pt>
                <c:pt idx="15">
                  <c:v>1300.0</c:v>
                </c:pt>
                <c:pt idx="16">
                  <c:v>1400.0</c:v>
                </c:pt>
                <c:pt idx="17">
                  <c:v>1500.0</c:v>
                </c:pt>
                <c:pt idx="18">
                  <c:v>1600.0</c:v>
                </c:pt>
                <c:pt idx="19">
                  <c:v>1700.0</c:v>
                </c:pt>
                <c:pt idx="20">
                  <c:v>1800.0</c:v>
                </c:pt>
                <c:pt idx="21">
                  <c:v>1900.0</c:v>
                </c:pt>
                <c:pt idx="22">
                  <c:v>2000.0</c:v>
                </c:pt>
                <c:pt idx="23">
                  <c:v>2100.0</c:v>
                </c:pt>
                <c:pt idx="24">
                  <c:v>2200.0</c:v>
                </c:pt>
                <c:pt idx="25">
                  <c:v>2300.0</c:v>
                </c:pt>
                <c:pt idx="26">
                  <c:v>2400.0</c:v>
                </c:pt>
                <c:pt idx="27">
                  <c:v>2500.0</c:v>
                </c:pt>
                <c:pt idx="28">
                  <c:v>2600.0</c:v>
                </c:pt>
                <c:pt idx="29">
                  <c:v>2700.0</c:v>
                </c:pt>
                <c:pt idx="30">
                  <c:v>2800.0</c:v>
                </c:pt>
                <c:pt idx="31">
                  <c:v>2900.0</c:v>
                </c:pt>
                <c:pt idx="32">
                  <c:v>3000.0</c:v>
                </c:pt>
              </c:numCache>
            </c:numRef>
          </c:xVal>
          <c:yVal>
            <c:numRef>
              <c:f>Sheet1!$F$1:$F$62</c:f>
              <c:numCache>
                <c:formatCode>General</c:formatCode>
                <c:ptCount val="62"/>
                <c:pt idx="0">
                  <c:v>1000.0</c:v>
                </c:pt>
                <c:pt idx="1">
                  <c:v>1000.0</c:v>
                </c:pt>
                <c:pt idx="2">
                  <c:v>3880.0</c:v>
                </c:pt>
                <c:pt idx="3">
                  <c:v>5386.0</c:v>
                </c:pt>
                <c:pt idx="4">
                  <c:v>9425.0</c:v>
                </c:pt>
                <c:pt idx="5">
                  <c:v>14503.0</c:v>
                </c:pt>
                <c:pt idx="6">
                  <c:v>20786.0</c:v>
                </c:pt>
                <c:pt idx="7">
                  <c:v>28738.0</c:v>
                </c:pt>
                <c:pt idx="8">
                  <c:v>37995.0</c:v>
                </c:pt>
                <c:pt idx="9">
                  <c:v>48699.0</c:v>
                </c:pt>
                <c:pt idx="10">
                  <c:v>80848.0</c:v>
                </c:pt>
                <c:pt idx="11">
                  <c:v>92729.0</c:v>
                </c:pt>
                <c:pt idx="12">
                  <c:v>105287.0</c:v>
                </c:pt>
                <c:pt idx="13">
                  <c:v>118827.0</c:v>
                </c:pt>
                <c:pt idx="14">
                  <c:v>149869.0</c:v>
                </c:pt>
                <c:pt idx="15">
                  <c:v>165809.0</c:v>
                </c:pt>
                <c:pt idx="16">
                  <c:v>182011.0</c:v>
                </c:pt>
                <c:pt idx="17">
                  <c:v>219675.0</c:v>
                </c:pt>
                <c:pt idx="18">
                  <c:v>251585.0</c:v>
                </c:pt>
                <c:pt idx="19">
                  <c:v>292019.0</c:v>
                </c:pt>
                <c:pt idx="20">
                  <c:v>316880.0</c:v>
                </c:pt>
                <c:pt idx="21">
                  <c:v>354636.0</c:v>
                </c:pt>
                <c:pt idx="22">
                  <c:v>380666.0</c:v>
                </c:pt>
                <c:pt idx="23">
                  <c:v>422758.0</c:v>
                </c:pt>
                <c:pt idx="24">
                  <c:v>465916.0</c:v>
                </c:pt>
                <c:pt idx="25">
                  <c:v>504157.0</c:v>
                </c:pt>
                <c:pt idx="26">
                  <c:v>551928.0</c:v>
                </c:pt>
                <c:pt idx="27">
                  <c:v>605508.0</c:v>
                </c:pt>
                <c:pt idx="28">
                  <c:v>646492.0</c:v>
                </c:pt>
                <c:pt idx="29">
                  <c:v>687757.0</c:v>
                </c:pt>
                <c:pt idx="30">
                  <c:v>738850.0</c:v>
                </c:pt>
                <c:pt idx="31">
                  <c:v>790161.0</c:v>
                </c:pt>
                <c:pt idx="32">
                  <c:v>832704.0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038184"/>
        <c:axId val="2117593096"/>
      </c:scatterChart>
      <c:valAx>
        <c:axId val="2047038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7593096"/>
        <c:crosses val="autoZero"/>
        <c:crossBetween val="midCat"/>
      </c:valAx>
      <c:valAx>
        <c:axId val="2117593096"/>
        <c:scaling>
          <c:orientation val="minMax"/>
          <c:max val="1.5E6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(microseconds)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470381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Asher</dc:creator>
  <cp:keywords/>
  <dc:description/>
  <cp:lastModifiedBy>Gregory Asher</cp:lastModifiedBy>
  <cp:revision>2</cp:revision>
  <dcterms:created xsi:type="dcterms:W3CDTF">2016-02-02T01:18:00Z</dcterms:created>
  <dcterms:modified xsi:type="dcterms:W3CDTF">2016-02-02T06:53:00Z</dcterms:modified>
</cp:coreProperties>
</file>