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Title: Brokerage Entity-Class Model (Panel Profits v1.0)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d8ec8ypp09yq" w:id="0"/>
    <w:bookmarkEnd w:id="0"/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world of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Panel Profits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not all IPOs are created equal. Comic shares (issues) enter the marketplace via one of the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Seven Major Firms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each rooted in a mythology-aligned structure with celestial avatars. These firms affect float mechanics, narrative force, and share pricing logic.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Pricing also reflects: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Float 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Underwriter origin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(firm influence)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Entity alignment and franchise strength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Creator-based equity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(Creator Stock)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Publisher-backed value bonds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(Publisher Bonds)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 analogues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like funds, ETFs, futures, and derivatives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v1vhk0ubio2s" w:id="1"/>
    <w:bookmarkEnd w:id="1"/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[SECTION I] ENTITY CLASSIFICATION</w:t>
      </w:r>
    </w:p>
    <w:tbl>
      <w:tblPr>
        <w:tblStyle w:val="Table1"/>
        <w:tblW w:w="7919.0" w:type="dxa"/>
        <w:jc w:val="left"/>
        <w:tblInd w:w="-108.0" w:type="dxa"/>
        <w:tblLayout w:type="fixed"/>
        <w:tblLook w:val="0020"/>
      </w:tblPr>
      <w:tblGrid>
        <w:gridCol w:w="1246"/>
        <w:gridCol w:w="4033"/>
        <w:gridCol w:w="2640"/>
        <w:tblGridChange w:id="0">
          <w:tblGrid>
            <w:gridCol w:w="1246"/>
            <w:gridCol w:w="4033"/>
            <w:gridCol w:w="26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Entity Class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Definition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Examples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Superhero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Protagonists with franchise arcs and fan loyalty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Spider-Man, Batman, Wonder Woman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Supervillain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antagonists with high lore disruption potential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Joker, Magneto, Doom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Sidekick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Hero-aligned secondaries with legacy risk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Robin, Kid Flash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Henchman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Villain-aligned cannon fodder or lieutenants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Hydra Agents, Shock Troopers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Superpet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Iconic pets with branding appeal or cult status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Krypto, Lockjaw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 Gadget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Recurring high-impact items with symbolic weight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Mjolnir, Batmobile, Iron Man’s Armor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 Vehicle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Mobile platforms tied to core characters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Quinjet, Invisible Jet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Hideout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Concealed bases with lore triggers and defense value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Batcave, Krakoa Gate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Headquarters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Central command spaces or open-world locations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X-Mansion, Baxter Building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🔗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Tied to Float §IV and CE50 Index §I.14 (Character Load)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5tsqogthgw7" w:id="2"/>
    <w:bookmarkEnd w:id="2"/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[SECTION II] THE SEVEN HOUSES (CANON FIRMS)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of the Seven Houses draws from mythologically-based archetypes and has a defined celestial triad: Sun, Moon, and Star. These houses control IPO access and hold market sway via their ethos and history. Each firm’s naming, leadership, and spiritual forces tie directly to classical or arcane mythos.</w:t>
      </w:r>
    </w:p>
    <w:tbl>
      <w:tblPr>
        <w:tblStyle w:val="Table2"/>
        <w:tblW w:w="7916.999999999998" w:type="dxa"/>
        <w:jc w:val="left"/>
        <w:tblInd w:w="-108.0" w:type="dxa"/>
        <w:tblLayout w:type="fixed"/>
        <w:tblLook w:val="0020"/>
      </w:tblPr>
      <w:tblGrid>
        <w:gridCol w:w="1047"/>
        <w:gridCol w:w="880"/>
        <w:gridCol w:w="670"/>
        <w:gridCol w:w="544"/>
        <w:gridCol w:w="377"/>
        <w:gridCol w:w="419"/>
        <w:gridCol w:w="419"/>
        <w:gridCol w:w="1634"/>
        <w:gridCol w:w="1927"/>
        <w:tblGridChange w:id="0">
          <w:tblGrid>
            <w:gridCol w:w="1047"/>
            <w:gridCol w:w="880"/>
            <w:gridCol w:w="670"/>
            <w:gridCol w:w="544"/>
            <w:gridCol w:w="377"/>
            <w:gridCol w:w="419"/>
            <w:gridCol w:w="419"/>
            <w:gridCol w:w="1634"/>
            <w:gridCol w:w="1927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House Name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Mythological Root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Alignment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CEO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CTO (Sun)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CFO (Moon)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 (Star)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Specializes In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Street Perception / Weakness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Solon Financial Group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Olympian / Zeusian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Radiant Order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Zeus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Athena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Themis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Hermes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Superheroes, Institutions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“The Old Guard” – Rigid, Legacy-bound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Velos Thorne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Thanatosian / Chaos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Abyss Entropy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Jassu Thorne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Eris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Melinoë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Ereshkigal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Villains, Havoc-Based Properties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“Death Merchants” – Unstable, Ruthless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Winnow Grey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Hermetic / Trickster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Veiled Neutral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Cora Winnow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Hermes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Hecate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Loki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Rogues, Illicit IPs, Black Market Tools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“Ghost Dealers” – Shady, Possibly Illegal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Cradlehold Ledger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Atlantean / Anchorite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Forgebound Faith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Mikkel Aram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Ptah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Hathor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Elatha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Hideouts, Lore Loci, Anchored Settings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“Boring as Bricks” – Slow, Methodical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Ritual &amp; Co.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Alchemical / Dualism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 Balance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Deru Kall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Janus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Ananke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Ninhursag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Fringe Narratives, Multiverse Variants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“Paradox Pimps” – Too Complex for Mass Traders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House of Vire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Celestial / Cosmotide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Ascendant Will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Trystane Mere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Selene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Aether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Prestige Vehicles, Pan-Media IP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“Style Over Substance” – Flashy but Thin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Gallowsbrand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Chthonic / Netherborn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Obsidian Trade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Sarex Fen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Hades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Persephone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Moros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Antiheroes, Damned IP, Lost Runs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“Grave Robbers” – Morbid, Overhyped Risks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79wfsctc5mf" w:id="3"/>
    <w:bookmarkEnd w:id="3"/>
    <w:p w:rsidR="00000000" w:rsidDel="00000000" w:rsidP="00000000" w:rsidRDefault="00000000" w:rsidRPr="00000000" w14:paraId="00000079">
      <w:pPr>
        <w:pStyle w:val="Heading3"/>
        <w:rPr/>
      </w:pPr>
      <w:r w:rsidDel="00000000" w:rsidR="00000000" w:rsidRPr="00000000">
        <w:rPr>
          <w:rtl w:val="0"/>
        </w:rPr>
        <w:t xml:space="preserve">🔱 Solon Financial Trinity Overview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Zeus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Wielder of thunder, ruler of Olympus. Drives stability, prestige, and executive control.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CTO (Sun)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Athena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Wisdom and war strategy; provides predictive tech systems, structure.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CFO (Moon)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Themis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Embodies law and divine order; manages arbitration and pricing fairness.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 (Star)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Hermes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Messenger and dealmaker; enables high-speed execution, diplomatic resolution.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Crisis Modifiers: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During Black Swan events (market shocks, death of key character, vault destruction):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Athena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increases logic-driven defenses and restores broker stability.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Themis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ensures no manipulation occurs; redistributes fairness dividends.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Hermes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negotiates rapid trade reroutes, ensuring liquidity and off-ramp capacity.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Zeus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activates “Olympian Override” – temporary firm-wide protection from float collapse and a +X boost to Franchise Share pricing.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⚙ Other House Trinity breakdowns to follow...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nchgr0folf34" w:id="4"/>
    <w:bookmarkEnd w:id="4"/>
    <w:p w:rsidR="00000000" w:rsidDel="00000000" w:rsidP="00000000" w:rsidRDefault="00000000" w:rsidRPr="00000000" w14:paraId="00000086">
      <w:pPr>
        <w:pStyle w:val="Heading2"/>
        <w:rPr/>
      </w:pPr>
      <w:r w:rsidDel="00000000" w:rsidR="00000000" w:rsidRPr="00000000">
        <w:rPr>
          <w:rtl w:val="0"/>
        </w:rPr>
        <w:t xml:space="preserve">[SECTION III] FIRM PERFORMANCE IMPACT ON PRICING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IPO Share Modifier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Determined by mythic resonance and firm’s symbolic alignment.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Narrative Alignment Modifier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House adjusts to in-game storylines (e.g., cosmic events boost House of Vire).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Astrological Alignment Effects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Each guardian triad modulates market sentiment in cycles.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Lore Inheritance Rate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Some firms inherit legacy weight; others flip float structures via volatility modifiers.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🔗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See: Broker Progression Ladders &amp; Initiate-to-Founder Perks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wh426hkrxnwj" w:id="5"/>
    <w:bookmarkEnd w:id="5"/>
    <w:p w:rsidR="00000000" w:rsidDel="00000000" w:rsidP="00000000" w:rsidRDefault="00000000" w:rsidRPr="00000000" w14:paraId="0000008D">
      <w:pPr>
        <w:pStyle w:val="Heading2"/>
        <w:rPr/>
      </w:pPr>
      <w:r w:rsidDel="00000000" w:rsidR="00000000" w:rsidRPr="00000000">
        <w:rPr>
          <w:rtl w:val="0"/>
        </w:rPr>
        <w:t xml:space="preserve">[SECTION IV] ENTITY CLASS VS. MARKET DEPTH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Franchise Characters (Superheroes)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Gain float protection from firm prestige.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Villains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Peak during chaos or narrative crisis arcs.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Gadgets/Vehicles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Inherit float from host hero, unless singular.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Sidekicks/Pets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Performance boosted by collective sentiment or meta-meme culture.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Henchmen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Hideouts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Best for speculative gains or event-led movement.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qwa8lg4a1fe5" w:id="6"/>
    <w:bookmarkEnd w:id="6"/>
    <w:p w:rsidR="00000000" w:rsidDel="00000000" w:rsidP="00000000" w:rsidRDefault="00000000" w:rsidRPr="00000000" w14:paraId="00000094">
      <w:pPr>
        <w:pStyle w:val="Heading2"/>
        <w:rPr/>
      </w:pPr>
      <w:r w:rsidDel="00000000" w:rsidR="00000000" w:rsidRPr="00000000">
        <w:rPr>
          <w:rtl w:val="0"/>
        </w:rPr>
        <w:t xml:space="preserve">[SECTION V] MARKET-ASSET CLASS GLOSSARY</w:t>
      </w:r>
    </w:p>
    <w:tbl>
      <w:tblPr>
        <w:tblStyle w:val="Table3"/>
        <w:tblW w:w="7919.0" w:type="dxa"/>
        <w:jc w:val="left"/>
        <w:tblInd w:w="-108.0" w:type="dxa"/>
        <w:tblLayout w:type="fixed"/>
        <w:tblLook w:val="0020"/>
      </w:tblPr>
      <w:tblGrid>
        <w:gridCol w:w="1330"/>
        <w:gridCol w:w="1837"/>
        <w:gridCol w:w="4752"/>
        <w:tblGridChange w:id="0">
          <w:tblGrid>
            <w:gridCol w:w="1330"/>
            <w:gridCol w:w="1837"/>
            <w:gridCol w:w="4752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 Term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Lore Asset Equivalent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Stock (Common)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Superhero Stock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Float-based issue tied to heroes, issued per firm with dynamic pricing.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Stock (Preferred)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Franchise Stock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Legendary-tier characters with float protection and brand premiums.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Publisher Bond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Entire publishing house valuation package with creator and IP backing.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Universe Fund / Lore Pool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Aggregated baskets (e.g. Spider-Verse, Bat-Family, Cosmic Marvel).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Mutual Fund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Narrative Fund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Curated theme portfolios like “90s Antiheroes” or “Events of 2005.”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Panel Options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Pre-event bet rights to acquire comic shares at fixed price.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Futures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Timeline Contracts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Speculative contracts on post-event pricing outcomes.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Derivatives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Variant Swaps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Value derivatives based on variant art, signings, foil effects,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Commodities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Paper Grade Assets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Raw, slabbed, signed, or damaged grade-tier speculation.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Index Fund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CE50 / PPIX100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Panel Profits benchmark indexes; used for performance comparison.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Digital Tokens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LoreMint Editions (NFT Layer)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Unique, chain-tracked digital items with scarcity, metadata, and trade use.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Crypto 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InkCoin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Game-native utility token for broker transactions, unlocks, events.</w:t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🔗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Roadmap: Layer-2 Digital Economy (v3.2)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4p2fx2xmlh" w:id="7"/>
    <w:bookmarkEnd w:id="7"/>
    <w:p w:rsidR="00000000" w:rsidDel="00000000" w:rsidP="00000000" w:rsidRDefault="00000000" w:rsidRPr="00000000" w14:paraId="000000BE">
      <w:pPr>
        <w:pStyle w:val="Heading2"/>
        <w:rPr/>
      </w:pPr>
      <w:r w:rsidDel="00000000" w:rsidR="00000000" w:rsidRPr="00000000">
        <w:rPr>
          <w:rtl w:val="0"/>
        </w:rPr>
        <w:t xml:space="preserve">[SECTION VI] CREATOR STOCK &amp; PUBLISHER BONDS </w:t>
      </w:r>
      <w:r w:rsidDel="00000000" w:rsidR="00000000" w:rsidRPr="00000000">
        <w:rPr>
          <w:i w:val="1"/>
          <w:rtl w:val="0"/>
        </w:rPr>
        <w:t xml:space="preserve">(Planned)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🔧 To be detailed: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Creator Stock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Scored via Role (Writer &gt; Artist &gt; Inker &gt; Editor)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Weighted by tenure, historical impact, and CE50 inclusion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Bonus: Multi-era participation or key arc anchoring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Publisher Bonds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total IP float, creator concentration, event resilience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 effects scaled by lore-impact and sentiment saturation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document links to: CE50 / PPIX100 Metric Index • Float Doctrine • Oracle Event Structures • Alignment Codex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