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[12] Emotional Intensity: The Art That Refuses to Whisper</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Some artworks speak. Others shout, weep, howl. Emotional Intensity is the quality that bypasses critical interpretation and lands directly in the gut. It is the thunderclap of impact felt before meaning, the soul-stirring heat that bypasses intellect and moves the heart. Investment-grade art doesn’t just make sense—it makes you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feel</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That feeling, when sincere and immediate, makes memory inevitable. And memory, in the world of collecting, is value.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Definition: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Emotional Intensity refers to the visceral, immediate, and often universal impact a piece of art has on the observer. It transcends taste, background, or scholarly framework and connects through a shared human response. It is not sentimentality, but resonance at an emotional frequency so loud it can’t be ignored.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Summary: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While much of investment-grade art can be defined through history, craft, rarity, or narrative, emotional intensity is that ineffable charge that ensures a piece lingers. From Guernica’s anguish to Basquiat’s explosive lines, emotionally intense works leave impressions not just on the walls that house them, but on the hearts that behold them. When a piece has this power, its worth is rarely questioned, only felt.</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There are works of art that, when viewed, seem to make the world pause. A portrait that stares back with more life than the living. A sculpture that trembles with some unseen sorrow. These are the pieces collectors chase not because of their pedigree or auction price, but because something in them refuses to let go. Emotional Intensity creates gravity.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painting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The Scream</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by Edvard Munch continues to resonate because its distorted agony is recognizable, relatable. It has become a symbol for the internal unease of the modern world. When artists capture universal emotional truths, their work gains timeless weight.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Investment-grade art does not need to be beautiful. It does not need to be happy. It needs to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matter</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emotionally. Consider the raw elegance of Käthe Kollwitz, whose lithographs of grief during wartime Germany pierce the viewer even now. Her technical mastery is evident, but it is her emotional clarity that makes her work unforgettable.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Contemporary examples abound. The work of Tracey Emin, especially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My Bed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(1998), may initially confound with its lack of formal elegance. But the emotional exposure—of heartbreak, loneliness, and existential collapse—is unmistakable. Emotional Intensity is not about tears or trauma alone. It can emerge in joy, in grace, in awe. The kinetic energy of a Keith Haring mural, or the solemn silence in a Rothko color field, each tap into this quality differently.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Why does Emotional Intensity command value? Because it cannot be faked. You cannot manufacture the sensation of being moved. It resists trend and exceeds reason. A collector may not understand why a piece stirs them, but they will pay for the privilege of feeling it again and again. In that sense, emotional resonance is an emotional dividend—a kind of return on human investment.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Additionally, pieces with strong emotional charge often carry cultural or spiritual significance. They become rallying points, altars of grief or celebration. Consider the AIDS Memorial Quilt—not traditional art, perhaps, but undeniably a masterpiece of emotional storytelling. Its value isn’t in ownership, but in legacy.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art to be investment-grade, it must reach across time and culture. Emotional Intensity provides that bridge. It moves us before we can name the motion. It makes collectors guardians of feeling.</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qah06d471ihs" w:id="0"/>
    <w:bookmarkEnd w:id="0"/>
    <w:p w:rsidR="00000000" w:rsidDel="00000000" w:rsidP="00000000" w:rsidRDefault="00000000" w:rsidRPr="00000000" w14:paraId="0000000E">
      <w:pPr>
        <w:pStyle w:val="Heading3"/>
        <w:rPr/>
      </w:pPr>
      <w:r w:rsidDel="00000000" w:rsidR="00000000" w:rsidRPr="00000000">
        <w:rPr>
          <w:rtl w:val="0"/>
        </w:rPr>
        <w:t xml:space="preserve">Annotated Bibliography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North American Reference 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“Pictures and Tears: A History of People Who Have Cried in Front of Paintings” – James Elkins (2004)</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A compelling examination of how people across centuries have been emotionally overtaken by visual art. Elkins maps the terrain of emotional responses and argues for their place in evaluating artistic worth.</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North American Reference 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“The Sublime: A Reader in British Eighteenth-Century Aesthetic Theory” – Andrew Ashfield &amp; Peter de Bolla (eds.)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While primarily British in content, this Canadian-edited volume explores the emotional sublime—aesthetic theory rooted in intensity, fear, and awe. A foundational text for understanding emotional scale in art.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North American Reference 3:</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“Art and Emotion” – Derek Matravers (2001)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Focuses on the relationship between emotional expression and art interpretation. A philosophical defense of emotional intensity as a legitimate and necessary feature of aesthetic experience.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International Reference: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“L’Arte come Esperienza” – John Dewey (Italian edition, 1951)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t xml:space="preserve">Though originally American, this influential work is presented here in its widely read Italian translation, anchoring its global influence. Dewey argues for art as a lived, emotive experience that is central to civic life.</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Art isn’t remembered for the price tag it carried the day it was sold. It’s remembered for the silence it left in a gallery. For the tears it drew. For the breath it stole.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“If it makes you feel like something unspeakable just passed through you—then it’s art. The rest is wall decor.”</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Subtitle">
    <w:name w:val="Subtitle"/>
    <w:basedOn w:val="Normal"/>
    <w:next w:val="Normal"/>
    <w:pPr>
      <w:spacing w:after="80" w:line="24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