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This document shows how to set YARN Fair Scheduler and Impala Resource Pools in a Cloudera Director conf file, so the appropriate YARN and Impala resource pools will be automatically created as part of the cluster installation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example, assume YARN and Impala Resource Pools are configured like this using CM’s Dynamic Resource Pools dialog: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803400"/>
            <wp:effectExtent b="0" l="0" r="0" t="0"/>
            <wp:docPr descr="Screen Shot 2016-03-06 at 8.59.30 PM.png" id="2" name="image07.png"/>
            <a:graphic>
              <a:graphicData uri="http://schemas.openxmlformats.org/drawingml/2006/picture">
                <pic:pic>
                  <pic:nvPicPr>
                    <pic:cNvPr descr="Screen Shot 2016-03-06 at 8.59.30 PM.png" id="0" name="image07.png"/>
                    <pic:cNvPicPr preferRelativeResize="0"/>
                  </pic:nvPicPr>
                  <pic:blipFill>
                    <a:blip r:embed="rId5"/>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there are three pools:  default, analysts and etl, each of which has different weights and different Impala max memory, max running and max queued queries.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Assume placement rules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549400"/>
            <wp:effectExtent b="0" l="0" r="0" t="0"/>
            <wp:docPr descr="Screen Shot 2016-03-06 at 9.02.12 PM.png" id="1" name="image05.png"/>
            <a:graphic>
              <a:graphicData uri="http://schemas.openxmlformats.org/drawingml/2006/picture">
                <pic:pic>
                  <pic:nvPicPr>
                    <pic:cNvPr descr="Screen Shot 2016-03-06 at 9.02.12 PM.png" id="0" name="image05.png"/>
                    <pic:cNvPicPr preferRelativeResize="0"/>
                  </pic:nvPicPr>
                  <pic:blipFill>
                    <a:blip r:embed="rId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placement rule dictates that a user’s queries (for both YARN and Impala) should be routed to the pool that matches the name of the user’s secondary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example I will run queries as the user “mark” who we can see belongs to the secondary group “analysts”: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[root@mbrooks ~]# groups mark</w:t>
      </w:r>
    </w:p>
    <w:p w:rsidR="00000000" w:rsidDel="00000000" w:rsidP="00000000" w:rsidRDefault="00000000" w:rsidRPr="00000000">
      <w:pPr>
        <w:ind w:left="720" w:firstLine="0"/>
        <w:contextualSpacing w:val="0"/>
      </w:pPr>
      <w:r w:rsidDel="00000000" w:rsidR="00000000" w:rsidRPr="00000000">
        <w:rPr>
          <w:rtl w:val="0"/>
        </w:rPr>
        <w:t xml:space="preserve">mark : mark analysts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we see an Impala query for the user mark was correctly routed to the analysts Impala pool: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397000"/>
            <wp:effectExtent b="0" l="0" r="0" t="0"/>
            <wp:docPr descr="Screen Shot 2016-03-06 at 8.16.38 PM.png" id="4" name="image09.png"/>
            <a:graphic>
              <a:graphicData uri="http://schemas.openxmlformats.org/drawingml/2006/picture">
                <pic:pic>
                  <pic:nvPicPr>
                    <pic:cNvPr descr="Screen Shot 2016-03-06 at 8.16.38 PM.png" id="0" name="image09.png"/>
                    <pic:cNvPicPr preferRelativeResize="0"/>
                  </pic:nvPicPr>
                  <pic:blipFill>
                    <a:blip r:embed="rId7"/>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a Hive query is also correctly placed in the analysts YARN pool: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778000"/>
            <wp:effectExtent b="0" l="0" r="0" t="0"/>
            <wp:docPr descr="Screen Shot 2016-03-06 at 8.18.39 PM.png" id="3" name="image08.png"/>
            <a:graphic>
              <a:graphicData uri="http://schemas.openxmlformats.org/drawingml/2006/picture">
                <pic:pic>
                  <pic:nvPicPr>
                    <pic:cNvPr descr="Screen Shot 2016-03-06 at 8.18.39 PM.png" id="0" name="image08.png"/>
                    <pic:cNvPicPr preferRelativeResize="0"/>
                  </pic:nvPicPr>
                  <pic:blipFill>
                    <a:blip r:embed="rId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key to setting the dynamic resource pools in a Director conf file is to capture the generated settings for the “Fair Scheduler Allocations” property in both YARN and Impala configs.  These property values are set to reflect the configuration of CM’s Dynamic Resource Pools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screenshot from CM of the YARN Fair Scheduler Allocations property that expresses the dynamic resource pools configured in the GUI (the actual text is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30" w:right="-450" w:firstLine="0"/>
        <w:contextualSpacing w:val="0"/>
      </w:pPr>
      <w:r w:rsidDel="00000000" w:rsidR="00000000" w:rsidRPr="00000000">
        <w:drawing>
          <wp:inline distB="114300" distT="114300" distL="114300" distR="114300">
            <wp:extent cx="6491288" cy="2131754"/>
            <wp:effectExtent b="0" l="0" r="0" t="0"/>
            <wp:docPr descr="Screen Shot 2016-03-06 at 9.10.41 PM.png" id="5" name="image10.png"/>
            <a:graphic>
              <a:graphicData uri="http://schemas.openxmlformats.org/drawingml/2006/picture">
                <pic:pic>
                  <pic:nvPicPr>
                    <pic:cNvPr descr="Screen Shot 2016-03-06 at 9.10.41 PM.png" id="0" name="image10.png"/>
                    <pic:cNvPicPr preferRelativeResize="0"/>
                  </pic:nvPicPr>
                  <pic:blipFill>
                    <a:blip r:embed="rId9"/>
                    <a:srcRect b="0" l="0" r="0" t="0"/>
                    <a:stretch>
                      <a:fillRect/>
                    </a:stretch>
                  </pic:blipFill>
                  <pic:spPr>
                    <a:xfrm>
                      <a:off x="0" y="0"/>
                      <a:ext cx="6491288" cy="213175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the YARN Fair Scheduler Allocations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defaultMinSharePreemptionTimeout":null,"defaultQueueSchedulingPolicy":"drf","fairSharePreemptionTimeout":null,"queueMaxAMShareDefault":null,"queueMaxAppsDefault":null,"queuePlacementRules":[{"create":false,"name":"secondaryGroupExistingQueue"},{"create":false,"name":"reject"}],"queues":[{"aclAdministerApps":"*","aclSubmitApps":" analysts,default","minSharePreemptionTimeout":null,"name":"root","queues":[{"aclAdministerApps":"*","aclSubmitApps":" default","minSharePreemptionTimeout":null,"name":"default","queues":[],"schedulablePropertiesList":[{"impalaMaxMemory":25000,"impalaMaxQueuedQueries":30,"impalaMaxRunningQueries":5,"maxAMShare":null,"maxResources":null,"maxRunningApps":null,"minResources":null,"scheduleName":"default","weight":25.0}],"schedulingPolicy":"drf"},{"aclAdministerApps":"*","aclSubmitApps":" analysts","minSharePreemptionTimeout":null,"name":"analysts","queues":[],"schedulablePropertiesList":[{"impalaMaxMemory":100000,"impalaMaxQueuedQueries":40,"impalaMaxRunningQueries":30,"maxAMShare":null,"maxResources":null,"maxRunningApps":null,"minResources":null,"scheduleName":"default","weight":45.0}],"schedulingPolicy":"drf"},{"aclAdministerApps":"*","aclSubmitApps":" etl","minSharePreemptionTimeout":null,"name":"etl","queues":[],"schedulablePropertiesList":[{"impalaMaxMemory":25000,"impalaMaxQueuedQueries":5,"impalaMaxRunningQueries":3,"maxAMShare":null,"maxResources":null,"maxRunningApps":null,"minResources":null,"scheduleName":"default","weight":30.0}],"schedulingPolicy":"drf"}],"schedulablePropertiesList":[{"impalaMaxMemory":null,"impalaMaxQueuedQueries":null,"impalaMaxRunningQueries":null,"maxAMShare":null,"maxResources":null,"maxRunningApps":null,"minResources":null,"scheduleName":"default","weight":1.0}],"schedulingPolicy":"drf"}],"userMaxAppsDefault":null,"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similar value is set for Impala “Fair Scheduler Allocations” property: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900" w:right="-630" w:firstLine="0"/>
        <w:contextualSpacing w:val="0"/>
      </w:pPr>
      <w:r w:rsidDel="00000000" w:rsidR="00000000" w:rsidRPr="00000000">
        <w:drawing>
          <wp:inline distB="114300" distT="114300" distL="114300" distR="114300">
            <wp:extent cx="6602506" cy="2338388"/>
            <wp:effectExtent b="0" l="0" r="0" t="0"/>
            <wp:docPr descr="Screen Shot 2016-03-06 at 9.14.16 PM.png" id="6" name="image11.png"/>
            <a:graphic>
              <a:graphicData uri="http://schemas.openxmlformats.org/drawingml/2006/picture">
                <pic:pic>
                  <pic:nvPicPr>
                    <pic:cNvPr descr="Screen Shot 2016-03-06 at 9.14.16 PM.png" id="0" name="image11.png"/>
                    <pic:cNvPicPr preferRelativeResize="0"/>
                  </pic:nvPicPr>
                  <pic:blipFill>
                    <a:blip r:embed="rId10"/>
                    <a:srcRect b="0" l="0" r="0" t="0"/>
                    <a:stretch>
                      <a:fillRect/>
                    </a:stretch>
                  </pic:blipFill>
                  <pic:spPr>
                    <a:xfrm>
                      <a:off x="0" y="0"/>
                      <a:ext cx="6602506" cy="2338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the IMPALA Fair Scheduler Allocations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defaultMinSharePreemptionTimeout":null,"defaultQueueSchedulingPolicy":"drf","fairSharePreemptionTimeout":null,"queueMaxAMShareDefault":null,"queueMaxAppsDefault":null,"queuePlacementRules":[{"create":false,"name":"secondaryGroupExistingQueue"},{"create":false,"name":"reject"}],"queues":[{"aclAdministerApps":"*","aclSubmitApps":" analysts,default","minSharePreemptionTimeout":null,"name":"root","queues":[{"aclAdministerApps":"*","aclSubmitApps":" default","minSharePreemptionTimeout":null,"name":"default","queues":[],"schedulablePropertiesList":[{"impalaMaxMemory":25000,"impalaMaxQueuedQueries":30,"impalaMaxRunningQueries":5,"maxAMShare":null,"maxResources":null,"maxRunningApps":null,"minResources":null,"scheduleName":"default","weight":25.0}],"schedulingPolicy":"drf"},{"aclAdministerApps":"*","aclSubmitApps":" analysts","minSharePreemptionTimeout":null,"name":"analysts","queues":[],"schedulablePropertiesList":[{"impalaMaxMemory":100000,"impalaMaxQueuedQueries":40,"impalaMaxRunningQueries":30,"maxAMShare":null,"maxResources":null,"maxRunningApps":null,"minResources":null,"scheduleName":"default","weight":45.0}],"schedulingPolicy":"drf"},{"aclAdministerApps":"*","aclSubmitApps":" etl","minSharePreemptionTimeout":null,"name":"etl","queues":[],"schedulablePropertiesList":[{"impalaMaxMemory":25000,"impalaMaxQueuedQueries":5,"impalaMaxRunningQueries":3,"maxAMShare":null,"maxResources":null,"maxRunningApps":null,"minResources":null,"scheduleName":"default","weight":30.0}],"schedulingPolicy":"drf"}],"schedulablePropertiesList":[{"impalaMaxMemory":null,"impalaMaxQueuedQueries":null,"impalaMaxRunningQueries":null,"maxAMShare":null,"maxResources":null,"maxRunningApps":null,"minResources":null,"scheduleName":"default","weight":1.0}],"schedulingPolicy":"drf"}],"userMaxAppsDefault":null,"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values captured from CM (above) can simply be pasted into the Director config files, for both the YARN and IMPALA settings.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YARN setting has the key “yarn_fs_scheduled_allocations” and the Impala setting has the key “impala_scheduled_allocations”.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two additional Impala properties also need to be set at the service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admission_control_enabled: "true"</w:t>
        <w:br w:type="textWrapping"/>
        <w:t xml:space="preserve">    </w:t>
        <w:tab/>
        <w:t xml:space="preserve">all_admission_control_enabled: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snippet from a Director conf file that show how these settings are specified (all are service level configs defined at the cluster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16"/>
          <w:szCs w:val="16"/>
          <w:rtl w:val="0"/>
        </w:rPr>
        <w:t xml:space="preserve">cluster</w:t>
      </w:r>
      <w:r w:rsidDel="00000000" w:rsidR="00000000" w:rsidRPr="00000000">
        <w:rPr>
          <w:sz w:val="16"/>
          <w:szCs w:val="16"/>
          <w:rtl w:val="0"/>
        </w:rPr>
        <w:t xml:space="preserve"> {</w:t>
        <w:br w:type="textWrapping"/>
        <w:t xml:space="preserve">  products {</w:t>
        <w:br w:type="textWrapping"/>
        <w:t xml:space="preserve">    CDH: 5 </w:t>
        <w:br w:type="textWrapping"/>
        <w:t xml:space="preserve">  }</w:t>
        <w:br w:type="textWrapping"/>
        <w:t xml:space="preserve">  </w:t>
        <w:br w:type="textWrapping"/>
        <w:t xml:space="preserve">  services: [HDFS, YARN, ZOOKEEPER, HIVE, HUE, OOZIE, IMPALA]</w:t>
        <w:br w:type="textWrapping"/>
        <w:t xml:space="preserve">  parcelRepositories: ["http://archive.cloudera.com/cdh5/parcels/5.5/"]</w:t>
        <w:br w:type="textWrapping"/>
        <w:t xml:space="preserve">    </w:t>
        <w:br w:type="textWrapping"/>
      </w:r>
      <w:r w:rsidDel="00000000" w:rsidR="00000000" w:rsidRPr="00000000">
        <w:rPr>
          <w:b w:val="1"/>
          <w:color w:val="0000ff"/>
          <w:sz w:val="16"/>
          <w:szCs w:val="16"/>
          <w:rtl w:val="0"/>
        </w:rPr>
        <w:t xml:space="preserve">configs {</w:t>
        <w:br w:type="textWrapping"/>
        <w:br w:type="textWrapping"/>
        <w:t xml:space="preserve">  YARN {</w:t>
        <w:br w:type="textWrapping"/>
      </w:r>
      <w:r w:rsidDel="00000000" w:rsidR="00000000" w:rsidRPr="00000000">
        <w:rPr>
          <w:b w:val="1"/>
          <w:sz w:val="16"/>
          <w:szCs w:val="16"/>
          <w:rtl w:val="0"/>
        </w:rPr>
        <w:t xml:space="preserve">    </w:t>
      </w:r>
      <w:r w:rsidDel="00000000" w:rsidR="00000000" w:rsidRPr="00000000">
        <w:rPr>
          <w:b w:val="1"/>
          <w:color w:val="0000ff"/>
          <w:sz w:val="16"/>
          <w:szCs w:val="16"/>
          <w:rtl w:val="0"/>
        </w:rPr>
        <w:t xml:space="preserve">yarn_fs_scheduled_allocations:</w:t>
      </w:r>
      <w:r w:rsidDel="00000000" w:rsidR="00000000" w:rsidRPr="00000000">
        <w:rPr>
          <w:b w:val="1"/>
          <w:sz w:val="16"/>
          <w:szCs w:val="16"/>
          <w:rtl w:val="0"/>
        </w:rPr>
        <w:t xml:space="preserve"> </w:t>
      </w:r>
      <w:r w:rsidDel="00000000" w:rsidR="00000000" w:rsidRPr="00000000">
        <w:rPr>
          <w:sz w:val="16"/>
          <w:szCs w:val="16"/>
          <w:rtl w:val="0"/>
        </w:rPr>
        <w:t xml:space="preserve">"{\"defaultMinSharePreemptionTimeout\":null,\"defaultQueueSchedulingPolicy\":\"drf\",\"fairSharePreemptionTimeout\":null,\"queueMaxAMShareDefault\":null,\"queueMaxAppsDefault\":null,\"queuePlacementRules\":[{\"create\":false,\"name\":\"secondaryGroupExistingQueue\"},{\"create\":false,\"name\":\"reject\"}],\"queues\":[{\"aclAdministerApps\":\"*\",\"aclSubmitApps\":\" analysts,default\",\"minSharePreemptionTimeout\":null,\"name\":\"root\",\"queues\":[{\"aclAdministerApps\":\"*\",\"aclSubmitApps\":\" default\",\"minSharePreemptionTimeout\":null,\"name\":\"default\",\"queues\":[],\"schedulablePropertiesList\":[{\"impalaMaxMemory\":25000,\"impalaMaxQueuedQueries\":30,\"impalaMaxRunningQueries\":5,\"maxAMShare\":null,\"maxResources\":null,\"maxRunningApps\":null,\"minResources\":null,\"scheduleName\":\"default\",\"weight\":25.0}],\"schedulingPolicy\":\"drf\"},{\"aclAdministerApps\":\"*\",\"aclSubmitApps\":\" analysts\",\"minSharePreemptionTimeout\":null,\"name\":\"analysts\",\"queues\":[],\"schedulablePropertiesList\":[{\"impalaMaxMemory\":100000,\"impalaMaxQueuedQueries\":40,\"impalaMaxRunningQueries\":30,\"maxAMShare\":null,\"maxResources\":null,\"maxRunningApps\":null,\"minResources\":null,\"scheduleName\":\"default\",\"weight\":45.0}],\"schedulingPolicy\":\"drf\"},{\"aclAdministerApps\":\"*\",\"aclSubmitApps\":\" etl\",\"minSharePreemptionTimeout\":null,\"name\":\"etl\",\"queues\":[],\"schedulablePropertiesList\":[{\"impalaMaxMemory\":25000,\"impalaMaxQueuedQueries\":5,\"impalaMaxRunningQueries\":3,\"maxAMShare\":null,\"maxResources\":null,\"maxRunningApps\":null,\"minResources\":null,\"scheduleName\":\"default\",\"weight\":30.0}],\"schedulingPolicy\":\"drf\"}],\"schedulablePropertiesList\":[{\"impalaMaxMemory\":null,\"impalaMaxQueuedQueries\":null,\"impalaMaxRunningQueries\":null,\"maxAMShare\":null,\"maxResources\":null,\"maxRunningApps\":null,\"minResources\":null,\"scheduleName\":\"default\",\"weight\":1.0}],\"schedulingPolicy\":\"drf\"}],\"userMaxAppsDefault\":null,\"users\":[]}"</w:t>
        <w:br w:type="textWrapping"/>
        <w:t xml:space="preserve">  }</w:t>
        <w:br w:type="textWrapping"/>
      </w:r>
    </w:p>
    <w:p w:rsidR="00000000" w:rsidDel="00000000" w:rsidP="00000000" w:rsidRDefault="00000000" w:rsidRPr="00000000">
      <w:pPr>
        <w:contextualSpacing w:val="0"/>
      </w:pPr>
      <w:r w:rsidDel="00000000" w:rsidR="00000000" w:rsidRPr="00000000">
        <w:rPr>
          <w:b w:val="1"/>
          <w:color w:val="0000ff"/>
          <w:sz w:val="16"/>
          <w:szCs w:val="16"/>
          <w:rtl w:val="0"/>
        </w:rPr>
        <w:t xml:space="preserve"> IMPALA {</w:t>
        <w:br w:type="textWrapping"/>
        <w:t xml:space="preserve">    admission_control_enabled: "true"</w:t>
        <w:br w:type="textWrapping"/>
        <w:t xml:space="preserve">    all_admission_control_enabled: "true"</w:t>
        <w:br w:type="textWrapping"/>
        <w:t xml:space="preserve">    impala_scheduled_allocations: </w:t>
      </w:r>
      <w:r w:rsidDel="00000000" w:rsidR="00000000" w:rsidRPr="00000000">
        <w:rPr>
          <w:sz w:val="16"/>
          <w:szCs w:val="16"/>
          <w:rtl w:val="0"/>
        </w:rPr>
        <w:t xml:space="preserve">"{\"defaultMinSharePreemptionTimeout\":null,\"defaultQueueSchedulingPolicy\":\"drf\",\"fairSharePreemptionTimeout\":null,\"queueMaxAMShareDefault\":null,\"queueMaxAppsDefault\":null,\"queuePlacementRules\":[{\"create\":false,\"name\":\"secondaryGroupExistingQueue\"},{\"create\":false,\"name\":\"reject\"}],\"queues\":[{\"aclAdministerApps\":\"*\",\"aclSubmitApps\":\" analysts,default\",\"minSharePreemptionTimeout\":null,\"name\":\"root\",\"queues\":[{\"aclAdministerApps\":\"*\",\"aclSubmitApps\":\" default\",\"minSharePreemptionTimeout\":null,\"name\":\"default\",\"queues\":[],\"schedulablePropertiesList\":[{\"impalaMaxMemory\":25000,\"impalaMaxQueuedQueries\":30,\"impalaMaxRunningQueries\":5,\"maxAMShare\":null,\"maxResources\":null,\"maxRunningApps\":null,\"minResources\":null,\"scheduleName\":\"default\",\"weight\":25.0}],\"schedulingPolicy\":\"drf\"},{\"aclAdministerApps\":\"*\",\"aclSubmitApps\":\" analysts\",\"minSharePreemptionTimeout\":null,\"name\":\"analysts\",\"queues\":[],\"schedulablePropertiesList\":[{\"impalaMaxMemory\":100000,\"impalaMaxQueuedQueries\":40,\"impalaMaxRunningQueries\":30,\"maxAMShare\":null,\"maxResources\":null,\"maxRunningApps\":null,\"minResources\":null,\"scheduleName\":\"default\",\"weight\":45.0}],\"schedulingPolicy\":\"drf\"},{\"aclAdministerApps\":\"*\",\"aclSubmitApps\":\" etl\",\"minSharePreemptionTimeout\":null,\"name\":\"etl\",\"queues\":[],\"schedulablePropertiesList\":[{\"impalaMaxMemory\":25000,\"impalaMaxQueuedQueries\":5,\"impalaMaxRunningQueries\":3,\"maxAMShare\":null,\"maxResources\":null,\"maxRunningApps\":null,\"minResources\":null,\"scheduleName\":\"default\",\"weight\":30.0}],\"schedulingPolicy\":\"drf\"}],\"schedulablePropertiesList\":[{\"impalaMaxMemory\":null,\"impalaMaxQueuedQueries\":null,\"impalaMaxRunningQueries\":null,\"maxAMShare\":null,\"maxResources\":null,\"maxRunningApps\":null,\"minResources\":null,\"scheduleName\":\"default\",\"weight\":1.0}],\"schedulingPolicy\":\"drf\"}],\"userMaxAppsDefault\":null,\"users\":[]}"</w:t>
        <w:br w:type="textWrapping"/>
      </w:r>
      <w:r w:rsidDel="00000000" w:rsidR="00000000" w:rsidRPr="00000000">
        <w:rPr>
          <w:color w:val="0000ff"/>
          <w:sz w:val="16"/>
          <w:szCs w:val="16"/>
          <w:rtl w:val="0"/>
        </w:rPr>
        <w:t xml:space="preserve">  }   </w:t>
        <w:br w:type="textWrapping"/>
        <w:t xml:space="preserve">}</w:t>
      </w:r>
      <w:r w:rsidDel="00000000" w:rsidR="00000000" w:rsidRPr="00000000">
        <w:rPr>
          <w:sz w:val="16"/>
          <w:szCs w:val="16"/>
          <w:rtl w:val="0"/>
        </w:rPr>
        <w:br w:type="textWrapp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1.png"/><Relationship Id="rId9" Type="http://schemas.openxmlformats.org/officeDocument/2006/relationships/image" Target="media/image10.png"/><Relationship Id="rId5" Type="http://schemas.openxmlformats.org/officeDocument/2006/relationships/image" Target="media/image07.png"/><Relationship Id="rId6" Type="http://schemas.openxmlformats.org/officeDocument/2006/relationships/image" Target="media/image05.png"/><Relationship Id="rId7" Type="http://schemas.openxmlformats.org/officeDocument/2006/relationships/image" Target="media/image09.png"/><Relationship Id="rId8" Type="http://schemas.openxmlformats.org/officeDocument/2006/relationships/image" Target="media/image08.png"/></Relationships>
</file>