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</w:rPr>
        <w:t>FUNDAÇÃO EDSON QUEIROZ</w:t>
      </w:r>
    </w:p>
    <w:p>
      <w:pPr>
        <w:jc w:val="center"/>
      </w:pPr>
      <w:r>
        <w:rPr>
          <w:b/>
          <w:i w:val="0"/>
        </w:rPr>
        <w:t>UNIVERSIDADE DE FORTALEZA — UNIFOR</w:t>
      </w:r>
    </w:p>
    <w:p>
      <w:pPr>
        <w:jc w:val="center"/>
      </w:pPr>
      <w:r>
        <w:rPr>
          <w:b/>
          <w:i w:val="0"/>
        </w:rPr>
        <w:t>CENTRO DE CIÊNCIAS TECNOLÓGICAS</w:t>
      </w:r>
    </w:p>
    <w:p>
      <w:pPr>
        <w:jc w:val="center"/>
      </w:pPr>
      <w:r>
        <w:rPr>
          <w:b/>
          <w:i w:val="0"/>
        </w:rPr>
        <w:t>CURSO DE CIÊNCIA DA COMPUTAÇÃO</w:t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sz w:val="36"/>
        </w:rPr>
        <w:t>FLEET MANAGER</w:t>
      </w:r>
    </w:p>
    <w:p>
      <w:pPr>
        <w:jc w:val="center"/>
      </w:pPr>
      <w:r>
        <w:rPr>
          <w:b w:val="0"/>
          <w:i w:val="0"/>
          <w:sz w:val="28"/>
        </w:rPr>
        <w:t>Sistema de Gestão Inteligente de Frotas</w:t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  <w:t>André Luiz Cavalcante da Silva (2310287)</w:t>
      </w:r>
    </w:p>
    <w:p>
      <w:pPr>
        <w:jc w:val="center"/>
      </w:pPr>
      <w:r>
        <w:rPr>
          <w:b w:val="0"/>
          <w:i w:val="0"/>
        </w:rPr>
        <w:t>Luiz Eduardo Pacheco (2310314)</w:t>
      </w:r>
    </w:p>
    <w:p>
      <w:pPr>
        <w:jc w:val="center"/>
      </w:pPr>
      <w:r>
        <w:rPr>
          <w:b w:val="0"/>
          <w:i w:val="0"/>
        </w:rPr>
        <w:t>Gregory Figueiredo de M. P. Jereissati (2320425)</w:t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  <w:t>Fortaleza — CE</w:t>
      </w:r>
    </w:p>
    <w:p>
      <w:pPr>
        <w:jc w:val="center"/>
      </w:pPr>
      <w:r>
        <w:rPr>
          <w:b w:val="0"/>
          <w:i w:val="0"/>
        </w:rPr>
        <w:t>2026</w:t>
      </w:r>
    </w:p>
    <w:p>
      <w:r>
        <w:br w:type="page"/>
      </w:r>
    </w:p>
    <w:p>
      <w:pPr>
        <w:jc w:val="center"/>
      </w:pPr>
      <w:r>
        <w:rPr>
          <w:b w:val="0"/>
          <w:i w:val="0"/>
        </w:rPr>
        <w:t>André Luiz Cavalcante da Silva</w:t>
      </w:r>
    </w:p>
    <w:p>
      <w:pPr>
        <w:jc w:val="center"/>
      </w:pPr>
      <w:r>
        <w:rPr>
          <w:b w:val="0"/>
          <w:i w:val="0"/>
        </w:rPr>
        <w:t>Luiz Eduardo Pacheco</w:t>
      </w:r>
    </w:p>
    <w:p>
      <w:pPr>
        <w:jc w:val="center"/>
      </w:pPr>
      <w:r>
        <w:rPr>
          <w:b w:val="0"/>
          <w:i w:val="0"/>
        </w:rPr>
        <w:t>Gregory Figueiredo de M. P. Jereissati</w:t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sz w:val="32"/>
        </w:rPr>
        <w:t>FLEET MANAGER</w:t>
      </w:r>
    </w:p>
    <w:p>
      <w:pPr>
        <w:jc w:val="center"/>
      </w:pPr>
      <w:r>
        <w:rPr>
          <w:b w:val="0"/>
          <w:i w:val="0"/>
          <w:sz w:val="26"/>
        </w:rPr>
        <w:t>Sistema de Gestão Inteligente de Frotas</w:t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spacing w:line="240" w:lineRule="auto"/>
        <w:ind w:left="4535"/>
        <w:jc w:val="both"/>
      </w:pPr>
      <w:r>
        <w:rPr>
          <w:sz w:val="22"/>
        </w:rPr>
        <w:t>Trabalho apresentado ao Curso de Ciência da Computação do Centro de Ciências Tecnológicas da Universidade de Fortaleza, como requisito do Projeto Final Integrador I.</w:t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spacing w:line="240" w:lineRule="auto"/>
        <w:ind w:left="4535"/>
      </w:pPr>
      <w:r>
        <w:rPr>
          <w:sz w:val="22"/>
        </w:rPr>
        <w:t>Orientador: Prof. Me. Ronnison Reges Vidal</w:t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  <w:t>Fortaleza — CE</w:t>
      </w:r>
    </w:p>
    <w:p>
      <w:pPr>
        <w:jc w:val="center"/>
      </w:pPr>
      <w:r>
        <w:rPr>
          <w:b w:val="0"/>
          <w:i w:val="0"/>
        </w:rPr>
        <w:t>2026</w:t>
      </w:r>
    </w:p>
    <w:p>
      <w:r>
        <w:br w:type="page"/>
      </w:r>
    </w:p>
    <w:p>
      <w:pPr>
        <w:jc w:val="center"/>
      </w:pPr>
      <w:r>
        <w:rPr>
          <w:b/>
          <w:i w:val="0"/>
        </w:rPr>
        <w:t>RESUMO</w:t>
      </w:r>
    </w:p>
    <w:p>
      <w:pPr>
        <w:jc w:val="center"/>
      </w:pPr>
      <w:r>
        <w:rPr>
          <w:b w:val="0"/>
          <w:i w:val="0"/>
        </w:rPr>
      </w:r>
    </w:p>
    <w:p>
      <w:pPr>
        <w:spacing w:line="240" w:lineRule="auto"/>
        <w:jc w:val="both"/>
      </w:pPr>
      <w:r>
        <w:t>A gestão de frotas em organizações de pequeno e médio porte costuma ser conduzida de forma descentralizada, distribuída entre planilhas isoladas e controles manuais. A informação existe, porém fragmentada, e o acompanhamento de prazos é passivo: documentos vencem sem que ninguém seja avisado e o custo de cada veículo não é apurado. Este trabalho apresenta o Fleet Manager, aplicação web que centraliza o controle operacional, financeiro e documental de frotas em uma base de dados única, organizada em torno do veículo. O sistema foi construído em TypeScript no servidor e na interface, em um monorepo gerenciado por npm workspaces: a interface é uma Single Page Application em React com Vite, e a interface de programação de aplicações REST, em Node.js com Express, adota arquitetura em camadas com dependência unidirecional entre rotas, controladores, serviços e repositórios. A persistência ocorre em PostgreSQL gerenciado pelo Supabase, acessado exclusivamente por meio do mapeador objeto-relacional Prisma. A autenticação é delegada ao Supabase Auth, que emite tokens assinados com chave assimétrica pelo algoritmo ES256; a aplicação os verifica com a chave pública publicada pelo próprio serviço, sem armazenar segredo algum. O controle de acesso baseado em papéis permanece sob responsabilidade da aplicação, com papel e situação de aprovação persistidos fora do token, o que confere efeito imediato ao bloqueio de contas. A qualidade foi verificada por cem testes automatizados das regras de negócio. O sistema encontra-se publicado em ambiente de produção, com interface e servidor atendidos pelo mesmo domínio. Registra-se, como delimitação, que a validação empregou base de dados fictícia, não tendo o sistema sido aplicado em uma organização real.</w:t>
      </w:r>
    </w:p>
    <w:p>
      <w:pPr>
        <w:jc w:val="center"/>
      </w:pPr>
      <w:r>
        <w:rPr>
          <w:b w:val="0"/>
          <w:i w:val="0"/>
        </w:rPr>
      </w:r>
    </w:p>
    <w:p>
      <w:pPr>
        <w:spacing w:line="240" w:lineRule="auto"/>
      </w:pPr>
      <w:r>
        <w:rPr>
          <w:b/>
        </w:rPr>
        <w:t xml:space="preserve">Palavras-chave: </w:t>
      </w:r>
      <w:r>
        <w:t>Gestão de frotas; Arquitetura de software; Aplicações web; Controle de acesso baseado em papéis; Computação em nuvem.</w:t>
      </w:r>
    </w:p>
    <w:p>
      <w:r>
        <w:br w:type="page"/>
      </w:r>
    </w:p>
    <w:p>
      <w:pPr>
        <w:jc w:val="center"/>
      </w:pPr>
      <w:r>
        <w:rPr>
          <w:b/>
          <w:i w:val="0"/>
        </w:rPr>
        <w:t>LISTA DE ILUSTRAÇÕES</w:t>
      </w:r>
    </w:p>
    <w:p>
      <w:pPr>
        <w:jc w:val="center"/>
      </w:pPr>
      <w:r>
        <w:rPr>
          <w:b w:val="0"/>
          <w:i w:val="0"/>
        </w:rPr>
      </w:r>
    </w:p>
    <w:p>
      <w:pPr>
        <w:spacing w:line="360" w:lineRule="auto" w:after="0"/>
      </w:pPr>
      <w:r>
        <w:t>Figura 1 — Visão geral da solução</w:t>
      </w:r>
    </w:p>
    <w:p>
      <w:pPr>
        <w:spacing w:line="360" w:lineRule="auto" w:after="0"/>
      </w:pPr>
      <w:r>
        <w:t>Figura 2 — Casos de uso significativos para a arquitetura</w:t>
      </w:r>
    </w:p>
    <w:p>
      <w:pPr>
        <w:spacing w:line="360" w:lineRule="auto" w:after="0"/>
      </w:pPr>
      <w:r>
        <w:t>Figura 3 — Camadas da aplicação e sentido das dependências</w:t>
      </w:r>
    </w:p>
    <w:p>
      <w:pPr>
        <w:spacing w:line="360" w:lineRule="auto" w:after="0"/>
      </w:pPr>
      <w:r>
        <w:t>Figura 4 — Organização em pacotes do monorepo</w:t>
      </w:r>
    </w:p>
    <w:p>
      <w:pPr>
        <w:spacing w:line="360" w:lineRule="auto" w:after="0"/>
      </w:pPr>
      <w:r>
        <w:t>Figura 5 — Modelo entidade-relacionamento</w:t>
      </w:r>
    </w:p>
    <w:p>
      <w:pPr>
        <w:spacing w:line="360" w:lineRule="auto" w:after="0"/>
      </w:pPr>
      <w:r>
        <w:t>Figura 6 — Autenticação e acesso a recurso protegido</w:t>
      </w:r>
    </w:p>
    <w:p>
      <w:pPr>
        <w:spacing w:line="360" w:lineRule="auto" w:after="0"/>
      </w:pPr>
      <w:r>
        <w:t>Figura 7 — Anexo de arquivo ao documento</w:t>
      </w:r>
    </w:p>
    <w:p>
      <w:pPr>
        <w:spacing w:line="360" w:lineRule="auto" w:after="0"/>
      </w:pPr>
      <w:r>
        <w:t>Figura 8 — Diagrama de implantação</w:t>
      </w:r>
    </w:p>
    <w:p>
      <w:pPr>
        <w:spacing w:line="360" w:lineRule="auto" w:after="0"/>
      </w:pPr>
      <w:r>
        <w:t>Figura 9 — Ciclo de vida da conta de usuário</w:t>
      </w:r>
    </w:p>
    <w:p>
      <w:r>
        <w:br w:type="page"/>
      </w:r>
    </w:p>
    <w:p>
      <w:pPr>
        <w:jc w:val="center"/>
      </w:pPr>
      <w:r>
        <w:rPr>
          <w:b/>
          <w:i w:val="0"/>
        </w:rPr>
        <w:t>LISTA DE TABELAS</w:t>
      </w:r>
    </w:p>
    <w:p>
      <w:pPr>
        <w:jc w:val="center"/>
      </w:pPr>
      <w:r>
        <w:rPr>
          <w:b w:val="0"/>
          <w:i w:val="0"/>
        </w:rPr>
      </w:r>
    </w:p>
    <w:p>
      <w:pPr>
        <w:spacing w:line="360" w:lineRule="auto" w:after="0"/>
      </w:pPr>
      <w:r>
        <w:t>Tabela 1 — Tecnologias adotadas por camada</w:t>
      </w:r>
    </w:p>
    <w:p>
      <w:pPr>
        <w:spacing w:line="360" w:lineRule="auto" w:after="0"/>
      </w:pPr>
      <w:r>
        <w:t>Tabela 2 — Requisitos e restrições arquiteturais</w:t>
      </w:r>
    </w:p>
    <w:p>
      <w:pPr>
        <w:spacing w:line="360" w:lineRule="auto" w:after="0"/>
      </w:pPr>
      <w:r>
        <w:t>Tabela 3 — Requisitos funcionais e situação de atendimento</w:t>
      </w:r>
    </w:p>
    <w:p>
      <w:pPr>
        <w:spacing w:line="360" w:lineRule="auto" w:after="0"/>
      </w:pPr>
      <w:r>
        <w:t>Tabela 4 — Requisitos não funcionais e situação de atendimento</w:t>
      </w:r>
    </w:p>
    <w:p>
      <w:pPr>
        <w:spacing w:line="360" w:lineRule="auto" w:after="0"/>
      </w:pPr>
      <w:r>
        <w:t>Tabela 5 — Regras de negócio implementadas</w:t>
      </w:r>
    </w:p>
    <w:p>
      <w:pPr>
        <w:spacing w:line="360" w:lineRule="auto" w:after="0"/>
      </w:pPr>
      <w:r>
        <w:t>Tabela 6 — Matriz de controle de acesso por papel</w:t>
      </w:r>
    </w:p>
    <w:p>
      <w:pPr>
        <w:spacing w:line="360" w:lineRule="auto" w:after="0"/>
      </w:pPr>
      <w:r>
        <w:t>Tabela 7 — Entidades do modelo de dados</w:t>
      </w:r>
    </w:p>
    <w:p>
      <w:pPr>
        <w:spacing w:line="360" w:lineRule="auto" w:after="0"/>
      </w:pPr>
      <w:r>
        <w:t>Tabela 8 — Verificações executadas sobre o código</w:t>
      </w:r>
    </w:p>
    <w:p>
      <w:pPr>
        <w:spacing w:line="360" w:lineRule="auto" w:after="0"/>
      </w:pPr>
      <w:r>
        <w:t>Tabela 9 — Cronograma resumido</w:t>
      </w:r>
    </w:p>
    <w:p>
      <w:pPr>
        <w:spacing w:line="360" w:lineRule="auto" w:after="0"/>
      </w:pPr>
      <w:r>
        <w:t>Tabela 10 — Partes interessadas do projeto</w:t>
      </w:r>
    </w:p>
    <w:p>
      <w:r>
        <w:br w:type="page"/>
      </w:r>
    </w:p>
    <w:p>
      <w:pPr>
        <w:jc w:val="center"/>
      </w:pPr>
      <w:r>
        <w:rPr>
          <w:b/>
          <w:i w:val="0"/>
        </w:rPr>
        <w:t>LISTA DE ABREVIATURAS E SIGLAS</w:t>
      </w:r>
    </w:p>
    <w:p>
      <w:pPr>
        <w:jc w:val="center"/>
      </w:pPr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API</w:t>
            </w:r>
          </w:p>
        </w:tc>
        <w:tc>
          <w:tcPr>
            <w:tcW w:type="dxa" w:w="7370"/>
          </w:tcPr>
          <w:p>
            <w:pPr>
              <w:spacing w:line="240" w:lineRule="auto"/>
            </w:pPr>
            <w:r/>
            <w:r>
              <w:rPr>
                <w:b w:val="0"/>
                <w:sz w:val="22"/>
              </w:rPr>
              <w:t>Application Programming Interface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CNH</w:t>
            </w:r>
          </w:p>
        </w:tc>
        <w:tc>
          <w:tcPr>
            <w:tcW w:type="dxa" w:w="7370"/>
          </w:tcPr>
          <w:p>
            <w:pPr>
              <w:spacing w:line="240" w:lineRule="auto"/>
            </w:pPr>
            <w:r/>
            <w:r>
              <w:rPr>
                <w:b w:val="0"/>
                <w:sz w:val="22"/>
              </w:rPr>
              <w:t>Carteira Nacional de Habilitação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CRLV</w:t>
            </w:r>
          </w:p>
        </w:tc>
        <w:tc>
          <w:tcPr>
            <w:tcW w:type="dxa" w:w="7370"/>
          </w:tcPr>
          <w:p>
            <w:pPr>
              <w:spacing w:line="240" w:lineRule="auto"/>
            </w:pPr>
            <w:r/>
            <w:r>
              <w:rPr>
                <w:b w:val="0"/>
                <w:sz w:val="22"/>
              </w:rPr>
              <w:t>Certificado de Registro e Licenciamento de Veículo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CRUD</w:t>
            </w:r>
          </w:p>
        </w:tc>
        <w:tc>
          <w:tcPr>
            <w:tcW w:type="dxa" w:w="7370"/>
          </w:tcPr>
          <w:p>
            <w:pPr>
              <w:spacing w:line="240" w:lineRule="auto"/>
            </w:pPr>
            <w:r/>
            <w:r>
              <w:rPr>
                <w:b w:val="0"/>
                <w:sz w:val="22"/>
              </w:rPr>
              <w:t>Create, Read, Update, Delete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DTO</w:t>
            </w:r>
          </w:p>
        </w:tc>
        <w:tc>
          <w:tcPr>
            <w:tcW w:type="dxa" w:w="7370"/>
          </w:tcPr>
          <w:p>
            <w:pPr>
              <w:spacing w:line="240" w:lineRule="auto"/>
            </w:pPr>
            <w:r/>
            <w:r>
              <w:rPr>
                <w:b w:val="0"/>
                <w:sz w:val="22"/>
              </w:rPr>
              <w:t>Data Transfer Object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ES256</w:t>
            </w:r>
          </w:p>
        </w:tc>
        <w:tc>
          <w:tcPr>
            <w:tcW w:type="dxa" w:w="7370"/>
          </w:tcPr>
          <w:p>
            <w:pPr>
              <w:spacing w:line="240" w:lineRule="auto"/>
            </w:pPr>
            <w:r/>
            <w:r>
              <w:rPr>
                <w:b w:val="0"/>
                <w:sz w:val="22"/>
              </w:rPr>
              <w:t>ECDSA sobre a curva P-256 com SHA-256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HTTP</w:t>
            </w:r>
          </w:p>
        </w:tc>
        <w:tc>
          <w:tcPr>
            <w:tcW w:type="dxa" w:w="7370"/>
          </w:tcPr>
          <w:p>
            <w:pPr>
              <w:spacing w:line="240" w:lineRule="auto"/>
            </w:pPr>
            <w:r/>
            <w:r>
              <w:rPr>
                <w:b w:val="0"/>
                <w:sz w:val="22"/>
              </w:rPr>
              <w:t>HyperText Transfer Protocol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IPVA</w:t>
            </w:r>
          </w:p>
        </w:tc>
        <w:tc>
          <w:tcPr>
            <w:tcW w:type="dxa" w:w="7370"/>
          </w:tcPr>
          <w:p>
            <w:pPr>
              <w:spacing w:line="240" w:lineRule="auto"/>
            </w:pPr>
            <w:r/>
            <w:r>
              <w:rPr>
                <w:b w:val="0"/>
                <w:sz w:val="22"/>
              </w:rPr>
              <w:t>Imposto sobre a Propriedade de Veículos Automotores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JWKS</w:t>
            </w:r>
          </w:p>
        </w:tc>
        <w:tc>
          <w:tcPr>
            <w:tcW w:type="dxa" w:w="7370"/>
          </w:tcPr>
          <w:p>
            <w:pPr>
              <w:spacing w:line="240" w:lineRule="auto"/>
            </w:pPr>
            <w:r/>
            <w:r>
              <w:rPr>
                <w:b w:val="0"/>
                <w:sz w:val="22"/>
              </w:rPr>
              <w:t>JSON Web Key Set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JWT</w:t>
            </w:r>
          </w:p>
        </w:tc>
        <w:tc>
          <w:tcPr>
            <w:tcW w:type="dxa" w:w="7370"/>
          </w:tcPr>
          <w:p>
            <w:pPr>
              <w:spacing w:line="240" w:lineRule="auto"/>
            </w:pPr>
            <w:r/>
            <w:r>
              <w:rPr>
                <w:b w:val="0"/>
                <w:sz w:val="22"/>
              </w:rPr>
              <w:t>JSON Web Token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MVP</w:t>
            </w:r>
          </w:p>
        </w:tc>
        <w:tc>
          <w:tcPr>
            <w:tcW w:type="dxa" w:w="7370"/>
          </w:tcPr>
          <w:p>
            <w:pPr>
              <w:spacing w:line="240" w:lineRule="auto"/>
            </w:pPr>
            <w:r/>
            <w:r>
              <w:rPr>
                <w:b w:val="0"/>
                <w:sz w:val="22"/>
              </w:rPr>
              <w:t>Minimum Viable Product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ORM</w:t>
            </w:r>
          </w:p>
        </w:tc>
        <w:tc>
          <w:tcPr>
            <w:tcW w:type="dxa" w:w="7370"/>
          </w:tcPr>
          <w:p>
            <w:pPr>
              <w:spacing w:line="240" w:lineRule="auto"/>
            </w:pPr>
            <w:r/>
            <w:r>
              <w:rPr>
                <w:b w:val="0"/>
                <w:sz w:val="22"/>
              </w:rPr>
              <w:t>Object-Relational Mapping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RBAC</w:t>
            </w:r>
          </w:p>
        </w:tc>
        <w:tc>
          <w:tcPr>
            <w:tcW w:type="dxa" w:w="7370"/>
          </w:tcPr>
          <w:p>
            <w:pPr>
              <w:spacing w:line="240" w:lineRule="auto"/>
            </w:pPr>
            <w:r/>
            <w:r>
              <w:rPr>
                <w:b w:val="0"/>
                <w:sz w:val="22"/>
              </w:rPr>
              <w:t>Role-Based Access Control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REST</w:t>
            </w:r>
          </w:p>
        </w:tc>
        <w:tc>
          <w:tcPr>
            <w:tcW w:type="dxa" w:w="7370"/>
          </w:tcPr>
          <w:p>
            <w:pPr>
              <w:spacing w:line="240" w:lineRule="auto"/>
            </w:pPr>
            <w:r/>
            <w:r>
              <w:rPr>
                <w:b w:val="0"/>
                <w:sz w:val="22"/>
              </w:rPr>
              <w:t>Representational State Transfer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RF</w:t>
            </w:r>
          </w:p>
        </w:tc>
        <w:tc>
          <w:tcPr>
            <w:tcW w:type="dxa" w:w="7370"/>
          </w:tcPr>
          <w:p>
            <w:pPr>
              <w:spacing w:line="240" w:lineRule="auto"/>
            </w:pPr>
            <w:r/>
            <w:r>
              <w:rPr>
                <w:b w:val="0"/>
                <w:sz w:val="22"/>
              </w:rPr>
              <w:t>Requisito Funcional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RLS</w:t>
            </w:r>
          </w:p>
        </w:tc>
        <w:tc>
          <w:tcPr>
            <w:tcW w:type="dxa" w:w="7370"/>
          </w:tcPr>
          <w:p>
            <w:pPr>
              <w:spacing w:line="240" w:lineRule="auto"/>
            </w:pPr>
            <w:r/>
            <w:r>
              <w:rPr>
                <w:b w:val="0"/>
                <w:sz w:val="22"/>
              </w:rPr>
              <w:t>Row Level Security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RN</w:t>
            </w:r>
          </w:p>
        </w:tc>
        <w:tc>
          <w:tcPr>
            <w:tcW w:type="dxa" w:w="7370"/>
          </w:tcPr>
          <w:p>
            <w:pPr>
              <w:spacing w:line="240" w:lineRule="auto"/>
            </w:pPr>
            <w:r/>
            <w:r>
              <w:rPr>
                <w:b w:val="0"/>
                <w:sz w:val="22"/>
              </w:rPr>
              <w:t>Regra de Negócio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RNF</w:t>
            </w:r>
          </w:p>
        </w:tc>
        <w:tc>
          <w:tcPr>
            <w:tcW w:type="dxa" w:w="7370"/>
          </w:tcPr>
          <w:p>
            <w:pPr>
              <w:spacing w:line="240" w:lineRule="auto"/>
            </w:pPr>
            <w:r/>
            <w:r>
              <w:rPr>
                <w:b w:val="0"/>
                <w:sz w:val="22"/>
              </w:rPr>
              <w:t>Requisito Não Funcional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SPA</w:t>
            </w:r>
          </w:p>
        </w:tc>
        <w:tc>
          <w:tcPr>
            <w:tcW w:type="dxa" w:w="7370"/>
          </w:tcPr>
          <w:p>
            <w:pPr>
              <w:spacing w:line="240" w:lineRule="auto"/>
            </w:pPr>
            <w:r/>
            <w:r>
              <w:rPr>
                <w:b w:val="0"/>
                <w:sz w:val="22"/>
              </w:rPr>
              <w:t>Single Page Application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SQL</w:t>
            </w:r>
          </w:p>
        </w:tc>
        <w:tc>
          <w:tcPr>
            <w:tcW w:type="dxa" w:w="7370"/>
          </w:tcPr>
          <w:p>
            <w:pPr>
              <w:spacing w:line="240" w:lineRule="auto"/>
            </w:pPr>
            <w:r/>
            <w:r>
              <w:rPr>
                <w:b w:val="0"/>
                <w:sz w:val="22"/>
              </w:rPr>
              <w:t>Structured Query Language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TLS</w:t>
            </w:r>
          </w:p>
        </w:tc>
        <w:tc>
          <w:tcPr>
            <w:tcW w:type="dxa" w:w="7370"/>
          </w:tcPr>
          <w:p>
            <w:pPr>
              <w:spacing w:line="240" w:lineRule="auto"/>
            </w:pPr>
            <w:r/>
            <w:r>
              <w:rPr>
                <w:b w:val="0"/>
                <w:sz w:val="22"/>
              </w:rPr>
              <w:t>Transport Layer Security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UML</w:t>
            </w:r>
          </w:p>
        </w:tc>
        <w:tc>
          <w:tcPr>
            <w:tcW w:type="dxa" w:w="7370"/>
          </w:tcPr>
          <w:p>
            <w:pPr>
              <w:spacing w:line="240" w:lineRule="auto"/>
            </w:pPr>
            <w:r/>
            <w:r>
              <w:rPr>
                <w:b w:val="0"/>
                <w:sz w:val="22"/>
              </w:rPr>
              <w:t>Unified Modeling Language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i w:val="0"/>
        </w:rPr>
        <w:t>SUMÁRIO</w:t>
      </w:r>
    </w:p>
    <w:p>
      <w:pPr>
        <w:jc w:val="center"/>
      </w:pPr>
      <w:r>
        <w:rPr>
          <w:b w:val="0"/>
          <w:i w:val="0"/>
        </w:rPr>
      </w:r>
    </w:p>
    <w:p>
      <w:fldSimple w:instr="TOC \o &quot;1-3&quot; \h \z \u">
        <w:r>
          <w:t>Para exibir o sumário: clique com o botão direito aqui e escolha "Atualizar campo".</w:t>
        </w:r>
      </w:fldSimple>
    </w:p>
    <w:p>
      <w:r>
        <w:br w:type="page"/>
      </w:r>
    </w:p>
    <w:p>
      <w:pPr>
        <w:pStyle w:val="Heading1"/>
      </w:pPr>
      <w:r>
        <w:t>1 INTRODUÇÃO</w:t>
      </w:r>
    </w:p>
    <w:p>
      <w:pPr>
        <w:ind w:firstLine="709"/>
      </w:pPr>
      <w:r>
        <w:rPr>
          <w:b w:val="0"/>
          <w:i w:val="0"/>
        </w:rPr>
        <w:t>A gestão de frotas é atividade estratégica para organizações que dependem do uso contínuo de veículos em suas operações. Ela envolve simultaneamente três dimensões distintas e interdependentes: a operacional, que trata de quais veículos existem, em que estado se encontram e quais manutenções foram realizadas ou estão previstas; a financeira, que apura quanto cada veículo consome em combustível, peças, serviços, multas, tributos e seguros; e a documental, que acompanha os documentos obrigatórios de veículos e condutores e suas respectivas datas de vencimento.</w:t>
      </w:r>
    </w:p>
    <w:p>
      <w:pPr>
        <w:ind w:firstLine="709"/>
      </w:pPr>
      <w:r>
        <w:rPr>
          <w:b w:val="0"/>
          <w:i w:val="0"/>
        </w:rPr>
        <w:t>Essas três dimensões descrevem o mesmo ativo — o veículo — mas, na prática das organizações, costumam ser administradas por pessoas diferentes, em ferramentas diferentes e em momentos diferentes. O setor financeiro registra as despesas em uma planilha; o responsável pela operação anota as manutenções em outro lugar; a documentação permanece arquivada sem qualquer mecanismo de acompanhamento de prazos. O resultado é uma operação em que nenhum ponto isolado da organização enxerga o veículo por inteiro.</w:t>
      </w:r>
    </w:p>
    <w:p>
      <w:pPr>
        <w:ind w:firstLine="709"/>
      </w:pPr>
      <w:r>
        <w:rPr>
          <w:b w:val="0"/>
          <w:i w:val="0"/>
        </w:rPr>
        <w:t>Convém observar que o problema não reside na ausência de informação: os dados normalmente existem. Ele decorre da fragmentação dessa informação e da ausência de um mecanismo ativo de acompanhamento de prazos. Uma planilha registra que um documento vence em determinada data, porém não avisa ninguém quando essa data se aproxima, e o vencimento só é percebido quando já produziu consequência.</w:t>
      </w:r>
    </w:p>
    <w:p>
      <w:pPr>
        <w:ind w:firstLine="709"/>
      </w:pPr>
      <w:r>
        <w:rPr>
          <w:b w:val="0"/>
          <w:i w:val="0"/>
        </w:rPr>
        <w:t>Nesse contexto, o Fleet Manager é proposto como aplicação web voltada à centralização das informações operacionais, financeiras e documentais de veículos em uma base de dados relacional única. O presente documento descreve o sistema tal como foi efetivamente construído: cada afirmação técnica aqui registrada corresponde a código verificado no repositório do projeto.</w:t>
      </w:r>
    </w:p>
    <w:p>
      <w:pPr>
        <w:pStyle w:val="Heading2"/>
      </w:pPr>
      <w:r>
        <w:t>1.1 Justificativa</w:t>
      </w:r>
    </w:p>
    <w:p>
      <w:pPr>
        <w:ind w:firstLine="709"/>
      </w:pPr>
      <w:r>
        <w:rPr>
          <w:b w:val="0"/>
          <w:i w:val="0"/>
        </w:rPr>
        <w:t>Este trabalho justifica-se pela necessidade de reduzir os problemas decorrentes da gestão de frotas conduzida de maneira manual ou descentralizada. O uso de planilhas isoladas dificulta o acompanhamento preciso de despesas, manutenções e vencimentos, o que compromete a eficiência operacional e amplia riscos financeiros e legais.</w:t>
      </w:r>
    </w:p>
    <w:p>
      <w:pPr>
        <w:ind w:firstLine="709"/>
      </w:pPr>
      <w:r>
        <w:rPr>
          <w:b w:val="0"/>
          <w:i w:val="0"/>
        </w:rPr>
        <w:t>A relevância do problema manifesta-se em consequências concretas: multas por documentação vencida, decorrentes do controle passivo de prazos; substituição da manutenção preventiva pela corretiva, mais onerosa e associada à indisponibilidade do veículo; e custo operacional que permanece invisível, por não ser apurado por ativo. O projeto mostra-se pertinente do ponto de vista acadêmico, por exercitar arquitetura de software, modelagem de dados e segurança de aplicações, e do ponto de vista prático, por endereçar necessidade real de organizações de pequeno e médio porte.</w:t>
      </w:r>
    </w:p>
    <w:p>
      <w:pPr>
        <w:pStyle w:val="Heading2"/>
      </w:pPr>
      <w:r>
        <w:t>1.2 Objetivo geral</w:t>
      </w:r>
    </w:p>
    <w:p>
      <w:pPr>
        <w:ind w:firstLine="709"/>
      </w:pPr>
      <w:r>
        <w:rPr>
          <w:b w:val="0"/>
          <w:i w:val="0"/>
        </w:rPr>
        <w:t>Desenvolver um sistema web para gestão inteligente de frotas, com foco no controle operacional, financeiro e documental de veículos, promovendo maior previsibilidade de custos, redução de riscos legais e suporte à tomada de decisão estratégica.</w:t>
      </w:r>
    </w:p>
    <w:p>
      <w:pPr>
        <w:pStyle w:val="Heading2"/>
      </w:pPr>
      <w:r>
        <w:t>1.3 Objetivos específicos</w:t>
      </w:r>
    </w:p>
    <w:p>
      <w:pPr>
        <w:pStyle w:val="ListBullet"/>
        <w:spacing w:line="360" w:lineRule="auto" w:after="0"/>
        <w:jc w:val="both"/>
      </w:pPr>
      <w:r>
        <w:t>Desenvolver funcionalidades de cadastro, edição e gerenciamento de veículos, motoristas e usuários do sistema, incluindo o vínculo entre motoristas e veículos.</w:t>
      </w:r>
    </w:p>
    <w:p>
      <w:pPr>
        <w:pStyle w:val="ListBullet"/>
        <w:spacing w:line="360" w:lineRule="auto" w:after="0"/>
        <w:jc w:val="both"/>
      </w:pPr>
      <w:r>
        <w:t>Permitir o registro de despesas obrigatoriamente vinculadas a um veículo, contemplando as categorias combustível, manutenção, multa, IPVA, seguro e outras.</w:t>
      </w:r>
    </w:p>
    <w:p>
      <w:pPr>
        <w:pStyle w:val="ListBullet"/>
        <w:spacing w:line="360" w:lineRule="auto" w:after="0"/>
        <w:jc w:val="both"/>
      </w:pPr>
      <w:r>
        <w:t>Implementar o controle de manutenções preventivas e corretivas, com acompanhamento dos estados programada, realizada e atrasada.</w:t>
      </w:r>
    </w:p>
    <w:p>
      <w:pPr>
        <w:pStyle w:val="ListBullet"/>
        <w:spacing w:line="360" w:lineRule="auto" w:after="0"/>
        <w:jc w:val="both"/>
      </w:pPr>
      <w:r>
        <w:t>Registrar documentos obrigatórios de veículos e motoristas, com data de vencimento, classificação automática da situação e anexo do arquivo digital correspondente.</w:t>
      </w:r>
    </w:p>
    <w:p>
      <w:pPr>
        <w:pStyle w:val="ListBullet"/>
        <w:spacing w:line="360" w:lineRule="auto" w:after="0"/>
        <w:jc w:val="both"/>
      </w:pPr>
      <w:r>
        <w:t>Disponibilizar painel de indicadores que apresente custo total, custo médio, custo por veículo, evolução mensal das despesas e distribuição por categoria.</w:t>
      </w:r>
    </w:p>
    <w:p>
      <w:pPr>
        <w:pStyle w:val="ListBullet"/>
        <w:spacing w:line="360" w:lineRule="auto" w:after="0"/>
        <w:jc w:val="both"/>
      </w:pPr>
      <w:r>
        <w:t>Implementar autenticação de usuários e controle de acesso baseado em papéis, assegurando segregação de responsabilidades no uso do sistema.</w:t>
      </w:r>
    </w:p>
    <w:p>
      <w:pPr>
        <w:pStyle w:val="ListBullet"/>
        <w:spacing w:line="360" w:lineRule="auto" w:after="0"/>
        <w:jc w:val="both"/>
      </w:pPr>
      <w:r>
        <w:t>Verificar a qualidade do software por meio de testes automatizados das regras de negócio.</w:t>
      </w:r>
    </w:p>
    <w:p>
      <w:pPr>
        <w:pStyle w:val="Heading2"/>
      </w:pPr>
      <w:r>
        <w:t>1.4 Estrutura do trabalho</w:t>
      </w:r>
    </w:p>
    <w:p>
      <w:pPr>
        <w:ind w:firstLine="709"/>
      </w:pPr>
      <w:r>
        <w:rPr>
          <w:b w:val="0"/>
          <w:i w:val="0"/>
        </w:rPr>
        <w:t>O capítulo 2 apresenta a fundamentação teórica que embasa as decisões adotadas. O capítulo 3 descreve a metodologia de desenvolvimento. O capítulo 4 detalha a construção do sistema, incluindo arquitetura, modelo de dados, segurança e publicação. O capítulo 5 expõe os resultados obtidos e discute as limitações identificadas. O capítulo 6 conclui o trabalho. Os anexos reúnem o termo de abertura do projeto e o documento de arquitetura de software.</w:t>
      </w:r>
    </w:p>
    <w:p>
      <w:r>
        <w:br w:type="page"/>
      </w:r>
    </w:p>
    <w:p>
      <w:pPr>
        <w:pStyle w:val="Heading1"/>
      </w:pPr>
      <w:r>
        <w:t>2 FUNDAMENTAÇÃO TEÓRICA</w:t>
      </w:r>
    </w:p>
    <w:p>
      <w:pPr>
        <w:ind w:firstLine="709"/>
      </w:pPr>
      <w:r>
        <w:rPr>
          <w:b w:val="0"/>
          <w:i w:val="0"/>
        </w:rPr>
        <w:t>Este capítulo apresenta os fundamentos que embasam o desenvolvimento do Fleet Manager, abordando os conceitos de gestão de frotas, as tecnologias adotadas e os padrões de software empregados na construção do sistema.</w:t>
      </w:r>
    </w:p>
    <w:p>
      <w:pPr>
        <w:pStyle w:val="Heading2"/>
      </w:pPr>
      <w:r>
        <w:t>2.1 Gestão de frotas</w:t>
      </w:r>
    </w:p>
    <w:p>
      <w:pPr>
        <w:ind w:firstLine="709"/>
      </w:pPr>
      <w:r>
        <w:rPr>
          <w:b w:val="0"/>
          <w:i w:val="0"/>
        </w:rPr>
        <w:t>A gestão de frotas compreende o conjunto de atividades voltadas ao planejamento, à organização, ao controle e ao monitoramento dos veículos utilizados por uma organização. O processo envolve o acompanhamento de custos operacionais, a manutenção preventiva e corretiva, o gerenciamento da documentação obrigatória e o monitoramento do desempenho dos condutores. Quando realizada de forma manual ou por meio de planilhas isoladas, essa gestão está sujeita a erros humanos, inconsistências e dificuldades no acompanhamento histórico (FLEURY; WANKE; FIGUEIREDO, 2000).</w:t>
      </w:r>
    </w:p>
    <w:p>
      <w:pPr>
        <w:ind w:firstLine="709"/>
      </w:pPr>
      <w:r>
        <w:rPr>
          <w:b w:val="0"/>
          <w:i w:val="0"/>
        </w:rPr>
        <w:t>Sistemas informatizados superam tais limitações ao centralizar as informações e automatizar processos críticos, como a classificação de vencimentos, o cálculo de indicadores financeiros e o controle do estado das manutenções. A informatização reduz o risco de sanções por documentação irregular, melhora a previsibilidade orçamentária e apoia a decisão estratégica.</w:t>
      </w:r>
    </w:p>
    <w:p>
      <w:pPr>
        <w:pStyle w:val="Heading2"/>
      </w:pPr>
      <w:r>
        <w:t>2.2 Aplicações web e arquitetura cliente-servidor</w:t>
      </w:r>
    </w:p>
    <w:p>
      <w:pPr>
        <w:ind w:firstLine="709"/>
      </w:pPr>
      <w:r>
        <w:rPr>
          <w:b w:val="0"/>
          <w:i w:val="0"/>
        </w:rPr>
        <w:t>Sistemas de informação baseados na web são acessados por navegadores e fundamentam-se na arquitetura cliente-servidor, na qual o cliente responde pela interface com o usuário e o servidor pelo processamento das requisições e pela gestão dos dados. Segundo Sommerville (2011), esses sistemas permitem acesso ubíquo e facilitam a manutenção centralizada do software, o que os torna escolha natural para aplicações corporativas.</w:t>
      </w:r>
    </w:p>
    <w:p>
      <w:pPr>
        <w:ind w:firstLine="709"/>
      </w:pPr>
      <w:r>
        <w:rPr>
          <w:b w:val="0"/>
          <w:i w:val="0"/>
        </w:rPr>
        <w:t>Categoria relevante de aplicação web é a Single Page Application, que carrega uma única página e atualiza o conteúdo dinamicamente, sem recarregamento integral. A interface do Fleet Manager adota a biblioteca React em conjunto com a linguagem TypeScript, cuja tipagem estática antecipa para o tempo de compilação erros que, de outro modo, só se manifestariam em execução. A construção emprega o Vite e a estilização utiliza o framework utilitário Tailwind CSS. O sistema oferece internacionalização em português brasileiro e inglês por meio da biblioteca i18next.</w:t>
      </w:r>
    </w:p>
    <w:p>
      <w:pPr>
        <w:pStyle w:val="Heading2"/>
      </w:pPr>
      <w:r>
        <w:t>2.3 Arquitetura REST e interface de programação</w:t>
      </w:r>
    </w:p>
    <w:p>
      <w:pPr>
        <w:ind w:firstLine="709"/>
      </w:pPr>
      <w:r>
        <w:rPr>
          <w:b w:val="0"/>
          <w:i w:val="0"/>
        </w:rPr>
        <w:t>REST é um estilo arquitetural para sistemas distribuídos proposto por Fielding (2000), que emprega o protocolo HTTP e seus métodos para operar sobre recursos identificados por localizadores uniformes. Uma interface RESTful promove a separação de responsabilidades entre a camada de apresentação e a de serviço, viabilizando o desenvolvimento independente de cada uma.</w:t>
      </w:r>
    </w:p>
    <w:p>
      <w:pPr>
        <w:ind w:firstLine="709"/>
      </w:pPr>
      <w:r>
        <w:rPr>
          <w:b w:val="0"/>
          <w:i w:val="0"/>
        </w:rPr>
        <w:t>No Fleet Manager, a interface de programação é construída em Node.js com o framework Express e organizada em camadas — rotas, middlewares, controladores, serviços e repositórios — com dependência unidirecional. Essa separação não é ornamental: por não conhecerem o protocolo HTTP, os serviços podem ser exercitados por testes automatizados sem que seja necessário iniciar servidor ou banco de dados, o que viabiliza a verificação descrita na seção 5.2.</w:t>
      </w:r>
    </w:p>
    <w:p>
      <w:pPr>
        <w:pStyle w:val="Heading2"/>
      </w:pPr>
      <w:r>
        <w:t>2.4 Banco de dados relacional e mapeamento objeto-relacional</w:t>
      </w:r>
    </w:p>
    <w:p>
      <w:pPr>
        <w:ind w:firstLine="709"/>
      </w:pPr>
      <w:r>
        <w:rPr>
          <w:b w:val="0"/>
          <w:i w:val="0"/>
        </w:rPr>
        <w:t>O PostgreSQL é sistema gerenciador de banco de dados relacional de código aberto, reconhecido pela robustez, pela conformidade com o padrão SQL e pelo suporte a transações com garantias de atomicidade, consistência, isolamento e durabilidade. Tais características asseguram a integridade referencial em cenários com múltiplas entidades relacionadas, como veículos, motoristas, despesas e documentos.</w:t>
      </w:r>
    </w:p>
    <w:p>
      <w:pPr>
        <w:ind w:firstLine="709"/>
      </w:pPr>
      <w:r>
        <w:rPr>
          <w:b w:val="0"/>
          <w:i w:val="0"/>
        </w:rPr>
        <w:t>O Prisma é ferramenta de mapeamento objeto-relacional para TypeScript que gera cliente fortemente tipado a partir de um esquema declarativo. Isso reduz erros em tempo de execução e dispensa a escrita manual de SQL nas operações rotineiras. No projeto, o banco é hospedado no Supabase, plataforma que provê PostgreSQL gerenciado, e o Prisma constitui a única via de acesso aos dados a partir da aplicação.</w:t>
      </w:r>
    </w:p>
    <w:p>
      <w:pPr>
        <w:pStyle w:val="Heading2"/>
      </w:pPr>
      <w:r>
        <w:t>2.5 Autenticação delegada e controle de acesso</w:t>
      </w:r>
    </w:p>
    <w:p>
      <w:pPr>
        <w:ind w:firstLine="709"/>
      </w:pPr>
      <w:r>
        <w:rPr>
          <w:b w:val="0"/>
          <w:i w:val="0"/>
        </w:rPr>
        <w:t>A autenticação verifica a identidade de um usuário, ao passo que a autorização determina quais recursos esse usuário pode acessar. São responsabilidades distintas, e o Fleet Manager as atribui a agentes distintos.</w:t>
      </w:r>
    </w:p>
    <w:p>
      <w:pPr>
        <w:ind w:firstLine="709"/>
      </w:pPr>
      <w:r>
        <w:rPr>
          <w:b w:val="0"/>
          <w:i w:val="0"/>
        </w:rPr>
        <w:t>A autenticação é delegada ao Supabase Auth. As credenciais deixam de ser responsabilidade da aplicação, que não armazena senha alguma. O serviço emite tokens no padrão JSON Web Token (JONES et al., 2015), assinados com chave assimétrica pelo algoritmo ES256. A aplicação verifica cada token utilizando a chave pública publicada pelo próprio serviço em endpoint JWKS, conferindo assinatura, emissor e público. Decorre desse desenho uma propriedade relevante: a aplicação não guarda nenhum segredo do serviço de identidade, de modo que não há chave compartilhada a proteger ou rotacionar.</w:t>
      </w:r>
    </w:p>
    <w:p>
      <w:pPr>
        <w:ind w:firstLine="709"/>
      </w:pPr>
      <w:r>
        <w:rPr>
          <w:b w:val="0"/>
          <w:i w:val="0"/>
        </w:rPr>
        <w:t>A autorização, por sua vez, permanece sob controle da aplicação e segue o modelo de controle de acesso baseado em papéis. Sandhu et al. (1996) definem o RBAC como mecanismo eficaz para a administração de permissões em sistemas corporativos, por associar permissões a papéis e usuários a papéis, reduzindo a complexidade da administração de segurança. O sistema adota três papéis: administrador, com acesso irrestrito; gestor, responsável pela administração da frota; e operador, com permissões restritas ao registro da rotina operacional.</w:t>
      </w:r>
    </w:p>
    <w:p>
      <w:pPr>
        <w:ind w:firstLine="709"/>
      </w:pPr>
      <w:r>
        <w:rPr>
          <w:b w:val="0"/>
          <w:i w:val="0"/>
        </w:rPr>
        <w:t>Cabe destacar uma decisão de projeto: o papel de acesso e a situação de aprovação do usuário são persistidos na base da aplicação, e não transportados no token. O token não constitui, portanto, fonte de autoridade sobre permissões. A consequência prática é que o bloqueio de uma conta produz efeito imediato, sem depender da expiração da credencial em posse do usuário.</w:t>
      </w:r>
    </w:p>
    <w:p>
      <w:pPr>
        <w:pStyle w:val="Heading2"/>
      </w:pPr>
      <w:r>
        <w:t>2.6 Validação de dados e qualidade de software</w:t>
      </w:r>
    </w:p>
    <w:p>
      <w:pPr>
        <w:ind w:firstLine="709"/>
      </w:pPr>
      <w:r>
        <w:rPr>
          <w:b w:val="0"/>
          <w:i w:val="0"/>
        </w:rPr>
        <w:t>A validação dos dados de entrada é prática essencial à integridade e à segurança das informações. O Zod é biblioteca de validação e análise de esquemas para TypeScript que permite declarar, de forma explícita, a estrutura esperada dos dados recebidos. Sua integração ao encadeamento de middlewares do Express possibilita rejeitar requisições malformadas antes que alcancem a camada de negócio.</w:t>
      </w:r>
    </w:p>
    <w:p>
      <w:pPr>
        <w:ind w:firstLine="709"/>
      </w:pPr>
      <w:r>
        <w:rPr>
          <w:b w:val="0"/>
          <w:i w:val="0"/>
        </w:rPr>
        <w:t>Quanto à qualidade, os testes automatizados foram implementados com o framework Vitest, que oferece execução rápida e suporte nativo a TypeScript. Adotou-se desenvolvimento orientado a testes nos módulos críticos do servidor. Registre-se, por precisão, que a cobertura concentra-se nas regras de negócio da camada de serviços e nos middlewares de autenticação, autorização e validação; não foram implementados testes de interface nem de integração de ponta a ponta.</w:t>
      </w:r>
    </w:p>
    <w:p>
      <w:r>
        <w:br w:type="page"/>
      </w:r>
    </w:p>
    <w:p>
      <w:pPr>
        <w:pStyle w:val="Heading1"/>
      </w:pPr>
      <w:r>
        <w:t>3 METODOLOGIA</w:t>
      </w:r>
    </w:p>
    <w:p>
      <w:pPr>
        <w:ind w:firstLine="709"/>
      </w:pPr>
      <w:r>
        <w:rPr>
          <w:b w:val="0"/>
          <w:i w:val="0"/>
        </w:rPr>
        <w:t>O desenvolvimento do Fleet Manager baseou-se em abordagem ágil e incremental, com entregas organizadas em ciclos e validação contínua do escopo.</w:t>
      </w:r>
    </w:p>
    <w:p>
      <w:pPr>
        <w:pStyle w:val="Heading2"/>
      </w:pPr>
      <w:r>
        <w:t>3.1 Ciclo de desenvolvimento</w:t>
      </w:r>
    </w:p>
    <w:p>
      <w:pPr>
        <w:ind w:firstLine="709"/>
      </w:pPr>
      <w:r>
        <w:rPr>
          <w:b w:val="0"/>
          <w:i w:val="0"/>
        </w:rPr>
        <w:t>O trabalho foi dividido em etapas incrementais, cada uma dedicada a um conjunto específico de funcionalidades. A etapa inicial tratou da configuração da arquitetura, da padronização de código e da modelagem do banco de dados. As etapas seguintes contemplaram, sucessivamente, autenticação e controle de acesso; cadastro de veículos e motoristas; registro de despesas e manutenções; gestão de documentos com anexo de arquivos; painel de indicadores e administração de usuários; e, por fim, publicação em ambiente de produção.</w:t>
      </w:r>
    </w:p>
    <w:p>
      <w:pPr>
        <w:ind w:firstLine="709"/>
      </w:pPr>
      <w:r>
        <w:rPr>
          <w:b w:val="0"/>
          <w:i w:val="0"/>
        </w:rPr>
        <w:t>Ao longo do processo, duas decisões arquiteturais foram revistas com base em evidência prática, e o registro dessas revisões integra o resultado do trabalho. A autenticação, inicialmente delegada a um provedor de identidade externo e em seguida implementada pela própria aplicação, foi por fim atribuída ao Supabase Auth, consolidando autenticação, persistência e armazenamento em um único serviço e eliminando a responsabilidade de guardar senhas. A plataforma de publicação do servidor também foi revista, conforme detalhado na seção 4.10.</w:t>
      </w:r>
    </w:p>
    <w:p>
      <w:pPr>
        <w:pStyle w:val="Heading2"/>
      </w:pPr>
      <w:r>
        <w:t>3.2 Versionamento e modelagem</w:t>
      </w:r>
    </w:p>
    <w:p>
      <w:pPr>
        <w:ind w:firstLine="709"/>
      </w:pPr>
      <w:r>
        <w:rPr>
          <w:b w:val="0"/>
          <w:i w:val="0"/>
        </w:rPr>
        <w:t>O controle de versão foi realizado com Git, e o código hospedado no GitHub. A modelagem precedeu a implementação e incluiu a definição dos casos de uso, do modelo entidade-relacionamento e dos fluxos de autenticação e autorização. O esquema do banco é versionado por migrações incrementais, de modo que a estrutura possa ser reconstruída a partir do repositório em um banco vazio.</w:t>
      </w:r>
    </w:p>
    <w:p>
      <w:pPr>
        <w:pStyle w:val="Heading2"/>
      </w:pPr>
      <w:r>
        <w:t>3.3 Ferramentas e ambiente</w:t>
      </w:r>
    </w:p>
    <w:p>
      <w:pPr>
        <w:ind w:firstLine="709"/>
      </w:pPr>
      <w:r>
        <w:rPr>
          <w:b w:val="0"/>
          <w:i w:val="0"/>
        </w:rPr>
        <w:t>O projeto adota organização em monorepo gerenciado por npm workspaces, reunindo as duas aplicações e um pacote de tipos compartilhados. Optou-se por npm workspaces, e não por ferramentas de orquestração de monorepo mais elaboradas, por adequação ao porte do projeto: o recurso já integra o gerenciador de pacotes e dispensa camada adicional de construção. A padronização de código emprega ESLint e Prettier. A Tabela 1 sintetiza as tecnologias adotadas em cada camada.</w:t>
      </w:r>
    </w:p>
    <w:p>
      <w:pPr>
        <w:spacing w:before="240"/>
        <w:jc w:val="center"/>
      </w:pPr>
      <w:r>
        <w:rPr>
          <w:sz w:val="20"/>
        </w:rPr>
        <w:t>Tabela 1 — Tecnologias adotadas por camada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Camada</w:t>
            </w:r>
          </w:p>
        </w:tc>
        <w:tc>
          <w:tcPr>
            <w:tcW w:type="dxa" w:w="6236"/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Tecnologia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Linguagem</w:t>
            </w:r>
          </w:p>
        </w:tc>
        <w:tc>
          <w:tcPr>
            <w:tcW w:type="dxa" w:w="6236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TypeScript, no servidor e na interface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Interface</w:t>
            </w:r>
          </w:p>
        </w:tc>
        <w:tc>
          <w:tcPr>
            <w:tcW w:type="dxa" w:w="6236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React 18, Vite, React Router, Tailwind CSS, Recharts, i18next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Servidor</w:t>
            </w:r>
          </w:p>
        </w:tc>
        <w:tc>
          <w:tcPr>
            <w:tcW w:type="dxa" w:w="6236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Node.js com Express 4, em arquitetura de camadas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Mapeamento objeto-relacional</w:t>
            </w:r>
          </w:p>
        </w:tc>
        <w:tc>
          <w:tcPr>
            <w:tcW w:type="dxa" w:w="6236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Prisma 6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Banco de dados</w:t>
            </w:r>
          </w:p>
        </w:tc>
        <w:tc>
          <w:tcPr>
            <w:tcW w:type="dxa" w:w="6236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PostgreSQL gerenciado pelo Supabase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Autenticação</w:t>
            </w:r>
          </w:p>
        </w:tc>
        <w:tc>
          <w:tcPr>
            <w:tcW w:type="dxa" w:w="6236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Supabase Auth, com verificação de token por JWKS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Armazenamento de arquivos</w:t>
            </w:r>
          </w:p>
        </w:tc>
        <w:tc>
          <w:tcPr>
            <w:tcW w:type="dxa" w:w="6236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Supabase Storage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Validação</w:t>
            </w:r>
          </w:p>
        </w:tc>
        <w:tc>
          <w:tcPr>
            <w:tcW w:type="dxa" w:w="6236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Zod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Agendamento</w:t>
            </w:r>
          </w:p>
        </w:tc>
        <w:tc>
          <w:tcPr>
            <w:tcW w:type="dxa" w:w="6236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node-cron em ambiente local; agendador da plataforma em produção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Testes</w:t>
            </w:r>
          </w:p>
        </w:tc>
        <w:tc>
          <w:tcPr>
            <w:tcW w:type="dxa" w:w="6236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Vitest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Organização do repositório</w:t>
            </w:r>
          </w:p>
        </w:tc>
        <w:tc>
          <w:tcPr>
            <w:tcW w:type="dxa" w:w="6236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Monorepo com npm workspaces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Publicação</w:t>
            </w:r>
          </w:p>
        </w:tc>
        <w:tc>
          <w:tcPr>
            <w:tcW w:type="dxa" w:w="6236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Vercel, em projeto único</w:t>
            </w:r>
          </w:p>
        </w:tc>
      </w:tr>
    </w:tbl>
    <w:p>
      <w:pPr>
        <w:spacing w:after="240"/>
        <w:jc w:val="center"/>
      </w:pPr>
      <w:r>
        <w:rPr>
          <w:sz w:val="20"/>
        </w:rPr>
        <w:t>Fonte: elaborado pelos autores (2026).</w:t>
      </w:r>
    </w:p>
    <w:p>
      <w:r>
        <w:br w:type="page"/>
      </w:r>
    </w:p>
    <w:p>
      <w:pPr>
        <w:pStyle w:val="Heading1"/>
      </w:pPr>
      <w:r>
        <w:t>4 DESENVOLVIMENTO</w:t>
      </w:r>
    </w:p>
    <w:p>
      <w:pPr>
        <w:ind w:firstLine="709"/>
      </w:pPr>
      <w:r>
        <w:rPr>
          <w:b w:val="0"/>
          <w:i w:val="0"/>
        </w:rPr>
        <w:t>Este capítulo descreve a construção do sistema. A Figura 1 apresenta a visão geral da solução e situa os componentes descritos nas seções seguintes.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36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-visao-ge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3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</w:rPr>
        <w:t>Figura 1 — Visão geral da solução</w:t>
      </w:r>
      <w:r>
        <w:rPr>
          <w:sz w:val="20"/>
        </w:rPr>
        <w:br/>
        <w:t>Fonte: elaborado pelos autores (2026).</w:t>
      </w:r>
    </w:p>
    <w:p>
      <w:pPr>
        <w:ind w:firstLine="709"/>
      </w:pPr>
      <w:r>
        <w:rPr>
          <w:b w:val="0"/>
          <w:i w:val="0"/>
        </w:rPr>
        <w:t>O Supabase cumpre três papéis independentes: autentica os usuários, hospeda o banco relacional e armazena os arquivos anexados aos documentos. Nem a autenticação nem o envio de arquivos transitam pela camada de serviço — implicações discutidas nas seções 4.5 e 4.7.</w:t>
      </w:r>
    </w:p>
    <w:p>
      <w:pPr>
        <w:pStyle w:val="Heading2"/>
      </w:pPr>
      <w:r>
        <w:t>4.1 Casos de uso</w:t>
      </w:r>
    </w:p>
    <w:p>
      <w:pPr>
        <w:ind w:firstLine="709"/>
      </w:pPr>
      <w:r>
        <w:rPr>
          <w:b w:val="0"/>
          <w:i w:val="0"/>
        </w:rPr>
        <w:t>A Figura 2 apresenta os casos de uso significativos para a arquitetura, organizados por papel. Os papéis são cumulativos: o gestor exerce os casos do operador, e o administrador exerce os do gestor, acrescidos da administração de usuários.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509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-casos-de-u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</w:rPr>
        <w:t>Figura 2 — Casos de uso significativos para a arquitetura</w:t>
      </w:r>
      <w:r>
        <w:rPr>
          <w:sz w:val="20"/>
        </w:rPr>
        <w:br/>
        <w:t>Fonte: elaborado pelos autores (2026).</w:t>
      </w:r>
    </w:p>
    <w:p>
      <w:pPr>
        <w:pStyle w:val="Heading2"/>
      </w:pPr>
      <w:r>
        <w:t>4.2 Arquitetura em camadas</w:t>
      </w:r>
    </w:p>
    <w:p>
      <w:pPr>
        <w:ind w:firstLine="709"/>
      </w:pPr>
      <w:r>
        <w:rPr>
          <w:b w:val="0"/>
          <w:i w:val="0"/>
        </w:rPr>
        <w:t>O servidor adota arquitetura em camadas com dependência unidirecional: cada camada conhece apenas a imediatamente inferior. A Figura 3 apresenta essa organização.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178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-camad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17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</w:rPr>
        <w:t>Figura 3 — Camadas da aplicação e sentido das dependências</w:t>
      </w:r>
      <w:r>
        <w:rPr>
          <w:sz w:val="20"/>
        </w:rPr>
        <w:br/>
        <w:t>Fonte: elaborado pelos autores (2026).</w:t>
      </w:r>
    </w:p>
    <w:p>
      <w:pPr>
        <w:ind w:firstLine="709"/>
      </w:pPr>
      <w:r>
        <w:rPr>
          <w:b w:val="0"/>
          <w:i w:val="0"/>
        </w:rPr>
        <w:t>A responsabilidade de cada camada é delimitada de forma estrita. As rotas declaram os caminhos, definem o esquema de validação e encadeiam os middlewares, sem conter lógica. Os controladores traduzem a requisição HTTP em chamada de serviço e o retorno em resposta HTTP, sem conter regra de negócio. Os serviços concentram as regras de negócio e não conhecem o Express: não recebem os objetos de requisição e resposta. Os repositórios encapsulam todo o acesso ao banco e constituem a única camada que importa o cliente Prisma.</w:t>
      </w:r>
    </w:p>
    <w:p>
      <w:pPr>
        <w:ind w:firstLine="709"/>
      </w:pPr>
      <w:r>
        <w:rPr>
          <w:b w:val="0"/>
          <w:i w:val="0"/>
        </w:rPr>
        <w:t>O isolamento da camada de serviços em relação ao protocolo HTTP é o que viabiliza os testes automatizados descritos na seção 5.2: os serviços são exercitados com repositórios substituídos por dublês, sem necessidade de servidor ou banco em execução.</w:t>
      </w:r>
    </w:p>
    <w:p>
      <w:pPr>
        <w:pStyle w:val="Heading2"/>
      </w:pPr>
      <w:r>
        <w:t>4.3 Organização do repositório</w:t>
      </w:r>
    </w:p>
    <w:p>
      <w:pPr>
        <w:ind w:firstLine="709"/>
      </w:pPr>
      <w:r>
        <w:rPr>
          <w:b w:val="0"/>
          <w:i w:val="0"/>
        </w:rPr>
        <w:t>O código é organizado em monorepo, conforme a Figura 4. A escolha justifica-se pelo compartilhamento de tipos entre a interface e o servidor: uma alteração em uma enumeração provoca erro de compilação em ambos os lados, o que impede a divergência silenciosa do contrato de dados.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941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-paco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94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</w:rPr>
        <w:t>Figura 4 — Organização em pacotes do monorepo</w:t>
      </w:r>
      <w:r>
        <w:rPr>
          <w:sz w:val="20"/>
        </w:rPr>
        <w:br/>
        <w:t>Fonte: elaborado pelos autores (2026).</w:t>
      </w:r>
    </w:p>
    <w:p>
      <w:pPr>
        <w:ind w:firstLine="709"/>
      </w:pPr>
      <w:r>
        <w:rPr>
          <w:b w:val="0"/>
          <w:i w:val="0"/>
        </w:rPr>
        <w:t>O pacote compartilhado publica suas definições em dois formatos. A exigência decorre dos consumidores: o ambiente de execução do servidor requer módulos CommonJS, ao passo que o empacotador da interface exige módulos ECMAScript para resolver importações nomeadas. A compilação ocorre automaticamente após a instalação das dependências.</w:t>
      </w:r>
    </w:p>
    <w:p>
      <w:pPr>
        <w:pStyle w:val="Heading2"/>
      </w:pPr>
      <w:r>
        <w:t>4.4 Modelo de dados</w:t>
      </w:r>
    </w:p>
    <w:p>
      <w:pPr>
        <w:ind w:firstLine="709"/>
      </w:pPr>
      <w:r>
        <w:rPr>
          <w:b w:val="0"/>
          <w:i w:val="0"/>
        </w:rPr>
        <w:t>O modelo é composto por seis entidades e oito enumerações, organizadas em torno da entidade Veículo, que concentra as três dimensões da gestão de frota. A Figura 5 apresenta o modelo entidade-relacionamento.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-modelo-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</w:rPr>
        <w:t>Figura 5 — Modelo entidade-relacionamento</w:t>
      </w:r>
      <w:r>
        <w:rPr>
          <w:sz w:val="20"/>
        </w:rPr>
        <w:br/>
        <w:t>Fonte: elaborado pelos autores (2026).</w:t>
      </w:r>
    </w:p>
    <w:p>
      <w:pPr>
        <w:spacing w:before="240"/>
        <w:jc w:val="center"/>
      </w:pPr>
      <w:r>
        <w:rPr>
          <w:sz w:val="20"/>
        </w:rPr>
        <w:t>Tabela 7 — Entidades do modelo de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1984"/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Entidade</w:t>
            </w:r>
          </w:p>
        </w:tc>
        <w:tc>
          <w:tcPr>
            <w:tcW w:type="dxa" w:w="7087"/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Finalidade e observações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Vehicle</w:t>
            </w:r>
          </w:p>
        </w:tc>
        <w:tc>
          <w:tcPr>
            <w:tcW w:type="dxa" w:w="7087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Veículo da frota. Entidade central; a placa é única.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Driver</w:t>
            </w:r>
          </w:p>
        </w:tc>
        <w:tc>
          <w:tcPr>
            <w:tcW w:type="dxa" w:w="7087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Motorista, com número e validade da habilitação. CPF e CNH únicos.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Expense</w:t>
            </w:r>
          </w:p>
        </w:tc>
        <w:tc>
          <w:tcPr>
            <w:tcW w:type="dxa" w:w="7087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Despesa operacional, obrigatoriamente vinculada a um veículo. O valor usa tipo decimal, evitando erro de arredondamento.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Maintenance</w:t>
            </w:r>
          </w:p>
        </w:tc>
        <w:tc>
          <w:tcPr>
            <w:tcW w:type="dxa" w:w="7087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Manutenção preventiva ou corretiva, com data prevista e de conclusão.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Document</w:t>
            </w:r>
          </w:p>
        </w:tc>
        <w:tc>
          <w:tcPr>
            <w:tcW w:type="dxa" w:w="7087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Documento obrigatório com data de vencimento e anexo digital opcional. Vincula-se a um veículo ou a um motorista.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User</w:t>
            </w:r>
          </w:p>
        </w:tc>
        <w:tc>
          <w:tcPr>
            <w:tcW w:type="dxa" w:w="7087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Perfil de acesso: dados cadastrais, papel e situação de aprovação. As credenciais residem no serviço de autenticação.</w:t>
            </w:r>
          </w:p>
        </w:tc>
      </w:tr>
    </w:tbl>
    <w:p>
      <w:pPr>
        <w:spacing w:after="240"/>
        <w:jc w:val="center"/>
      </w:pPr>
      <w:r>
        <w:rPr>
          <w:sz w:val="20"/>
        </w:rPr>
        <w:t>Fonte: elaborado pelos autores (2026).</w:t>
      </w:r>
    </w:p>
    <w:p>
      <w:pPr>
        <w:ind w:firstLine="709"/>
      </w:pPr>
      <w:r>
        <w:rPr>
          <w:b w:val="0"/>
          <w:i w:val="0"/>
        </w:rPr>
        <w:t>Três aspectos do modelo merecem registro. Primeiro, a obrigatoriedade do vínculo entre despesa e veículo, garantida por restrição no banco, é o que torna confiável a apuração do custo por ativo. Segundo, a situação de vencimento do documento não é armazenada: ela é calculada a cada consulta a partir da data de validade, o que elimina a possibilidade de o dado ficar defasado. Terceiro, as exclusões em cascata sustentam a distinção entre desativar um registro, que preserva o histórico, e excluí-lo permanentemente.</w:t>
      </w:r>
    </w:p>
    <w:p>
      <w:pPr>
        <w:ind w:firstLine="709"/>
      </w:pPr>
      <w:r>
        <w:rPr>
          <w:b w:val="0"/>
          <w:i w:val="0"/>
        </w:rPr>
        <w:t>Registra-se, como limitação do modelo, que as entidades Usuário e Motorista não possuem vínculo formal, ainda que o papel de operador corresponda conceitualmente ao condutor. A unificação está prevista como evolução.</w:t>
      </w:r>
    </w:p>
    <w:p>
      <w:pPr>
        <w:pStyle w:val="Heading2"/>
      </w:pPr>
      <w:r>
        <w:t>4.5 Autenticação e controle de acesso</w:t>
      </w:r>
    </w:p>
    <w:p>
      <w:pPr>
        <w:ind w:firstLine="709"/>
      </w:pPr>
      <w:r>
        <w:rPr>
          <w:b w:val="0"/>
          <w:i w:val="0"/>
        </w:rPr>
        <w:t>A Figura 6 apresenta o fluxo de autenticação e o acesso subsequente a um recurso protegido.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7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-sequencia-autenticac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</w:rPr>
        <w:t>Figura 6 — Autenticação e acesso a recurso protegido</w:t>
      </w:r>
      <w:r>
        <w:rPr>
          <w:sz w:val="20"/>
        </w:rPr>
        <w:br/>
        <w:t>Fonte: elaborado pelos autores (2026).</w:t>
      </w:r>
    </w:p>
    <w:p>
      <w:pPr>
        <w:ind w:firstLine="709"/>
      </w:pPr>
      <w:r>
        <w:rPr>
          <w:b w:val="0"/>
          <w:i w:val="0"/>
        </w:rPr>
        <w:t>O cadastro ocorre em duas etapas. A interface cria a conta no serviço de autenticação e obtém a sessão; de posse do token, envia os dados cadastrais à aplicação, que cria o perfil com situação pendente. Quando já existe perfil com o mesmo endereço de correio eletrônico e sem conta vinculada, a aplicação associa o perfil existente em vez de criar outro, preservando papel e situação. Caso a conta esteja autenticada mas ainda não possua perfil, a aplicação responde com código específico e a interface conduz o usuário à conclusão do cadastro.</w:t>
      </w:r>
    </w:p>
    <w:p>
      <w:pPr>
        <w:ind w:firstLine="709"/>
      </w:pPr>
      <w:r>
        <w:rPr>
          <w:b w:val="0"/>
          <w:i w:val="0"/>
        </w:rPr>
        <w:t>A Figura 9 apresenta o ciclo de vida da conta. Contas recém-criadas permanecem pendentes até que um administrador as aprove, e o bloqueio produz efeito imediato, pois o perfil é reconsultado a cada requisição.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5040000" cy="17181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-ciclo-usuar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1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</w:rPr>
        <w:t>Figura 9 — Ciclo de vida da conta de usuário</w:t>
      </w:r>
      <w:r>
        <w:rPr>
          <w:sz w:val="20"/>
        </w:rPr>
        <w:br/>
        <w:t>Fonte: elaborado pelos autores (2026).</w:t>
      </w:r>
    </w:p>
    <w:p>
      <w:pPr>
        <w:ind w:firstLine="709"/>
      </w:pPr>
      <w:r>
        <w:rPr>
          <w:b w:val="0"/>
          <w:i w:val="0"/>
        </w:rPr>
        <w:t>A Tabela 6 apresenta a matriz de controle de acesso efetivamente aplicada, extraída da configuração das rotas.</w:t>
      </w:r>
    </w:p>
    <w:p>
      <w:pPr>
        <w:spacing w:before="240"/>
        <w:jc w:val="center"/>
      </w:pPr>
      <w:r>
        <w:rPr>
          <w:sz w:val="20"/>
        </w:rPr>
        <w:t>Tabela 6 — Matriz de controle de acesso por papel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309"/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Recurso ou operação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Administrador</w:t>
            </w:r>
          </w:p>
        </w:tc>
        <w:tc>
          <w:tcPr>
            <w:tcW w:type="dxa" w:w="1361"/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Gestor</w:t>
            </w:r>
          </w:p>
        </w:tc>
        <w:tc>
          <w:tcPr>
            <w:tcW w:type="dxa" w:w="1474"/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Operador</w:t>
            </w:r>
          </w:p>
        </w:tc>
      </w:tr>
      <w:tr>
        <w:tc>
          <w:tcPr>
            <w:tcW w:type="dxa" w:w="4309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Gerir usuários e aprovações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Sim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Não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4309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Editar o próprio perfil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Sim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Sim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Sim</w:t>
            </w:r>
          </w:p>
        </w:tc>
      </w:tr>
      <w:tr>
        <w:tc>
          <w:tcPr>
            <w:tcW w:type="dxa" w:w="4309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Consultar veículos e motoristas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Sim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Sim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Sim</w:t>
            </w:r>
          </w:p>
        </w:tc>
      </w:tr>
      <w:tr>
        <w:tc>
          <w:tcPr>
            <w:tcW w:type="dxa" w:w="4309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Cadastrar e editar veículos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Sim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Sim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4309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Cadastrar e editar motoristas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Sim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Sim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4309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Vincular motorista a veículo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Sim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Sim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4309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Registrar despesas e manutenções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Sim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Sim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Sim</w:t>
            </w:r>
          </w:p>
        </w:tc>
      </w:tr>
      <w:tr>
        <w:tc>
          <w:tcPr>
            <w:tcW w:type="dxa" w:w="4309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Cadastrar e editar documentos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Sim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Sim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4309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Excluir registros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Sim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Sim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4309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Consultar o painel de indicadores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Sim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Sim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Sim</w:t>
            </w:r>
          </w:p>
        </w:tc>
      </w:tr>
    </w:tbl>
    <w:p>
      <w:pPr>
        <w:spacing w:after="240"/>
        <w:jc w:val="center"/>
      </w:pPr>
      <w:r>
        <w:rPr>
          <w:sz w:val="20"/>
        </w:rPr>
        <w:t>Fonte: elaborado pelos autores (2026).</w:t>
      </w:r>
    </w:p>
    <w:p>
      <w:pPr>
        <w:pStyle w:val="Heading2"/>
      </w:pPr>
      <w:r>
        <w:t>4.6 Módulos funcionais</w:t>
      </w:r>
    </w:p>
    <w:p>
      <w:pPr>
        <w:ind w:firstLine="709"/>
      </w:pPr>
      <w:r>
        <w:rPr>
          <w:b w:val="0"/>
          <w:i w:val="0"/>
        </w:rPr>
        <w:t>O sistema compreende oito módulos. O de veículos oferece cadastro, edição, consulta com filtros, desativação, reativação e exclusão permanente. O de motoristas segue estrutura equivalente e acrescenta o controle da validade da habilitação. O vínculo entre ambos é de muitos para muitos, com tela dedicada.</w:t>
      </w:r>
    </w:p>
    <w:p>
      <w:pPr>
        <w:ind w:firstLine="709"/>
      </w:pPr>
      <w:r>
        <w:rPr>
          <w:b w:val="0"/>
          <w:i w:val="0"/>
        </w:rPr>
        <w:t>O módulo de despesas registra lançamentos obrigatoriamente vinculados a um veículo, distribuídos em seis categorias, com filtros por veículo, categoria e período. O de manutenções distingue as preventivas das corretivas e acompanha três estados, mantendo a coerência entre estado e data de conclusão. O de documentos registra a data de vencimento, classifica automaticamente a situação e permite anexar arquivo digital.</w:t>
      </w:r>
    </w:p>
    <w:p>
      <w:pPr>
        <w:ind w:firstLine="709"/>
      </w:pPr>
      <w:r>
        <w:rPr>
          <w:b w:val="0"/>
          <w:i w:val="0"/>
        </w:rPr>
        <w:t>A central de alertas consolida vencimentos e pendências, e contadores na interface indicam o volume de itens que exigem atenção. O painel de indicadores apura custo total, custo médio, quantidade de lançamentos, evolução mensal, distribuição por categoria e custo por veículo, com filtros por período, veículo e categoria. A administração de usuários permite listar contas, alterar papel e situação e excluir registros.</w:t>
      </w:r>
    </w:p>
    <w:p>
      <w:pPr>
        <w:pStyle w:val="Heading2"/>
      </w:pPr>
      <w:r>
        <w:t>4.7 Armazenamento de arquivos</w:t>
      </w:r>
    </w:p>
    <w:p>
      <w:pPr>
        <w:ind w:firstLine="709"/>
      </w:pPr>
      <w:r>
        <w:rPr>
          <w:b w:val="0"/>
          <w:i w:val="0"/>
        </w:rPr>
        <w:t>O anexo de arquivos aos documentos utiliza o serviço de armazenamento do Supabase, com envio realizado diretamente pelo navegador, conforme a Figura 7.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631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-sequencia-uploa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3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</w:rPr>
        <w:t>Figura 7 — Anexo de arquivo ao documento</w:t>
      </w:r>
      <w:r>
        <w:rPr>
          <w:sz w:val="20"/>
        </w:rPr>
        <w:br/>
        <w:t>Fonte: elaborado pelos autores (2026).</w:t>
      </w:r>
    </w:p>
    <w:p>
      <w:pPr>
        <w:ind w:firstLine="709"/>
      </w:pPr>
      <w:r>
        <w:rPr>
          <w:b w:val="0"/>
          <w:i w:val="0"/>
        </w:rPr>
        <w:t>O desenho reduz a carga sobre a camada de serviço e dispensa o tráfego do arquivo por um intermediário. Em contrapartida, introduz limitações que devem ser declaradas: a validação do tipo de arquivo é realizada pela política de acesso do próprio serviço de armazenamento, e não pela aplicação; a exclusão de um documento remove o registro no banco, mas não o arquivo correspondente; e o repositório de arquivos é público, de modo que quem detiver o endereço acessa o conteúdo sem autenticação.</w:t>
      </w:r>
    </w:p>
    <w:p>
      <w:pPr>
        <w:pStyle w:val="Heading2"/>
      </w:pPr>
      <w:r>
        <w:t>4.8 Rotina automatizada de vencimentos</w:t>
      </w:r>
    </w:p>
    <w:p>
      <w:pPr>
        <w:ind w:firstLine="709"/>
      </w:pPr>
      <w:r>
        <w:rPr>
          <w:b w:val="0"/>
          <w:i w:val="0"/>
        </w:rPr>
        <w:t>Uma rotina diária identifica os documentos que vencem em até trinta dias e os sinaliza para acompanhamento, de forma idempotente: documentos já sinalizados não são reprocessados, e execuções repetidas no mesmo dia não produzem efeito colateral.</w:t>
      </w:r>
    </w:p>
    <w:p>
      <w:pPr>
        <w:ind w:firstLine="709"/>
      </w:pPr>
      <w:r>
        <w:rPr>
          <w:b w:val="0"/>
          <w:i w:val="0"/>
        </w:rPr>
        <w:t>Delimita-se explicitamente o alcance dessa rotina: ela não envia notificação para fora do sistema. O acompanhamento de prazos é realizado dentro da aplicação, pela central de alertas e pelos indicadores de vencimento. A notificação por canais externos foi avaliada e excluída do escopo, conforme a seção 4.11.</w:t>
      </w:r>
    </w:p>
    <w:p>
      <w:pPr>
        <w:pStyle w:val="Heading2"/>
      </w:pPr>
      <w:r>
        <w:t>4.9 Proteção do banco de dados</w:t>
      </w:r>
    </w:p>
    <w:p>
      <w:pPr>
        <w:ind w:firstLine="709"/>
      </w:pPr>
      <w:r>
        <w:rPr>
          <w:b w:val="0"/>
          <w:i w:val="0"/>
        </w:rPr>
        <w:t>A autorização é aplicada na camada de aplicação, e o banco é acessado exclusivamente pelo servidor. Ocorre, porém, que a plataforma de hospedagem expõe automaticamente o esquema público por uma interface REST gerada, acessível com a chave pública do projeto — chave que, por natureza, é distribuída junto com a interface. Sem proteção, as tabelas seriam legíveis e graváveis por quem a obtivesse, contornando integralmente a aplicação e o controle de acesso por papel.</w:t>
      </w:r>
    </w:p>
    <w:p>
      <w:pPr>
        <w:ind w:firstLine="709"/>
      </w:pPr>
      <w:r>
        <w:rPr>
          <w:b w:val="0"/>
          <w:i w:val="0"/>
        </w:rPr>
        <w:t>Adotaram-se, portanto, duas camadas de proteção. A primeira habilita a segurança em nível de linha em todas as tabelas, sem criar política alguma, o que nega acesso aos papéis públicos; o papel proprietário das tabelas não é submetido a essa restrição, de modo que a aplicação opera normalmente. A segunda revoga os privilégios desses papéis sobre o esquema, inclusive para tabelas criadas futuramente. A ausência de políticas é intencional: elas só fariam sentido se o cliente consultasse o banco diretamente, o que esta arquitetura não faz. O objetivo é fechar um caminho de acesso que a plataforma abre por padrão, e não replicar a autorização no banco.</w:t>
      </w:r>
    </w:p>
    <w:p>
      <w:pPr>
        <w:pStyle w:val="Heading2"/>
      </w:pPr>
      <w:r>
        <w:t>4.10 Publicação em produção</w:t>
      </w:r>
    </w:p>
    <w:p>
      <w:pPr>
        <w:ind w:firstLine="709"/>
      </w:pPr>
      <w:r>
        <w:rPr>
          <w:b w:val="0"/>
          <w:i w:val="0"/>
        </w:rPr>
        <w:t>O sistema é publicado como projeto único, com a interface estática e a camada de serviço atendidas pelo mesmo domínio, conforme a Figura 8.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495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-implant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49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</w:rPr>
        <w:t>Figura 8 — Diagrama de implantação</w:t>
      </w:r>
      <w:r>
        <w:rPr>
          <w:sz w:val="20"/>
        </w:rPr>
        <w:br/>
        <w:t>Fonte: elaborado pelos autores (2026).</w:t>
      </w:r>
    </w:p>
    <w:p>
      <w:pPr>
        <w:ind w:firstLine="709"/>
      </w:pPr>
      <w:r>
        <w:rPr>
          <w:b w:val="0"/>
          <w:i w:val="0"/>
        </w:rPr>
        <w:t>A decisão pelo domínio compartilhado tem consequência direta: não há requisição entre origens distintas entre a interface e a camada de serviço, o que elimina toda uma classe de configuração e de falhas. A plataforma inicialmente prevista para o servidor foi substituída após verificar-se que não oferece mais camada gratuita permanente, condição necessária à continuidade do projeto até a apresentação.</w:t>
      </w:r>
    </w:p>
    <w:p>
      <w:pPr>
        <w:ind w:firstLine="709"/>
      </w:pPr>
      <w:r>
        <w:rPr>
          <w:b w:val="0"/>
          <w:i w:val="0"/>
        </w:rPr>
        <w:t>A adaptação ao modelo de execução sem servidor dedicado impôs dois ajustes ao código. O primeiro decorre da ausência de processo persistente entre requisições: o agendamento interno da rotina de vencimentos é desativado em produção, e a execução passa a ser disparada pelo agendador da plataforma, por meio de rota protegida por segredo. O segundo refere-se ao pacote compartilhado, cuja publicação em código-fonte TypeScript não é carregável pelo ambiente de execução, o que motivou a compilação descrita na seção 4.3.</w:t>
      </w:r>
    </w:p>
    <w:p>
      <w:pPr>
        <w:pStyle w:val="Heading2"/>
      </w:pPr>
      <w:r>
        <w:t>4.11 Delimitação do escopo</w:t>
      </w:r>
    </w:p>
    <w:p>
      <w:pPr>
        <w:ind w:firstLine="709"/>
      </w:pPr>
      <w:r>
        <w:rPr>
          <w:b w:val="0"/>
          <w:i w:val="0"/>
        </w:rPr>
        <w:t>Não integram o escopo deste trabalho o rastreamento por satélite em tempo real, a telemetria avançada, o planejamento e a otimização de rotas, a integração automática com sistemas governamentais e o desenvolvimento de aplicativo móvel nativo. A solução é entregue como aplicação web responsiva, acessível por navegador em dispositivos móveis.</w:t>
      </w:r>
    </w:p>
    <w:p>
      <w:pPr>
        <w:ind w:firstLine="709"/>
      </w:pPr>
      <w:r>
        <w:rPr>
          <w:b w:val="0"/>
          <w:i w:val="0"/>
        </w:rPr>
        <w:t>Excluiu-se igualmente a notificação de vencimentos por correio eletrônico, mensagem de texto ou canal equivalente. Tal recurso exigiria a contratação e a configuração de serviço externo de envio, com custo e dependência operacional não justificáveis no contexto do trabalho. O acompanhamento de prazos é realizado dentro da aplicação, o que atende ao propósito de substituir o controle passivo por acompanhamento ativo sem introduzir dependência de infraestrutura de terceiros. Como consequência dessa exclusão, não se implementou a recuperação autônoma de senha, que depende do mesmo canal; a alteração de senha permanece disponível ao usuário autenticado.</w:t>
      </w:r>
    </w:p>
    <w:p>
      <w:r>
        <w:br w:type="page"/>
      </w:r>
    </w:p>
    <w:p>
      <w:pPr>
        <w:pStyle w:val="Heading1"/>
      </w:pPr>
      <w:r>
        <w:t>5 RESULTADOS E DISCUSSÕES</w:t>
      </w:r>
    </w:p>
    <w:p>
      <w:pPr>
        <w:ind w:firstLine="709"/>
      </w:pPr>
      <w:r>
        <w:rPr>
          <w:b w:val="0"/>
          <w:i w:val="0"/>
        </w:rPr>
        <w:t>Esta seção apresenta o que foi efetivamente entregue, a verificação realizada sobre o código e as limitações identificadas.</w:t>
      </w:r>
    </w:p>
    <w:p>
      <w:pPr>
        <w:pStyle w:val="Heading2"/>
      </w:pPr>
      <w:r>
        <w:t>5.1 Requisitos atendidos</w:t>
      </w:r>
    </w:p>
    <w:p>
      <w:pPr>
        <w:ind w:firstLine="709"/>
      </w:pPr>
      <w:r>
        <w:rPr>
          <w:b w:val="0"/>
          <w:i w:val="0"/>
        </w:rPr>
        <w:t>Os dez requisitos funcionais definidos no termo de abertura foram atendidos. A Tabela 3 relaciona cada requisito à sua situação e à evidência correspondente no sistema.</w:t>
      </w:r>
    </w:p>
    <w:p>
      <w:pPr>
        <w:spacing w:before="240"/>
        <w:jc w:val="center"/>
      </w:pPr>
      <w:r>
        <w:rPr>
          <w:sz w:val="20"/>
        </w:rPr>
        <w:t>Tabela 3 — Requisitos funcionais e situação de atendimento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Código</w:t>
            </w:r>
          </w:p>
        </w:tc>
        <w:tc>
          <w:tcPr>
            <w:tcW w:type="dxa" w:w="5329"/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2721"/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Situação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RF01</w:t>
            </w:r>
          </w:p>
        </w:tc>
        <w:tc>
          <w:tcPr>
            <w:tcW w:type="dxa" w:w="5329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Cadastro, edição e exclusão de veículos</w:t>
            </w:r>
          </w:p>
        </w:tc>
        <w:tc>
          <w:tcPr>
            <w:tcW w:type="dxa" w:w="272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Atendido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RF02</w:t>
            </w:r>
          </w:p>
        </w:tc>
        <w:tc>
          <w:tcPr>
            <w:tcW w:type="dxa" w:w="5329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Cadastro e gerenciamento de motoristas</w:t>
            </w:r>
          </w:p>
        </w:tc>
        <w:tc>
          <w:tcPr>
            <w:tcW w:type="dxa" w:w="272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Atendido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RF03</w:t>
            </w:r>
          </w:p>
        </w:tc>
        <w:tc>
          <w:tcPr>
            <w:tcW w:type="dxa" w:w="5329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Despesas vinculadas obrigatoriamente a um veículo</w:t>
            </w:r>
          </w:p>
        </w:tc>
        <w:tc>
          <w:tcPr>
            <w:tcW w:type="dxa" w:w="272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Atendido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RF04</w:t>
            </w:r>
          </w:p>
        </w:tc>
        <w:tc>
          <w:tcPr>
            <w:tcW w:type="dxa" w:w="5329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Registro de diferentes categorias de despesa</w:t>
            </w:r>
          </w:p>
        </w:tc>
        <w:tc>
          <w:tcPr>
            <w:tcW w:type="dxa" w:w="272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Atendido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RF05</w:t>
            </w:r>
          </w:p>
        </w:tc>
        <w:tc>
          <w:tcPr>
            <w:tcW w:type="dxa" w:w="5329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Controle de manutenções preventivas e corretivas</w:t>
            </w:r>
          </w:p>
        </w:tc>
        <w:tc>
          <w:tcPr>
            <w:tcW w:type="dxa" w:w="272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Atendido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RF06</w:t>
            </w:r>
          </w:p>
        </w:tc>
        <w:tc>
          <w:tcPr>
            <w:tcW w:type="dxa" w:w="5329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Registro de documentos com data de vencimento</w:t>
            </w:r>
          </w:p>
        </w:tc>
        <w:tc>
          <w:tcPr>
            <w:tcW w:type="dxa" w:w="272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Atendido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RF07</w:t>
            </w:r>
          </w:p>
        </w:tc>
        <w:tc>
          <w:tcPr>
            <w:tcW w:type="dxa" w:w="5329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Emissão de alertas de vencimento</w:t>
            </w:r>
          </w:p>
        </w:tc>
        <w:tc>
          <w:tcPr>
            <w:tcW w:type="dxa" w:w="272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Atendido dentro da aplicação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RF08</w:t>
            </w:r>
          </w:p>
        </w:tc>
        <w:tc>
          <w:tcPr>
            <w:tcW w:type="dxa" w:w="5329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Indicadores financeiros por veículo e por período</w:t>
            </w:r>
          </w:p>
        </w:tc>
        <w:tc>
          <w:tcPr>
            <w:tcW w:type="dxa" w:w="272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Atendido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RF09</w:t>
            </w:r>
          </w:p>
        </w:tc>
        <w:tc>
          <w:tcPr>
            <w:tcW w:type="dxa" w:w="5329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Autenticação de usuários</w:t>
            </w:r>
          </w:p>
        </w:tc>
        <w:tc>
          <w:tcPr>
            <w:tcW w:type="dxa" w:w="272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Atendido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RF10</w:t>
            </w:r>
          </w:p>
        </w:tc>
        <w:tc>
          <w:tcPr>
            <w:tcW w:type="dxa" w:w="5329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Controle de acesso por papel</w:t>
            </w:r>
          </w:p>
        </w:tc>
        <w:tc>
          <w:tcPr>
            <w:tcW w:type="dxa" w:w="272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Atendido</w:t>
            </w:r>
          </w:p>
        </w:tc>
      </w:tr>
    </w:tbl>
    <w:p>
      <w:pPr>
        <w:spacing w:after="240"/>
        <w:jc w:val="center"/>
      </w:pPr>
      <w:r>
        <w:rPr>
          <w:sz w:val="20"/>
        </w:rPr>
        <w:t>Fonte: elaborado pelos autores (2026).</w:t>
      </w:r>
    </w:p>
    <w:p>
      <w:pPr>
        <w:ind w:firstLine="709"/>
      </w:pPr>
      <w:r>
        <w:rPr>
          <w:b w:val="0"/>
          <w:i w:val="0"/>
        </w:rPr>
        <w:t>O RF07 merece esclarecimento quanto ao canal de emissão. O sistema classifica automaticamente documentos e manutenções por situação de vencimento, consolida-os em uma central de alertas e exibe contadores na interface, além de executar diariamente a rotina de sinalização. A notificação por canais externos, contudo, foi excluída do escopo, conforme a seção 4.11. O requisito é, portanto, atendido no sentido da exibição, e não no da notificação ativa fora do sistema — delimitação declarada de forma explícita para que o alcance não seja interpretado de maneira ampliada.</w:t>
      </w:r>
    </w:p>
    <w:p>
      <w:pPr>
        <w:ind w:firstLine="709"/>
      </w:pPr>
      <w:r>
        <w:rPr>
          <w:b w:val="0"/>
          <w:i w:val="0"/>
        </w:rPr>
        <w:t>Além dos requisitos previstos no levantamento inicial, o desenvolvimento incorporou funcionalidades identificadas durante o trabalho: vínculo de muitos para muitos entre veículos e motoristas; anexo de arquivo digital aos documentos, com visualização; fluxo de aprovação de contas por administrador; bloqueio e reativação de contas; edição do perfil próprio; distinção entre desativação e exclusão permanente; e interface em português brasileiro e inglês.</w:t>
      </w:r>
    </w:p>
    <w:p>
      <w:pPr>
        <w:spacing w:before="240"/>
        <w:jc w:val="center"/>
      </w:pPr>
      <w:r>
        <w:rPr>
          <w:sz w:val="20"/>
        </w:rPr>
        <w:t>Tabela 4 — Requisitos não funcionais e situação de atendimento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Código</w:t>
            </w:r>
          </w:p>
        </w:tc>
        <w:tc>
          <w:tcPr>
            <w:tcW w:type="dxa" w:w="5329"/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2721"/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Situação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RNF01</w:t>
            </w:r>
          </w:p>
        </w:tc>
        <w:tc>
          <w:tcPr>
            <w:tcW w:type="dxa" w:w="5329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Aplicação web responsiva</w:t>
            </w:r>
          </w:p>
        </w:tc>
        <w:tc>
          <w:tcPr>
            <w:tcW w:type="dxa" w:w="272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Atendido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RNF02</w:t>
            </w:r>
          </w:p>
        </w:tc>
        <w:tc>
          <w:tcPr>
            <w:tcW w:type="dxa" w:w="5329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Armazenamento seguro em banco relacional</w:t>
            </w:r>
          </w:p>
        </w:tc>
        <w:tc>
          <w:tcPr>
            <w:tcW w:type="dxa" w:w="272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Atendido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RNF03</w:t>
            </w:r>
          </w:p>
        </w:tc>
        <w:tc>
          <w:tcPr>
            <w:tcW w:type="dxa" w:w="5329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Controle de autenticação e autorização</w:t>
            </w:r>
          </w:p>
        </w:tc>
        <w:tc>
          <w:tcPr>
            <w:tcW w:type="dxa" w:w="272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Atendido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RNF04</w:t>
            </w:r>
          </w:p>
        </w:tc>
        <w:tc>
          <w:tcPr>
            <w:tcW w:type="dxa" w:w="5329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Tempo de resposta adequado nas operações comuns</w:t>
            </w:r>
          </w:p>
        </w:tc>
        <w:tc>
          <w:tcPr>
            <w:tcW w:type="dxa" w:w="272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Sem medição formal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RNF05</w:t>
            </w:r>
          </w:p>
        </w:tc>
        <w:tc>
          <w:tcPr>
            <w:tcW w:type="dxa" w:w="5329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Arquitetura cliente-servidor</w:t>
            </w:r>
          </w:p>
        </w:tc>
        <w:tc>
          <w:tcPr>
            <w:tcW w:type="dxa" w:w="272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Atendido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RNF06</w:t>
            </w:r>
          </w:p>
        </w:tc>
        <w:tc>
          <w:tcPr>
            <w:tcW w:type="dxa" w:w="5329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Escalabilidade para novas funcionalidades</w:t>
            </w:r>
          </w:p>
        </w:tc>
        <w:tc>
          <w:tcPr>
            <w:tcW w:type="dxa" w:w="272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Atendido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RNF07</w:t>
            </w:r>
          </w:p>
        </w:tc>
        <w:tc>
          <w:tcPr>
            <w:tcW w:type="dxa" w:w="5329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Integridade e consistência das informações</w:t>
            </w:r>
          </w:p>
        </w:tc>
        <w:tc>
          <w:tcPr>
            <w:tcW w:type="dxa" w:w="272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Atendido</w:t>
            </w:r>
          </w:p>
        </w:tc>
      </w:tr>
    </w:tbl>
    <w:p>
      <w:pPr>
        <w:spacing w:after="240"/>
        <w:jc w:val="center"/>
      </w:pPr>
      <w:r>
        <w:rPr>
          <w:sz w:val="20"/>
        </w:rPr>
        <w:t>Fonte: elaborado pelos autores (2026).</w:t>
      </w:r>
    </w:p>
    <w:p>
      <w:pPr>
        <w:ind w:firstLine="709"/>
      </w:pPr>
      <w:r>
        <w:rPr>
          <w:b w:val="0"/>
          <w:i w:val="0"/>
        </w:rPr>
        <w:t>Quanto ao RNF04, as consultas empregam índices e agregações realizadas no próprio banco, e o comportamento observado em uso é compatível com o limite estabelecido. Não foi, entretanto, conduzida medição formal de desempenho, razão pela qual o atendimento não se considera comprovado por evidência empírica.</w:t>
      </w:r>
    </w:p>
    <w:p>
      <w:pPr>
        <w:spacing w:before="240"/>
        <w:jc w:val="center"/>
      </w:pPr>
      <w:r>
        <w:rPr>
          <w:sz w:val="20"/>
        </w:rPr>
        <w:t>Tabela 5 — Regras de negócio implementadas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Código</w:t>
            </w:r>
          </w:p>
        </w:tc>
        <w:tc>
          <w:tcPr>
            <w:tcW w:type="dxa" w:w="8050"/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Regra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RN01</w:t>
            </w:r>
          </w:p>
        </w:tc>
        <w:tc>
          <w:tcPr>
            <w:tcW w:type="dxa" w:w="805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Toda despesa está obrigatoriamente vinculada a um veículo.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RN02</w:t>
            </w:r>
          </w:p>
        </w:tc>
        <w:tc>
          <w:tcPr>
            <w:tcW w:type="dxa" w:w="805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Toda manutenção está obrigatoriamente vinculada a um veículo.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RN03</w:t>
            </w:r>
          </w:p>
        </w:tc>
        <w:tc>
          <w:tcPr>
            <w:tcW w:type="dxa" w:w="805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Um documento vincula-se a um veículo ou a um motorista, nunca a ambos e nunca a nenhum.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RN04</w:t>
            </w:r>
          </w:p>
        </w:tc>
        <w:tc>
          <w:tcPr>
            <w:tcW w:type="dxa" w:w="805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Contas recém-criadas permanecem pendentes até aprovação por um administrador.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RN05</w:t>
            </w:r>
          </w:p>
        </w:tc>
        <w:tc>
          <w:tcPr>
            <w:tcW w:type="dxa" w:w="805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Contas bloqueadas têm o acesso negado de imediato, mesmo portando token válido.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RN06</w:t>
            </w:r>
          </w:p>
        </w:tc>
        <w:tc>
          <w:tcPr>
            <w:tcW w:type="dxa" w:w="805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Placa, CPF, habilitação e endereço de correio eletrônico são únicos.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RN07</w:t>
            </w:r>
          </w:p>
        </w:tc>
        <w:tc>
          <w:tcPr>
            <w:tcW w:type="dxa" w:w="805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A exclusão permanente de veículo ou motorista remove em cascata os registros dependentes.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RN08</w:t>
            </w:r>
          </w:p>
        </w:tc>
        <w:tc>
          <w:tcPr>
            <w:tcW w:type="dxa" w:w="805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A desativação preserva o registro e seu histórico.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RN09</w:t>
            </w:r>
          </w:p>
        </w:tc>
        <w:tc>
          <w:tcPr>
            <w:tcW w:type="dxa" w:w="805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A data de conclusão da manutenção é mantida coerente com o estado.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RN10</w:t>
            </w:r>
          </w:p>
        </w:tc>
        <w:tc>
          <w:tcPr>
            <w:tcW w:type="dxa" w:w="805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A situação de vencimento é calculada dinamicamente, não armazenada.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RN11</w:t>
            </w:r>
          </w:p>
        </w:tc>
        <w:tc>
          <w:tcPr>
            <w:tcW w:type="dxa" w:w="805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Documentos que vencem em até trinta dias são sinalizados diariamente, de forma idempotente.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RN12</w:t>
            </w:r>
          </w:p>
        </w:tc>
        <w:tc>
          <w:tcPr>
            <w:tcW w:type="dxa" w:w="805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Os dados de identificação do veículo são normalizados em maiúsculas.</w:t>
            </w:r>
          </w:p>
        </w:tc>
      </w:tr>
    </w:tbl>
    <w:p>
      <w:pPr>
        <w:spacing w:after="240"/>
        <w:jc w:val="center"/>
      </w:pPr>
      <w:r>
        <w:rPr>
          <w:sz w:val="20"/>
        </w:rPr>
        <w:t>Fonte: elaborado pelos autores (2026).</w:t>
      </w:r>
    </w:p>
    <w:p>
      <w:pPr>
        <w:pStyle w:val="Heading2"/>
      </w:pPr>
      <w:r>
        <w:t>5.2 Verificação da qualidade</w:t>
      </w:r>
    </w:p>
    <w:p>
      <w:pPr>
        <w:ind w:firstLine="709"/>
      </w:pPr>
      <w:r>
        <w:rPr>
          <w:b w:val="0"/>
          <w:i w:val="0"/>
        </w:rPr>
        <w:t>A qualidade do software foi verificada por meio de execução automatizada sobre o código do repositório. A Tabela 8 apresenta os resultados obtidos.</w:t>
      </w:r>
    </w:p>
    <w:p>
      <w:pPr>
        <w:spacing w:before="240"/>
        <w:jc w:val="center"/>
      </w:pPr>
      <w:r>
        <w:rPr>
          <w:sz w:val="20"/>
        </w:rPr>
        <w:t>Tabela 8 — Verificações executadas sobre o código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Verificação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Resultado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Compilação TypeScript do servidor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Sem erros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Compilação TypeScript da interface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Sem erros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Análise estática com ESLint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Sem erros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Testes automatizados com Vitest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100 testes aprovados, em 13 arquivos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Construção do pacote de produção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Concluída com sucesso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Publicação em produção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Concluída e verificada em ambiente publicado</w:t>
            </w:r>
          </w:p>
        </w:tc>
      </w:tr>
    </w:tbl>
    <w:p>
      <w:pPr>
        <w:spacing w:after="240"/>
        <w:jc w:val="center"/>
      </w:pPr>
      <w:r>
        <w:rPr>
          <w:sz w:val="20"/>
        </w:rPr>
        <w:t>Fonte: elaborado pelos autores (2026).</w:t>
      </w:r>
    </w:p>
    <w:p>
      <w:pPr>
        <w:ind w:firstLine="709"/>
      </w:pPr>
      <w:r>
        <w:rPr>
          <w:b w:val="0"/>
          <w:i w:val="0"/>
        </w:rPr>
        <w:t>Os cem testes distribuem-se entre os serviços de veículos, motoristas, despesas, manutenções, documentos, indicadores, usuários e autenticação, além dos middlewares de autenticação, autorização e validação. Reitera-se que a cobertura concentra-se nas regras de negócio: não há testes de interface nem de integração de ponta a ponta.</w:t>
      </w:r>
    </w:p>
    <w:p>
      <w:pPr>
        <w:ind w:firstLine="709"/>
      </w:pPr>
      <w:r>
        <w:rPr>
          <w:b w:val="0"/>
          <w:i w:val="0"/>
        </w:rPr>
        <w:t>A verificação do ambiente publicado abrangeu o carregamento da interface, o roteamento da aplicação de página única, a rejeição de requisições sem credencial, o fluxo completo de autenticação, a consulta a dados reais, o painel de indicadores e a rotina agendada, inclusive quanto à recusa de chamadas sem o segredo correspondente.</w:t>
      </w:r>
    </w:p>
    <w:p>
      <w:pPr>
        <w:pStyle w:val="Heading2"/>
      </w:pPr>
      <w:r>
        <w:t>5.3 Limitações e discussão</w:t>
      </w:r>
    </w:p>
    <w:p>
      <w:pPr>
        <w:ind w:firstLine="709"/>
      </w:pPr>
      <w:r>
        <w:rPr>
          <w:b w:val="0"/>
          <w:i w:val="0"/>
        </w:rPr>
        <w:t>A principal limitação do trabalho é de natureza metodológica: o sistema não foi aplicado em uma organização real. A validação empregou base de dados fictícia, ainda que consistente e gerada por rotina automatizada. Em consequência, os benefícios pretendidos — redução de sanções por documentação vencida, migração da manutenção corretiva para a preventiva e visibilidade do custo por veículo — permanecem como expectativas fundamentadas, e não como resultados medidos. A comprovação empírica demandaria adoção por uma frota real, com medição comparativa antes e depois, o que se situa fora do escopo temporal deste trabalho.</w:t>
      </w:r>
    </w:p>
    <w:p>
      <w:pPr>
        <w:ind w:firstLine="709"/>
      </w:pPr>
      <w:r>
        <w:rPr>
          <w:b w:val="0"/>
          <w:i w:val="0"/>
        </w:rPr>
        <w:t>Do ponto de vista técnico, registram-se as seguintes limitações. A validação do tipo de arquivo anexado ocorre na política do serviço de armazenamento, e não na camada de aplicação. A exclusão de um documento não remove o arquivo correspondente, o que permite o acúmulo de arquivos órfãos. O repositório de arquivos é público, de modo que o conhecimento do endereço basta para o acesso. As entidades Usuário e Motorista não possuem vínculo formal no modelo de dados. Não há registro de autoria dos lançamentos, o que impede determinar qual usuário registrou determinada despesa. E a verificação de posse do endereço de correio eletrônico está desativada no cadastro, decorrência da exclusão do envio de mensagens do escopo; o risco é mitigado pela aprovação manual exigida antes de qualquer acesso.</w:t>
      </w:r>
    </w:p>
    <w:p>
      <w:pPr>
        <w:ind w:firstLine="709"/>
      </w:pPr>
      <w:r>
        <w:rPr>
          <w:b w:val="0"/>
          <w:i w:val="0"/>
        </w:rPr>
        <w:t>Cada uma dessas limitações foi identificada por verificação do próprio código, e não inferida. O registro explícito cumpre função metodológica: delimita o que o sistema efetivamente entrega e distingue-o do que permanece como evolução possível.</w:t>
      </w:r>
    </w:p>
    <w:p>
      <w:r>
        <w:br w:type="page"/>
      </w:r>
    </w:p>
    <w:p>
      <w:pPr>
        <w:pStyle w:val="Heading1"/>
      </w:pPr>
      <w:r>
        <w:t>6 CONCLUSÃO</w:t>
      </w:r>
    </w:p>
    <w:p>
      <w:pPr>
        <w:ind w:firstLine="709"/>
      </w:pPr>
      <w:r>
        <w:rPr>
          <w:b w:val="0"/>
          <w:i w:val="0"/>
        </w:rPr>
        <w:t>Este trabalho apresentou o Fleet Manager, sistema web para gestão de frotas que centraliza o controle operacional, financeiro e documental de veículos em uma base de dados relacional única. O objetivo geral foi alcançado: o sistema foi desenvolvido, verificado e publicado em ambiente de produção, e os dez requisitos funcionais definidos no termo de abertura foram atendidos.</w:t>
      </w:r>
    </w:p>
    <w:p>
      <w:pPr>
        <w:ind w:firstLine="709"/>
      </w:pPr>
      <w:r>
        <w:rPr>
          <w:b w:val="0"/>
          <w:i w:val="0"/>
        </w:rPr>
        <w:t>A contribuição técnica do trabalho concentra-se em três decisões arquiteturais. A primeira é a organização do servidor em camadas com dependência unidirecional, que não se limita a uma escolha estética: por isolarem-se do protocolo HTTP, as regras de negócio puderam ser exercitadas por cem testes automatizados sem infraestrutura de apoio. A segunda é a delegação da autenticação a serviço especializado com verificação por chave pública, mantendo, contudo, a autorização sob controle da aplicação — desenho que retira do sistema a responsabilidade de guardar senhas sem transferir a terceiros a autoridade sobre permissões. A terceira é o compartilhamento de tipos entre interface e servidor, que converte divergências de contrato em erros de compilação.</w:t>
      </w:r>
    </w:p>
    <w:p>
      <w:pPr>
        <w:ind w:firstLine="709"/>
      </w:pPr>
      <w:r>
        <w:rPr>
          <w:b w:val="0"/>
          <w:i w:val="0"/>
        </w:rPr>
        <w:t>O percurso também produziu aprendizado sobre a distância entre projetar e publicar. Duas exigências só se manifestaram na publicação: o pacote compartilhado precisou passar a emitir código compilado, pois o ambiente de execução não interpreta TypeScript, e a rotina agendada precisou migrar do processo da aplicação para o agendador da plataforma, ausente o processo persistente. Ambas as adaptações foram incorporadas ao sistema e registradas neste documento por constituírem resultado legítimo do trabalho.</w:t>
      </w:r>
    </w:p>
    <w:p>
      <w:pPr>
        <w:ind w:firstLine="709"/>
      </w:pPr>
      <w:r>
        <w:rPr>
          <w:b w:val="0"/>
          <w:i w:val="0"/>
        </w:rPr>
        <w:t>Como delimitação, reitera-se que o sistema não foi aplicado em organização real, razão pela qual os benefícios pretendidos permanecem como expectativas fundamentadas. A continuidade natural do trabalho compreende a validação em frota real, com medição comparativa; a unificação das entidades Usuário e Motorista; o registro de autoria dos lançamentos; e a ampliação da cobertura de testes para as camadas de integração e interface.</w:t>
      </w:r>
    </w:p>
    <w:p>
      <w:r>
        <w:br w:type="page"/>
      </w:r>
    </w:p>
    <w:p>
      <w:pPr>
        <w:pStyle w:val="Heading1"/>
      </w:pPr>
      <w:r>
        <w:t>REFERÊNCIAS</w:t>
      </w:r>
    </w:p>
    <w:p>
      <w:pPr>
        <w:spacing w:line="240" w:lineRule="auto" w:after="240"/>
        <w:jc w:val="both"/>
      </w:pPr>
      <w:r>
        <w:t>FIELDING, Roy Thomas. Architectural Styles and the Design of Network-based Software Architectures. 2000. Tese (Doutorado em Ciência da Computação) — University of California, Irvine, 2000.</w:t>
      </w:r>
    </w:p>
    <w:p>
      <w:pPr>
        <w:spacing w:line="240" w:lineRule="auto" w:after="240"/>
        <w:jc w:val="both"/>
      </w:pPr>
      <w:r>
        <w:t>FLEURY, Paulo Fernando; WANKE, Peter; FIGUEIREDO, Kleber Fossati (org.). Logística empresarial: a perspectiva brasileira. São Paulo: Atlas, 2000.</w:t>
      </w:r>
    </w:p>
    <w:p>
      <w:pPr>
        <w:spacing w:line="240" w:lineRule="auto" w:after="240"/>
        <w:jc w:val="both"/>
      </w:pPr>
      <w:r>
        <w:t>JONES, Michael B. et al. JSON Web Token (JWT). RFC 7519. Internet Engineering Task Force, maio 2015. Disponível em: https://datatracker.ietf.org/doc/html/rfc7519. Acesso em: 26 ago. 2026.</w:t>
      </w:r>
    </w:p>
    <w:p>
      <w:pPr>
        <w:spacing w:line="240" w:lineRule="auto" w:after="240"/>
        <w:jc w:val="both"/>
      </w:pPr>
      <w:r>
        <w:t>KRUCHTEN, Philippe. The "4+1" View Model of Software Architecture. IEEE Software, v. 12, n. 6, p. 42-50, nov. 1995.</w:t>
      </w:r>
    </w:p>
    <w:p>
      <w:pPr>
        <w:spacing w:line="240" w:lineRule="auto" w:after="240"/>
        <w:jc w:val="both"/>
      </w:pPr>
      <w:r>
        <w:t>META. React: The library for web and native user interfaces. Meta Open Source, 2026. Disponível em: https://react.dev. Acesso em: 26 ago. 2026.</w:t>
      </w:r>
    </w:p>
    <w:p>
      <w:pPr>
        <w:spacing w:line="240" w:lineRule="auto" w:after="240"/>
        <w:jc w:val="both"/>
      </w:pPr>
      <w:r>
        <w:t>MICROSOFT. TypeScript Documentation. 2026. Disponível em: https://www.typescriptlang.org/docs. Acesso em: 26 ago. 2026.</w:t>
      </w:r>
    </w:p>
    <w:p>
      <w:pPr>
        <w:spacing w:line="240" w:lineRule="auto" w:after="240"/>
        <w:jc w:val="both"/>
      </w:pPr>
      <w:r>
        <w:t>OPENJS FOUNDATION. Node.js Documentation. 2026. Disponível em: https://nodejs.org/docs. Acesso em: 26 ago. 2026.</w:t>
      </w:r>
    </w:p>
    <w:p>
      <w:pPr>
        <w:spacing w:line="240" w:lineRule="auto" w:after="240"/>
        <w:jc w:val="both"/>
      </w:pPr>
      <w:r>
        <w:t>POSTGRESQL GLOBAL DEVELOPMENT GROUP. PostgreSQL Documentation. 2026. Disponível em: https://www.postgresql.org/docs. Acesso em: 26 ago. 2026.</w:t>
      </w:r>
    </w:p>
    <w:p>
      <w:pPr>
        <w:spacing w:line="240" w:lineRule="auto" w:after="240"/>
        <w:jc w:val="both"/>
      </w:pPr>
      <w:r>
        <w:t>PRISMA DATA, INC. Prisma Documentation: next-generation ORM for Node.js and TypeScript. 2026. Disponível em: https://www.prisma.io/docs. Acesso em: 26 ago. 2026.</w:t>
      </w:r>
    </w:p>
    <w:p>
      <w:pPr>
        <w:spacing w:line="240" w:lineRule="auto" w:after="240"/>
        <w:jc w:val="both"/>
      </w:pPr>
      <w:r>
        <w:t>SANDHU, Ravi S. et al. Role-based access control models. IEEE Computer, v. 29, n. 2, p. 38-47, fev. 1996.</w:t>
      </w:r>
    </w:p>
    <w:p>
      <w:pPr>
        <w:spacing w:line="240" w:lineRule="auto" w:after="240"/>
        <w:jc w:val="both"/>
      </w:pPr>
      <w:r>
        <w:t>SOMMERVILLE, Ian. Engenharia de Software. 9. ed. São Paulo: Pearson Prentice Hall, 2011.</w:t>
      </w:r>
    </w:p>
    <w:p>
      <w:pPr>
        <w:spacing w:line="240" w:lineRule="auto" w:after="240"/>
        <w:jc w:val="both"/>
      </w:pPr>
      <w:r>
        <w:t>SUPABASE. Supabase Documentation. 2026. Disponível em: https://supabase.com/docs. Acesso em: 26 ago. 2026.</w:t>
      </w:r>
    </w:p>
    <w:p>
      <w:pPr>
        <w:spacing w:line="240" w:lineRule="auto" w:after="240"/>
        <w:jc w:val="both"/>
      </w:pPr>
      <w:r>
        <w:t>TAILWIND LABS. Tailwind CSS Documentation. 2026. Disponível em: https://tailwindcss.com/docs. Acesso em: 26 ago. 2026.</w:t>
      </w:r>
    </w:p>
    <w:p>
      <w:pPr>
        <w:spacing w:line="240" w:lineRule="auto" w:after="240"/>
        <w:jc w:val="both"/>
      </w:pPr>
      <w:r>
        <w:t>VERCEL, INC. Vercel Documentation. 2026. Disponível em: https://vercel.com/docs. Acesso em: 26 ago. 2026.</w:t>
      </w:r>
    </w:p>
    <w:p>
      <w:pPr>
        <w:spacing w:line="240" w:lineRule="auto" w:after="240"/>
        <w:jc w:val="both"/>
      </w:pPr>
      <w:r>
        <w:t>VITEST. Vitest: a Vite-native testing framework. 2026. Disponível em: https://vitest.dev. Acesso em: 26 ago. 2026.</w:t>
      </w:r>
    </w:p>
    <w:p>
      <w:pPr>
        <w:spacing w:line="240" w:lineRule="auto" w:after="240"/>
        <w:jc w:val="both"/>
      </w:pPr>
      <w:r>
        <w:t>VITE TEAM. Vite Documentation. 2026. Disponível em: https://vite.dev. Acesso em: 26 ago. 2026.</w:t>
      </w:r>
    </w:p>
    <w:p>
      <w:pPr>
        <w:spacing w:line="240" w:lineRule="auto" w:after="240"/>
        <w:jc w:val="both"/>
      </w:pPr>
      <w:r>
        <w:t>ZOD. Zod: TypeScript-first schema validation with static type inference. 2026. Disponível em: https://zod.dev. Acesso em: 26 ago. 2026.</w:t>
      </w:r>
    </w:p>
    <w:p>
      <w:r>
        <w:br w:type="page"/>
      </w:r>
    </w:p>
    <w:p>
      <w:pPr>
        <w:pStyle w:val="Heading1"/>
      </w:pPr>
      <w:r>
        <w:t>ANEXO A — TERMO DE ABERTURA DO PROJETO</w:t>
      </w:r>
    </w:p>
    <w:p>
      <w:pPr>
        <w:pStyle w:val="Heading2"/>
      </w:pPr>
      <w:r>
        <w:t>A.1 Identificação do projeto</w:t>
      </w:r>
    </w:p>
    <w:p>
      <w:pPr>
        <w:ind w:firstLine="709"/>
      </w:pPr>
      <w:r>
        <w:rPr>
          <w:b w:val="0"/>
          <w:i w:val="0"/>
        </w:rPr>
        <w:t>Nome do projeto: Fleet Manager — Sistema de Gestão Inteligente de Frotas. Código do projeto: FM-PFI-2026.</w:t>
      </w:r>
    </w:p>
    <w:p>
      <w:pPr>
        <w:pStyle w:val="Heading2"/>
      </w:pPr>
      <w:r>
        <w:t>A.2 Objetivos</w:t>
      </w:r>
    </w:p>
    <w:p>
      <w:pPr>
        <w:ind w:firstLine="709"/>
      </w:pPr>
      <w:r>
        <w:rPr>
          <w:b w:val="0"/>
          <w:i w:val="0"/>
        </w:rPr>
        <w:t>Desenvolver um sistema web para gestão de frotas, com foco no controle operacional, financeiro e documental de veículos, permitindo maior previsibilidade de custos, redução de riscos legais e apoio à tomada de decisão estratégica.</w:t>
      </w:r>
    </w:p>
    <w:p>
      <w:pPr>
        <w:pStyle w:val="Heading2"/>
      </w:pPr>
      <w:r>
        <w:t>A.3 Escopo</w:t>
      </w:r>
    </w:p>
    <w:p>
      <w:pPr>
        <w:ind w:firstLine="709"/>
      </w:pPr>
      <w:r>
        <w:rPr>
          <w:b w:val="0"/>
          <w:i w:val="0"/>
        </w:rPr>
        <w:t>O projeto contempla o cadastro e a gestão de veículos e motoristas; o registro de despesas operacionais vinculadas a cada veículo; o controle de manutenções preventivas e corretivas, com acompanhamento de estado; o controle de documentos obrigatórios, com classificação de vencimentos; o painel de indicadores financeiros; e os mecanismos de autenticação e controle de acesso por papel.</w:t>
      </w:r>
    </w:p>
    <w:p>
      <w:pPr>
        <w:ind w:firstLine="709"/>
      </w:pPr>
      <w:r>
        <w:rPr>
          <w:b w:val="0"/>
          <w:i w:val="0"/>
        </w:rPr>
        <w:t>Não fazem parte do escopo o rastreamento por satélite em tempo real, a telemetria avançada, o planejamento e a otimização de rotas, a integração automática com sistemas governamentais, o desenvolvimento de aplicativo móvel nativo e a notificação de vencimentos por canais externos.</w:t>
      </w:r>
    </w:p>
    <w:p>
      <w:pPr>
        <w:pStyle w:val="Heading2"/>
      </w:pPr>
      <w:r>
        <w:t>A.4 Cronograma resumido</w:t>
      </w:r>
    </w:p>
    <w:p>
      <w:pPr>
        <w:spacing w:before="240"/>
        <w:jc w:val="center"/>
      </w:pPr>
      <w:r>
        <w:rPr>
          <w:sz w:val="20"/>
        </w:rPr>
        <w:t>Tabela 9 — Cronograma resumido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41"/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Fase</w:t>
            </w:r>
          </w:p>
        </w:tc>
        <w:tc>
          <w:tcPr>
            <w:tcW w:type="dxa" w:w="4535"/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Marco</w:t>
            </w:r>
          </w:p>
        </w:tc>
        <w:tc>
          <w:tcPr>
            <w:tcW w:type="dxa" w:w="2494"/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Período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Iniciação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Projeto aprovado</w:t>
            </w:r>
          </w:p>
        </w:tc>
        <w:tc>
          <w:tcPr>
            <w:tcW w:type="dxa" w:w="2494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Fevereiro de 2026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Planejamento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Requisitos e arquitetura definidos</w:t>
            </w:r>
          </w:p>
        </w:tc>
        <w:tc>
          <w:tcPr>
            <w:tcW w:type="dxa" w:w="2494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Março de 2026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Execução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Servidor e modelo de dados concluídos</w:t>
            </w:r>
          </w:p>
        </w:tc>
        <w:tc>
          <w:tcPr>
            <w:tcW w:type="dxa" w:w="2494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Abril de 2026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Execução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Interface e módulos funcionais concluídos</w:t>
            </w:r>
          </w:p>
        </w:tc>
        <w:tc>
          <w:tcPr>
            <w:tcW w:type="dxa" w:w="2494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Maio de 2026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Execução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Painel de indicadores e gestão de usuários</w:t>
            </w:r>
          </w:p>
        </w:tc>
        <w:tc>
          <w:tcPr>
            <w:tcW w:type="dxa" w:w="2494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Junho de 2026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Monitoramento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Produto mínimo viável verificado</w:t>
            </w:r>
          </w:p>
        </w:tc>
        <w:tc>
          <w:tcPr>
            <w:tcW w:type="dxa" w:w="2494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Junho de 2026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Execução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Migração da autenticação e publicação em produção</w:t>
            </w:r>
          </w:p>
        </w:tc>
        <w:tc>
          <w:tcPr>
            <w:tcW w:type="dxa" w:w="2494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Agosto de 2026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Encerramento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Entrega e apresentação</w:t>
            </w:r>
          </w:p>
        </w:tc>
        <w:tc>
          <w:tcPr>
            <w:tcW w:type="dxa" w:w="2494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Agosto de 2026</w:t>
            </w:r>
          </w:p>
        </w:tc>
      </w:tr>
    </w:tbl>
    <w:p>
      <w:pPr>
        <w:spacing w:after="240"/>
        <w:jc w:val="center"/>
      </w:pPr>
      <w:r>
        <w:rPr>
          <w:sz w:val="20"/>
        </w:rPr>
        <w:t>Fonte: elaborado pelos autores (2026).</w:t>
      </w:r>
    </w:p>
    <w:p>
      <w:pPr>
        <w:pStyle w:val="Heading2"/>
      </w:pPr>
      <w:r>
        <w:t>A.5 Partes interessadas</w:t>
      </w:r>
    </w:p>
    <w:p>
      <w:pPr>
        <w:spacing w:before="240"/>
        <w:jc w:val="center"/>
      </w:pPr>
      <w:r>
        <w:rPr>
          <w:sz w:val="20"/>
        </w:rPr>
        <w:t>Tabela 10 — Partes interessadas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61"/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Participante</w:t>
            </w:r>
          </w:p>
        </w:tc>
        <w:tc>
          <w:tcPr>
            <w:tcW w:type="dxa" w:w="4535"/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Responsabilidade</w:t>
            </w:r>
          </w:p>
        </w:tc>
        <w:tc>
          <w:tcPr>
            <w:tcW w:type="dxa" w:w="1474"/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Autoridade</w:t>
            </w:r>
          </w:p>
        </w:tc>
      </w:tr>
      <w:tr>
        <w:tc>
          <w:tcPr>
            <w:tcW w:type="dxa" w:w="306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Professor orientador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Orientação, acompanhamento e avaliação do projeto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06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André Luiz Cavalcante da Silva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Desenvolvimento, modelagem e documentação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06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Luiz Eduardo Pacheco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Desenvolvimento, modelagem e documentação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06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Gregory Figueiredo de M. P. Jereissati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Desenvolvimento, modelagem e documentação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06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Gestores de frota (usuários finais)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Utilização estratégica e validação do sistema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Média</w:t>
            </w:r>
          </w:p>
        </w:tc>
      </w:tr>
      <w:tr>
        <w:tc>
          <w:tcPr>
            <w:tcW w:type="dxa" w:w="306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Operadores (usuários finais)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Registro e atualização das informações operacionais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Baixa</w:t>
            </w:r>
          </w:p>
        </w:tc>
      </w:tr>
    </w:tbl>
    <w:p>
      <w:pPr>
        <w:spacing w:after="240"/>
        <w:jc w:val="center"/>
      </w:pPr>
      <w:r>
        <w:rPr>
          <w:sz w:val="20"/>
        </w:rPr>
        <w:t>Fonte: elaborado pelos autores (2026).</w:t>
      </w:r>
    </w:p>
    <w:p>
      <w:pPr>
        <w:pStyle w:val="Heading2"/>
      </w:pPr>
      <w:r>
        <w:t>A.6 Restrições</w:t>
      </w:r>
    </w:p>
    <w:p>
      <w:pPr>
        <w:pStyle w:val="ListBullet"/>
        <w:spacing w:line="360" w:lineRule="auto" w:after="0"/>
        <w:jc w:val="both"/>
      </w:pPr>
      <w:r>
        <w:t>Orçamento nulo: o projeto restringe-se a serviços com camada gratuita permanente, condição que determinou a escolha das plataformas de hospedagem.</w:t>
      </w:r>
    </w:p>
    <w:p>
      <w:pPr>
        <w:pStyle w:val="ListBullet"/>
        <w:spacing w:line="360" w:lineRule="auto" w:after="0"/>
        <w:jc w:val="both"/>
      </w:pPr>
      <w:r>
        <w:t>Equipe de três integrantes, em regime acadêmico, com dedicação parcial.</w:t>
      </w:r>
    </w:p>
    <w:p>
      <w:pPr>
        <w:pStyle w:val="ListBullet"/>
        <w:spacing w:line="360" w:lineRule="auto" w:after="0"/>
        <w:jc w:val="both"/>
      </w:pPr>
      <w:r>
        <w:t>Prazo delimitado pelo calendário do Projeto Final Integrador I.</w:t>
      </w:r>
    </w:p>
    <w:p>
      <w:pPr>
        <w:pStyle w:val="ListBullet"/>
        <w:spacing w:line="360" w:lineRule="auto" w:after="0"/>
        <w:jc w:val="both"/>
      </w:pPr>
      <w:r>
        <w:t>Ausência de acesso a uma frota real para validação empírica.</w:t>
      </w:r>
    </w:p>
    <w:p>
      <w:pPr>
        <w:pStyle w:val="Heading2"/>
      </w:pPr>
      <w:r>
        <w:t>A.7 Riscos e mitigação</w:t>
      </w:r>
    </w:p>
    <w:p>
      <w:pPr>
        <w:pStyle w:val="ListBullet"/>
        <w:spacing w:line="360" w:lineRule="auto" w:after="0"/>
        <w:jc w:val="both"/>
      </w:pPr>
      <w:r>
        <w:t>Dependência de plataformas de terceiros. Materializou-se durante o projeto: o ambiente de banco de dados foi perdido e precisou ser integralmente recriado. Mitigação adotada: versionamento do esquema por migrações e de scripts de configuração, tornando o ambiente reconstruível a partir do repositório.</w:t>
      </w:r>
    </w:p>
    <w:p>
      <w:pPr>
        <w:pStyle w:val="ListBullet"/>
        <w:spacing w:line="360" w:lineRule="auto" w:after="0"/>
        <w:jc w:val="both"/>
      </w:pPr>
      <w:r>
        <w:t>Alteração das condições comerciais dos serviços utilizados. Materializou-se na plataforma inicialmente prevista para o servidor, que deixou de oferecer camada gratuita permanente. Mitigação adotada: substituição por alternativa gratuita.</w:t>
      </w:r>
    </w:p>
    <w:p>
      <w:pPr>
        <w:pStyle w:val="ListBullet"/>
        <w:spacing w:line="360" w:lineRule="auto" w:after="0"/>
        <w:jc w:val="both"/>
      </w:pPr>
      <w:r>
        <w:t>Divergência entre a documentação e o sistema implementado. Mitigação adotada: verificação de cada afirmação técnica contra o código-fonte antes do registro.</w:t>
      </w:r>
    </w:p>
    <w:p>
      <w:pPr>
        <w:pStyle w:val="ListBullet"/>
        <w:spacing w:line="360" w:lineRule="auto" w:after="0"/>
        <w:jc w:val="both"/>
      </w:pPr>
      <w:r>
        <w:t>Concentração de conhecimento em um integrante. Mitigação adotada: revisão conjunta e documentação das decisões arquiteturais.</w:t>
      </w:r>
    </w:p>
    <w:p>
      <w:pPr>
        <w:pStyle w:val="Heading2"/>
      </w:pPr>
      <w:r>
        <w:t>A.8 Critérios de sucesso</w:t>
      </w:r>
    </w:p>
    <w:p>
      <w:pPr>
        <w:pStyle w:val="ListBullet"/>
        <w:spacing w:line="360" w:lineRule="auto" w:after="0"/>
        <w:jc w:val="both"/>
      </w:pPr>
      <w:r>
        <w:t>Atendimento dos dez requisitos funcionais definidos no levantamento.</w:t>
      </w:r>
    </w:p>
    <w:p>
      <w:pPr>
        <w:pStyle w:val="ListBullet"/>
        <w:spacing w:line="360" w:lineRule="auto" w:after="0"/>
        <w:jc w:val="both"/>
      </w:pPr>
      <w:r>
        <w:t>Sistema publicado e operante em ambiente de produção, acessível por navegador.</w:t>
      </w:r>
    </w:p>
    <w:p>
      <w:pPr>
        <w:pStyle w:val="ListBullet"/>
        <w:spacing w:line="360" w:lineRule="auto" w:after="0"/>
        <w:jc w:val="both"/>
      </w:pPr>
      <w:r>
        <w:t>Compilação sem erros e aprovação integral dos testes automatizados das regras de negócio.</w:t>
      </w:r>
    </w:p>
    <w:p>
      <w:pPr>
        <w:pStyle w:val="ListBullet"/>
        <w:spacing w:line="360" w:lineRule="auto" w:after="0"/>
        <w:jc w:val="both"/>
      </w:pPr>
      <w:r>
        <w:t>Ambiente reconstruível a partir do repositório, sem dependência de configuração não documentada.</w:t>
      </w:r>
    </w:p>
    <w:p>
      <w:pPr>
        <w:pStyle w:val="ListBullet"/>
        <w:spacing w:line="360" w:lineRule="auto" w:after="0"/>
        <w:jc w:val="both"/>
      </w:pPr>
      <w:r>
        <w:t>Documentação técnica correspondente ao sistema efetivamente implementado.</w:t>
      </w:r>
    </w:p>
    <w:p>
      <w:r>
        <w:br w:type="page"/>
      </w:r>
    </w:p>
    <w:p>
      <w:pPr>
        <w:pStyle w:val="Heading1"/>
      </w:pPr>
      <w:r>
        <w:t>ANEXO B — DOCUMENTO DE ARQUITETURA DE SOFTWARE</w:t>
      </w:r>
    </w:p>
    <w:p>
      <w:pPr>
        <w:ind w:firstLine="709"/>
      </w:pPr>
      <w:r>
        <w:rPr>
          <w:b w:val="0"/>
          <w:i w:val="0"/>
        </w:rPr>
        <w:t>Este anexo descreve as decisões arquiteturais do Fleet Manager segundo o modelo de visões "4+1" (KRUCHTEN, 1995), que organiza a descrição de uma arquitetura em visões complementares, cada uma dirigida a um público distinto.</w:t>
      </w:r>
    </w:p>
    <w:p>
      <w:pPr>
        <w:pStyle w:val="Heading2"/>
      </w:pPr>
      <w:r>
        <w:t>B.1 Requisitos e restrições arquiteturais</w:t>
      </w:r>
    </w:p>
    <w:p>
      <w:pPr>
        <w:spacing w:before="240"/>
        <w:jc w:val="center"/>
      </w:pPr>
      <w:r>
        <w:rPr>
          <w:sz w:val="20"/>
        </w:rPr>
        <w:t>Tabela 2 — Requisitos e restrições arquiteturais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6690"/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Solução adotada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Linguagem</w:t>
            </w:r>
          </w:p>
        </w:tc>
        <w:tc>
          <w:tcPr>
            <w:tcW w:type="dxa" w:w="669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TypeScript no servidor e na interface, com tipos compartilhados entre ambos.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Plataforma</w:t>
            </w:r>
          </w:p>
        </w:tc>
        <w:tc>
          <w:tcPr>
            <w:tcW w:type="dxa" w:w="669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Interface estática e camada de serviço publicadas em projeto único na Vercel, no mesmo domínio.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Segurança</w:t>
            </w:r>
          </w:p>
        </w:tc>
        <w:tc>
          <w:tcPr>
            <w:tcW w:type="dxa" w:w="669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Autenticação delegada ao Supabase Auth, com token ES256 verificado pela chave pública do serviço; autorização por papéis aplicada na aplicação.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Persistência</w:t>
            </w:r>
          </w:p>
        </w:tc>
        <w:tc>
          <w:tcPr>
            <w:tcW w:type="dxa" w:w="669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PostgreSQL gerenciado pelo Supabase, acessado exclusivamente pelo Prisma.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Armazenamento de arquivos</w:t>
            </w:r>
          </w:p>
        </w:tc>
        <w:tc>
          <w:tcPr>
            <w:tcW w:type="dxa" w:w="669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Supabase Storage, com envio direto pelo navegador e política de restrição de tipos.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Internacionalização</w:t>
            </w:r>
          </w:p>
        </w:tc>
        <w:tc>
          <w:tcPr>
            <w:tcW w:type="dxa" w:w="669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Português brasileiro e inglês, com preferência persistida no navegador.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Custo</w:t>
            </w:r>
          </w:p>
        </w:tc>
        <w:tc>
          <w:tcPr>
            <w:tcW w:type="dxa" w:w="6690"/>
          </w:tcPr>
          <w:p>
            <w:pPr>
              <w:spacing w:line="240" w:lineRule="auto"/>
              <w:jc w:val="left"/>
            </w:pPr>
            <w:r/>
            <w:r>
              <w:rPr>
                <w:sz w:val="20"/>
              </w:rPr>
              <w:t>Restrição a serviços com camada gratuita permanente.</w:t>
            </w:r>
          </w:p>
        </w:tc>
      </w:tr>
    </w:tbl>
    <w:p>
      <w:pPr>
        <w:spacing w:after="240"/>
        <w:jc w:val="center"/>
      </w:pPr>
      <w:r>
        <w:rPr>
          <w:sz w:val="20"/>
        </w:rPr>
        <w:t>Fonte: elaborado pelos autores (2026).</w:t>
      </w:r>
    </w:p>
    <w:p>
      <w:pPr>
        <w:pStyle w:val="Heading2"/>
      </w:pPr>
      <w:r>
        <w:t>B.2 Visão de casos de uso</w:t>
      </w:r>
    </w:p>
    <w:p>
      <w:pPr>
        <w:ind w:firstLine="709"/>
      </w:pPr>
      <w:r>
        <w:rPr>
          <w:b w:val="0"/>
          <w:i w:val="0"/>
        </w:rPr>
        <w:t>Apresentada na Figura 2, seção 4.1. Os casos significativos para a arquitetura são a autenticação, que atravessa todas as rotas protegidas, e a gestão de usuários, que determina o papel aplicado nas demais operações.</w:t>
      </w:r>
    </w:p>
    <w:p>
      <w:pPr>
        <w:pStyle w:val="Heading2"/>
      </w:pPr>
      <w:r>
        <w:t>B.3 Visão lógica</w:t>
      </w:r>
    </w:p>
    <w:p>
      <w:pPr>
        <w:ind w:firstLine="709"/>
      </w:pPr>
      <w:r>
        <w:rPr>
          <w:b w:val="0"/>
          <w:i w:val="0"/>
        </w:rPr>
        <w:t>Apresentada na Figura 3, seção 4.2. A aplicação organiza-se em camadas com dependência unidirecional. As classes mais significativas concentram-se na camada de serviços, que materializa as regras de negócio descritas na Tabela 5, e na de repositórios, que isola o acesso ao banco. Os middlewares de autenticação, autorização e validação atuam de forma transversal às rotas protegidas.</w:t>
      </w:r>
    </w:p>
    <w:p>
      <w:pPr>
        <w:pStyle w:val="Heading2"/>
      </w:pPr>
      <w:r>
        <w:t>B.4 Visão de implementação</w:t>
      </w:r>
    </w:p>
    <w:p>
      <w:pPr>
        <w:ind w:firstLine="709"/>
      </w:pPr>
      <w:r>
        <w:rPr>
          <w:b w:val="0"/>
          <w:i w:val="0"/>
        </w:rPr>
        <w:t>Apresentada na Figura 4, seção 4.3. O código distribui-se em duas aplicações e um pacote compartilhado, este último contendo as enumerações e os objetos de transferência de dados utilizados por ambas. A Figura 6 detalha a realização do caso de uso de autenticação, e a Figura 7, a do anexo de arquivo a documento.</w:t>
      </w:r>
    </w:p>
    <w:p>
      <w:pPr>
        <w:pStyle w:val="Heading2"/>
      </w:pPr>
      <w:r>
        <w:t>B.5 Visão de processo</w:t>
      </w:r>
    </w:p>
    <w:p>
      <w:pPr>
        <w:ind w:firstLine="709"/>
      </w:pPr>
      <w:r>
        <w:rPr>
          <w:b w:val="0"/>
          <w:i w:val="0"/>
        </w:rPr>
        <w:t>O sistema apresenta dois fluxos de execução distintos. O primeiro é síncrono e orientado a requisição: cada chamada é atendida de forma independente, sem estado compartilhado entre requisições, o que se coaduna com o modelo de execução sem servidor dedicado adotado na publicação. O segundo é a rotina diária de sinalização de vencimentos, disparada pelo agendador da plataforma e projetada para ser idempotente, de modo que execuções repetidas não produzam efeito colateral.</w:t>
      </w:r>
    </w:p>
    <w:p>
      <w:pPr>
        <w:pStyle w:val="Heading2"/>
      </w:pPr>
      <w:r>
        <w:t>B.6 Visão de implantação</w:t>
      </w:r>
    </w:p>
    <w:p>
      <w:pPr>
        <w:ind w:firstLine="709"/>
      </w:pPr>
      <w:r>
        <w:rPr>
          <w:b w:val="0"/>
          <w:i w:val="0"/>
        </w:rPr>
        <w:t>Apresentada na Figura 8, seção 4.10. A topologia compreende três nós: o dispositivo do usuário, executando o navegador; o projeto na plataforma de nuvem, que atende tanto os artefatos estáticos quanto a camada de serviço; e a plataforma de dados, que provê banco relacional, autenticação e armazenamento de arquivos.</w:t>
      </w:r>
    </w:p>
    <w:p>
      <w:pPr>
        <w:pStyle w:val="Heading2"/>
      </w:pPr>
      <w:r>
        <w:t>B.7 Visão de dados</w:t>
      </w:r>
    </w:p>
    <w:p>
      <w:pPr>
        <w:ind w:firstLine="709"/>
      </w:pPr>
      <w:r>
        <w:rPr>
          <w:b w:val="0"/>
          <w:i w:val="0"/>
        </w:rPr>
        <w:t>Apresentada na Figura 5, seção 4.4, e detalhada na Tabela 7. O esquema é versionado por migrações incrementais, o que permite reconstruir integralmente a estrutura relacional a partir do repositório. A proteção do banco contra acesso externo é descrita na seção 4.9.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4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24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