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/>
          <w:b/>
          <w:color w:val="A56A00"/>
          <w:sz w:val="19"/>
        </w:rPr>
        <w:t>ACCORDO INTERNO TRA SOCI</w:t>
      </w:r>
    </w:p>
    <w:p>
      <w:pPr>
        <w:pStyle w:val="Title"/>
        <w:spacing w:after="80"/>
      </w:pPr>
      <w:r>
        <w:rPr>
          <w:rFonts w:ascii="Calibri" w:hAnsi="Calibri"/>
          <w:b/>
          <w:color w:val="18324B"/>
          <w:sz w:val="48"/>
        </w:rPr>
        <w:t>Tavoria</w:t>
      </w:r>
    </w:p>
    <w:p>
      <w:pPr>
        <w:pStyle w:val="Subtitle"/>
      </w:pPr>
      <w:r>
        <w:rPr>
          <w:rFonts w:ascii="Calibri" w:hAnsi="Calibri"/>
          <w:color w:val="5F6368"/>
          <w:sz w:val="25"/>
        </w:rPr>
        <w:t>Ruolo operativo, compenso e partecipazione</w:t>
      </w:r>
    </w:p>
    <w:tbl>
      <w:tblPr>
        <w:tblW w:w="9360" w:type="dxa"/>
        <w:tblW w:type="auto" w:w="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4795"/>
            <w:shd w:fill="18324B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Voce</w:t>
            </w:r>
          </w:p>
        </w:tc>
        <w:tc>
          <w:tcPr>
            <w:tcW w:type="dxa" w:w="4795"/>
            <w:shd w:fill="18324B"/>
            <w:tcW w:w="72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Dato</w:t>
            </w:r>
          </w:p>
        </w:tc>
      </w:tr>
      <w:tr>
        <w:tc>
          <w:tcPr>
            <w:tcW w:type="dxa" w:w="4795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8324B"/>
                <w:sz w:val="20"/>
              </w:rPr>
              <w:t>Società</w:t>
            </w:r>
          </w:p>
        </w:tc>
        <w:tc>
          <w:tcPr>
            <w:tcW w:type="dxa" w:w="4795"/>
            <w:tcW w:w="72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02124"/>
                <w:sz w:val="20"/>
              </w:rPr>
              <w:t>K3Y Solutions S.r.l. - dati societari: [●]</w:t>
            </w:r>
          </w:p>
        </w:tc>
      </w:tr>
      <w:tr>
        <w:tc>
          <w:tcPr>
            <w:tcW w:type="dxa" w:w="4795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8324B"/>
                <w:sz w:val="20"/>
              </w:rPr>
              <w:t>Socio operativo</w:t>
            </w:r>
          </w:p>
        </w:tc>
        <w:tc>
          <w:tcPr>
            <w:tcW w:type="dxa" w:w="4795"/>
            <w:tcW w:w="72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02124"/>
                <w:sz w:val="20"/>
              </w:rPr>
              <w:t>[Nome e Cognome - C.F. ●]</w:t>
            </w:r>
          </w:p>
        </w:tc>
      </w:tr>
      <w:tr>
        <w:tc>
          <w:tcPr>
            <w:tcW w:type="dxa" w:w="4795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8324B"/>
                <w:sz w:val="20"/>
              </w:rPr>
              <w:t>Decorrenza</w:t>
            </w:r>
          </w:p>
        </w:tc>
        <w:tc>
          <w:tcPr>
            <w:tcW w:type="dxa" w:w="4795"/>
            <w:tcW w:w="72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02124"/>
                <w:sz w:val="20"/>
              </w:rPr>
              <w:t>[●]</w:t>
            </w:r>
          </w:p>
        </w:tc>
      </w:tr>
      <w:tr>
        <w:tc>
          <w:tcPr>
            <w:tcW w:type="dxa" w:w="4795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8324B"/>
                <w:sz w:val="20"/>
              </w:rPr>
              <w:t>Validità</w:t>
            </w:r>
          </w:p>
        </w:tc>
        <w:tc>
          <w:tcPr>
            <w:tcW w:type="dxa" w:w="4795"/>
            <w:tcW w:w="72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02124"/>
                <w:sz w:val="20"/>
              </w:rPr>
              <w:t>Accordo interno tra i soci</w:t>
            </w:r>
          </w:p>
        </w:tc>
      </w:tr>
    </w:tbl>
    <w:p>
      <w:pPr>
        <w:spacing w:before="0" w:after="120" w:line="264" w:lineRule="auto"/>
      </w:pPr>
      <w:r>
        <w:rPr>
          <w:rFonts w:ascii="Calibri" w:hAnsi="Calibri"/>
          <w:color w:val="202124"/>
          <w:sz w:val="22"/>
        </w:rPr>
        <w:t>Le Parti definiscono con questo documento il ruolo del Socio operativo nella gestione di Tavoria, il compenso per l'attività part-time e il percorso di maturazione della partecipazione concordata.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1. Termini concordati</w:t>
      </w:r>
    </w:p>
    <w:tbl>
      <w:tblPr>
        <w:tblW w:w="9360" w:type="dxa"/>
        <w:tblW w:type="auto" w:w="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2400"/>
        <w:gridCol w:w="6960"/>
      </w:tblGrid>
      <w:tr>
        <w:trPr>
          <w:tblHeader w:val="true"/>
        </w:trPr>
        <w:tc>
          <w:tcPr>
            <w:tcW w:type="dxa" w:w="4795"/>
            <w:shd w:fill="18324B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Voce</w:t>
            </w:r>
          </w:p>
        </w:tc>
        <w:tc>
          <w:tcPr>
            <w:tcW w:type="dxa" w:w="4795"/>
            <w:shd w:fill="18324B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Accordo proposto</w:t>
            </w:r>
          </w:p>
        </w:tc>
      </w:tr>
      <w:tr>
        <w:tc>
          <w:tcPr>
            <w:tcW w:type="dxa" w:w="4795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8324B"/>
                <w:sz w:val="20"/>
              </w:rPr>
              <w:t>Impegno</w:t>
            </w:r>
          </w:p>
        </w:tc>
        <w:tc>
          <w:tcPr>
            <w:tcW w:type="dxa" w:w="4795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02124"/>
                <w:sz w:val="20"/>
              </w:rPr>
              <w:t>Part-time: 16 ore settimanali, con organizzazione flessibile concordata tra i soci.</w:t>
            </w:r>
          </w:p>
        </w:tc>
      </w:tr>
      <w:tr>
        <w:tc>
          <w:tcPr>
            <w:tcW w:type="dxa" w:w="4795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8324B"/>
                <w:sz w:val="20"/>
              </w:rPr>
              <w:t>Compenso</w:t>
            </w:r>
          </w:p>
        </w:tc>
        <w:tc>
          <w:tcPr>
            <w:tcW w:type="dxa" w:w="4795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02124"/>
                <w:sz w:val="20"/>
              </w:rPr>
              <w:t>€1.200 lordi al mese, per 12 mensilità, secondo la forma contrattuale e fiscale concordata con il commercialista.</w:t>
            </w:r>
          </w:p>
        </w:tc>
      </w:tr>
      <w:tr>
        <w:tc>
          <w:tcPr>
            <w:tcW w:type="dxa" w:w="4795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8324B"/>
                <w:sz w:val="20"/>
              </w:rPr>
              <w:t>Partecipazione</w:t>
            </w:r>
          </w:p>
        </w:tc>
        <w:tc>
          <w:tcPr>
            <w:tcW w:type="dxa" w:w="4795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02124"/>
                <w:sz w:val="20"/>
              </w:rPr>
              <w:t>15% del capitale sociale su base fully diluted.</w:t>
            </w:r>
          </w:p>
        </w:tc>
      </w:tr>
      <w:tr>
        <w:tc>
          <w:tcPr>
            <w:tcW w:type="dxa" w:w="4795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8324B"/>
                <w:sz w:val="20"/>
              </w:rPr>
              <w:t>Maturazione</w:t>
            </w:r>
          </w:p>
        </w:tc>
        <w:tc>
          <w:tcPr>
            <w:tcW w:type="dxa" w:w="4795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02124"/>
                <w:sz w:val="20"/>
              </w:rPr>
              <w:t>48 mesi, con cliff di 12 mesi; poi maturazione mensile della quota residua.</w:t>
            </w:r>
          </w:p>
        </w:tc>
      </w:tr>
      <w:tr>
        <w:tc>
          <w:tcPr>
            <w:tcW w:type="dxa" w:w="4795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8324B"/>
                <w:sz w:val="20"/>
              </w:rPr>
              <w:t>Spese marketing</w:t>
            </w:r>
          </w:p>
        </w:tc>
        <w:tc>
          <w:tcPr>
            <w:tcW w:type="dxa" w:w="4795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02124"/>
                <w:sz w:val="20"/>
              </w:rPr>
              <w:t>A carico della Società se approvate; nessuna spesa personale senza autorizzazione scritta.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2E74B5"/>
          <w:sz w:val="32"/>
        </w:rPr>
        <w:t>2. Ruolo del Socio operativo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Calibri" w:hAnsi="Calibri"/>
          <w:color w:val="202124"/>
          <w:sz w:val="22"/>
        </w:rPr>
        <w:t>Mantenere l'app e i servizi tecnici: bug, aggiornamenti, release, monitoraggio, sicurezza, backup e gestione degli incidenti.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Calibri" w:hAnsi="Calibri"/>
          <w:color w:val="202124"/>
          <w:sz w:val="22"/>
        </w:rPr>
        <w:t>Coordinare le priorità di prodotto e, quando necessario, eventuali sviluppatori o fornitori esterni.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Calibri" w:hAnsi="Calibri"/>
          <w:color w:val="202124"/>
          <w:sz w:val="22"/>
        </w:rPr>
        <w:t>Gestire il marketing: strategia, contenuti, campagne, social, partnership, acquisizione utenti e analisi dei risultati.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Calibri" w:hAnsi="Calibri"/>
          <w:color w:val="202124"/>
          <w:sz w:val="22"/>
        </w:rPr>
        <w:t>Presentare ai soci un aggiornamento mensile su stato tecnico, attività marketing, spese e principali KPI.</w:t>
      </w:r>
    </w:p>
    <w:p>
      <w:pPr>
        <w:spacing w:before="0" w:after="120" w:line="264" w:lineRule="auto"/>
      </w:pPr>
      <w:r>
        <w:rPr>
          <w:rFonts w:ascii="Calibri" w:hAnsi="Calibri"/>
          <w:color w:val="202124"/>
          <w:sz w:val="22"/>
        </w:rPr>
        <w:t>Le attività saranno svolte con autonomia operativa, nel limite medio di 16 ore settimanali. Attività aggiuntive o straordinarie richiedono un accordo separato.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3. Compenso e strumenti</w:t>
      </w:r>
    </w:p>
    <w:p>
      <w:pPr>
        <w:spacing w:before="0" w:after="120" w:line="264" w:lineRule="auto"/>
      </w:pPr>
      <w:r>
        <w:rPr>
          <w:rFonts w:ascii="Calibri" w:hAnsi="Calibri"/>
          <w:color w:val="202124"/>
          <w:sz w:val="22"/>
        </w:rPr>
        <w:t>Il compenso di €1.200 lordi mensili sarà pagato con cadenza [mensile / altra: ●]. La modalità concreta - collaborazione, amministratore, lavoro subordinato o altra forma compatibile con il ruolo - sarà definita e documentata separatamente.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Calibri" w:hAnsi="Calibri"/>
          <w:color w:val="202124"/>
          <w:sz w:val="22"/>
        </w:rPr>
        <w:t>La Società mette a disposizione gli accessi necessari a repository, hosting, analytics, account pubblicitari, CRM, domini e strumenti di lavoro.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Calibri" w:hAnsi="Calibri"/>
          <w:color w:val="202124"/>
          <w:sz w:val="22"/>
        </w:rPr>
        <w:t>Il budget per pubblicità, software e fornitori viene approvato dai soci e resta distinto dal compenso e dalla partecipazione.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Calibri" w:hAnsi="Calibri"/>
          <w:color w:val="202124"/>
          <w:sz w:val="22"/>
        </w:rPr>
        <w:t>Le spese approvate e documentate sono rimborsate dalla Società entro [●] giorni.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4. Partecipazione e maturazione</w:t>
      </w:r>
    </w:p>
    <w:p>
      <w:pPr>
        <w:spacing w:before="0" w:after="120" w:line="264" w:lineRule="auto"/>
      </w:pPr>
      <w:r>
        <w:rPr>
          <w:rFonts w:ascii="Calibri" w:hAnsi="Calibri"/>
          <w:color w:val="202124"/>
          <w:sz w:val="22"/>
        </w:rPr>
        <w:t>La Società riconosce al Socio operativo una partecipazione obiettivo pari al 15% del capitale sociale su base fully diluted. La percentuale considera il capitale e gli strumenti partecipativi già emessi o già promessi per iscritto, salvo diversa definizione sottoscritta dai soci.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Calibri" w:hAnsi="Calibri"/>
          <w:color w:val="202124"/>
          <w:sz w:val="22"/>
        </w:rPr>
        <w:t>La maturazione decorre dalla data indicata in copertina e si completa in 48 mesi.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Calibri" w:hAnsi="Calibri"/>
          <w:color w:val="202124"/>
          <w:sz w:val="22"/>
        </w:rPr>
        <w:t>Se il rapporto termina prima del dodicesimo mese, non matura alcuna quota, salvo cessazione imputabile alla Società.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Calibri" w:hAnsi="Calibri"/>
          <w:color w:val="202124"/>
          <w:sz w:val="22"/>
        </w:rPr>
        <w:t>Dopo il dodicesimo mese, la quota matura mensilmente in proporzione al periodo completato.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Calibri" w:hAnsi="Calibri"/>
          <w:color w:val="202124"/>
          <w:sz w:val="22"/>
        </w:rPr>
        <w:t>La quota maturata sarà formalizzata con cessione, aumento di capitale o altro atto societario appropriato entro 60 giorni dalla maturazione, con costi a carico di [Società / soci: ●].</w:t>
      </w:r>
    </w:p>
    <w:p>
      <w:pPr>
        <w:spacing w:before="0" w:after="120" w:line="264" w:lineRule="auto"/>
      </w:pPr>
      <w:r>
        <w:rPr>
          <w:rFonts w:ascii="Calibri" w:hAnsi="Calibri"/>
          <w:color w:val="202124"/>
          <w:sz w:val="22"/>
        </w:rPr>
        <w:t>La percentuale indicata è la proposta economica per il ruolo part-time con compenso. Se il compenso o le ore cambiano in modo sostanziale, i soci rivedono proporzionalmente la partecipazione.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5. Decisioni e proprietà</w:t>
      </w:r>
    </w:p>
    <w:p>
      <w:pPr>
        <w:spacing w:before="0" w:after="120" w:line="264" w:lineRule="auto"/>
      </w:pPr>
      <w:r>
        <w:rPr>
          <w:rFonts w:ascii="Calibri" w:hAnsi="Calibri"/>
          <w:color w:val="202124"/>
          <w:sz w:val="22"/>
        </w:rPr>
        <w:t>Le decisioni strategiche, gli investimenti straordinari e le spese superiori a €[●] restano di competenza dei soci. Il Socio operativo gestisce l'esecuzione ordinaria nel perimetro concordato.</w:t>
      </w:r>
    </w:p>
    <w:p>
      <w:pPr>
        <w:spacing w:before="0" w:after="120" w:line="264" w:lineRule="auto"/>
      </w:pPr>
      <w:r>
        <w:rPr>
          <w:rFonts w:ascii="Calibri" w:hAnsi="Calibri"/>
          <w:color w:val="202124"/>
          <w:sz w:val="22"/>
        </w:rPr>
        <w:t>Codice, contenuti, account, campagne, documentazione e altri materiali creati specificamente per Tavoria nell'ambito del ruolo sono messi a disposizione della Società. I materiali preesistenti del Socio operativo restano di sua titolarità, salvo diverso accordo scritto.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6. Uscita e disposizioni finali</w:t>
      </w:r>
    </w:p>
    <w:p>
      <w:pPr>
        <w:spacing w:before="0" w:after="120" w:line="264" w:lineRule="auto"/>
      </w:pPr>
      <w:r>
        <w:rPr>
          <w:rFonts w:ascii="Calibri" w:hAnsi="Calibri"/>
          <w:color w:val="202124"/>
          <w:sz w:val="22"/>
        </w:rPr>
        <w:t>Ciascuna Parte può terminare l'accordo con un preavviso di 30 giorni. In caso di cessazione non imputabile al Socio operativo, la quota maturata resta di sua titolarità; la quota non maturata si estingue. In caso di grave inadempimento, le Parti definiranno per iscritto gli effetti sulla quota e l'eventuale riacquisto.</w:t>
      </w:r>
    </w:p>
    <w:p>
      <w:pPr>
        <w:spacing w:before="0" w:after="120" w:line="264" w:lineRule="auto"/>
      </w:pPr>
      <w:r>
        <w:rPr>
          <w:rFonts w:ascii="Calibri" w:hAnsi="Calibri"/>
          <w:color w:val="202124"/>
          <w:sz w:val="22"/>
        </w:rPr>
        <w:t>Le modifiche devono essere scritte e firmate dai soci. Il documento è riservato ai soci e deve essere verificato da avvocato e commercialista prima della firma definitiva e della formalizzazione della partecipazione.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Firma</w:t>
      </w:r>
    </w:p>
    <w:p>
      <w:pPr>
        <w:spacing w:before="0" w:after="120" w:line="264" w:lineRule="auto"/>
      </w:pPr>
      <w:r>
        <w:rPr>
          <w:rFonts w:ascii="Calibri" w:hAnsi="Calibri"/>
          <w:color w:val="202124"/>
          <w:sz w:val="22"/>
        </w:rPr>
        <w:t>Luogo e data: [●], [●]</w:t>
      </w:r>
    </w:p>
    <w:tbl>
      <w:tblPr>
        <w:tblW w:w="9360" w:type="dxa"/>
        <w:tblW w:type="auto" w:w="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795"/>
            <w:shd w:fill="F2F4F7"/>
            <w:tcW w:w="46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8324B"/>
                <w:sz w:val="21"/>
              </w:rPr>
              <w:t>K3Y Solutions S.r.l.</w:t>
            </w:r>
          </w:p>
        </w:tc>
        <w:tc>
          <w:tcPr>
            <w:tcW w:type="dxa" w:w="4795"/>
            <w:shd w:fill="F2F4F7"/>
            <w:tcW w:w="46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8324B"/>
                <w:sz w:val="21"/>
              </w:rPr>
              <w:t>Socio operativo</w:t>
            </w:r>
          </w:p>
        </w:tc>
      </w:tr>
      <w:tr>
        <w:tc>
          <w:tcPr>
            <w:tcW w:type="dxa" w:w="4795"/>
            <w:tcW w:w="46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02124"/>
                <w:sz w:val="21"/>
              </w:rPr>
              <w:t>Nome: [●]</w:t>
            </w:r>
          </w:p>
        </w:tc>
        <w:tc>
          <w:tcPr>
            <w:tcW w:type="dxa" w:w="4795"/>
            <w:tcW w:w="46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02124"/>
                <w:sz w:val="21"/>
              </w:rPr>
              <w:t>Nome: [●]</w:t>
            </w:r>
          </w:p>
        </w:tc>
      </w:tr>
      <w:tr>
        <w:tc>
          <w:tcPr>
            <w:tcW w:type="dxa" w:w="4795"/>
            <w:tcW w:w="46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02124"/>
                <w:sz w:val="21"/>
              </w:rPr>
              <w:t>Firma: __________________________</w:t>
            </w:r>
          </w:p>
        </w:tc>
        <w:tc>
          <w:tcPr>
            <w:tcW w:type="dxa" w:w="4795"/>
            <w:tcW w:w="46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202124"/>
                <w:sz w:val="21"/>
              </w:rPr>
              <w:t>Firma: __________________________</w:t>
            </w:r>
          </w:p>
        </w:tc>
      </w:tr>
    </w:tbl>
    <w:p>
      <w:pPr>
        <w:spacing w:before="0" w:after="0" w:line="264" w:lineRule="auto"/>
      </w:pPr>
      <w:r>
        <w:rPr>
          <w:rFonts w:ascii="Calibri" w:hAnsi="Calibri"/>
          <w:color w:val="202124"/>
          <w:sz w:val="22"/>
        </w:rPr>
        <w:t>Campi da completare: dati societari, dati del socio, decorrenza, modalità di pagamento, soglia spese e costi di formalizzazione della quota.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325" w:bottom="1123" w:left="1325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5F6368"/>
        <w:sz w:val="17"/>
      </w:rPr>
      <w:t>Bozza riservata ai soci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/>
        <w:b/>
        <w:color w:val="5F6368"/>
        <w:sz w:val="17"/>
      </w:rPr>
      <w:t>TAVORIA  /  ACCORDO INTERNO TRA SOCI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832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Accordo interno tra soci - Tavoria</dc:title>
  <dc:subject>Ruolo operativo, compenso e partecipazione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