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b/>
          <w:color w:val="A56A00"/>
          <w:sz w:val="19"/>
        </w:rPr>
        <w:t>INTERIM FOUNDER AGREEMENT</w:t>
      </w:r>
    </w:p>
    <w:p>
      <w:pPr>
        <w:pStyle w:val="Title"/>
        <w:spacing w:after="80"/>
      </w:pPr>
      <w:r>
        <w:rPr>
          <w:rFonts w:ascii="Calibri" w:hAnsi="Calibri"/>
          <w:b/>
          <w:color w:val="18324B"/>
          <w:sz w:val="48"/>
        </w:rPr>
        <w:t>Tavoria - Jimwell</w:t>
      </w:r>
    </w:p>
    <w:p>
      <w:pPr>
        <w:pStyle w:val="Subtitle"/>
      </w:pPr>
      <w:r>
        <w:rPr>
          <w:rFonts w:ascii="Calibri" w:hAnsi="Calibri"/>
          <w:color w:val="5F6368"/>
          <w:sz w:val="25"/>
        </w:rPr>
        <w:t>Milan Lead | Growth &amp; Operations</w:t>
      </w:r>
    </w:p>
    <w:tbl>
      <w:tblPr>
        <w:tblW w:type="dxa" w:w="9360"/>
        <w:jc w:val="left"/>
        <w:tblLook w:firstColumn="1" w:firstRow="1" w:lastColumn="0" w:lastRow="0" w:noHBand="0" w:noVBand="1" w:val="04A0"/>
        <w:tblInd w:w="120" w:type="dxa"/>
        <w:tblLayout w:type="fixed"/>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200"/>
        <w:gridCol w:w="7160"/>
      </w:tblGrid>
      <w:tr>
        <w:trPr>
          <w:tblHeader w:val="true"/>
        </w:trPr>
        <w:tc>
          <w:tcPr>
            <w:tcW w:type="dxa" w:w="2200"/>
            <w:shd w:fill="18324B"/>
            <w:tcMar>
              <w:top w:w="100" w:type="dxa"/>
              <w:start w:w="120" w:type="dxa"/>
              <w:bottom w:w="100" w:type="dxa"/>
              <w:end w:w="120" w:type="dxa"/>
            </w:tcMar>
            <w:vAlign w:val="top"/>
          </w:tcPr>
          <w:p>
            <w:pPr>
              <w:spacing w:after="0" w:line="252" w:lineRule="auto"/>
            </w:pPr>
            <w:r>
              <w:rPr>
                <w:rFonts w:ascii="Calibri" w:hAnsi="Calibri"/>
                <w:b/>
                <w:color w:val="FFFFFF"/>
                <w:sz w:val="20"/>
              </w:rPr>
              <w:t>Item</w:t>
            </w:r>
          </w:p>
        </w:tc>
        <w:tc>
          <w:tcPr>
            <w:tcW w:type="dxa" w:w="7160"/>
            <w:shd w:fill="18324B"/>
            <w:tcMar>
              <w:top w:w="100" w:type="dxa"/>
              <w:start w:w="120" w:type="dxa"/>
              <w:bottom w:w="100" w:type="dxa"/>
              <w:end w:w="120" w:type="dxa"/>
            </w:tcMar>
            <w:vAlign w:val="top"/>
          </w:tcPr>
          <w:p>
            <w:pPr>
              <w:spacing w:after="0" w:line="252" w:lineRule="auto"/>
            </w:pPr>
            <w:r>
              <w:rPr>
                <w:rFonts w:ascii="Calibri" w:hAnsi="Calibri"/>
                <w:b/>
                <w:color w:val="FFFFFF"/>
                <w:sz w:val="20"/>
              </w:rPr>
              <w:t>Interim term</w:t>
            </w:r>
          </w:p>
        </w:tc>
      </w:tr>
      <w:tr>
        <w:tc>
          <w:tcPr>
            <w:tcW w:type="dxa" w:w="2200"/>
            <w:tcMar>
              <w:top w:w="100" w:type="dxa"/>
              <w:start w:w="120" w:type="dxa"/>
              <w:bottom w:w="100" w:type="dxa"/>
              <w:end w:w="120" w:type="dxa"/>
            </w:tcMar>
            <w:vAlign w:val="top"/>
          </w:tcPr>
          <w:p>
            <w:pPr>
              <w:spacing w:after="0" w:line="252" w:lineRule="auto"/>
            </w:pPr>
            <w:r>
              <w:rPr>
                <w:rFonts w:ascii="Calibri" w:hAnsi="Calibri"/>
                <w:b/>
                <w:color w:val="18324B"/>
                <w:sz w:val="20"/>
              </w:rPr>
              <w:t>Company</w:t>
            </w:r>
          </w:p>
        </w:tc>
        <w:tc>
          <w:tcPr>
            <w:tcW w:type="dxa" w:w="7160"/>
            <w:tcMar>
              <w:top w:w="100" w:type="dxa"/>
              <w:start w:w="120" w:type="dxa"/>
              <w:bottom w:w="100" w:type="dxa"/>
              <w:end w:w="120" w:type="dxa"/>
            </w:tcMar>
            <w:vAlign w:val="top"/>
          </w:tcPr>
          <w:p>
            <w:pPr>
              <w:spacing w:after="0" w:line="252" w:lineRule="auto"/>
            </w:pPr>
            <w:r>
              <w:rPr>
                <w:rFonts w:ascii="Calibri" w:hAnsi="Calibri"/>
                <w:b w:val="0"/>
                <w:color w:val="202124"/>
                <w:sz w:val="20"/>
              </w:rPr>
              <w:t>K3Y Solutions S.r.l. (the Company)</w:t>
            </w:r>
          </w:p>
        </w:tc>
      </w:tr>
      <w:tr>
        <w:tc>
          <w:tcPr>
            <w:tcW w:type="dxa" w:w="2200"/>
            <w:tcMar>
              <w:top w:w="100" w:type="dxa"/>
              <w:start w:w="120" w:type="dxa"/>
              <w:bottom w:w="100" w:type="dxa"/>
              <w:end w:w="120" w:type="dxa"/>
            </w:tcMar>
            <w:vAlign w:val="top"/>
          </w:tcPr>
          <w:p>
            <w:pPr>
              <w:spacing w:after="0" w:line="252" w:lineRule="auto"/>
            </w:pPr>
            <w:r>
              <w:rPr>
                <w:rFonts w:ascii="Calibri" w:hAnsi="Calibri"/>
                <w:b/>
                <w:color w:val="18324B"/>
                <w:sz w:val="20"/>
              </w:rPr>
              <w:t>Product</w:t>
            </w:r>
          </w:p>
        </w:tc>
        <w:tc>
          <w:tcPr>
            <w:tcW w:type="dxa" w:w="7160"/>
            <w:tcMar>
              <w:top w:w="100" w:type="dxa"/>
              <w:start w:w="120" w:type="dxa"/>
              <w:bottom w:w="100" w:type="dxa"/>
              <w:end w:w="120" w:type="dxa"/>
            </w:tcMar>
            <w:vAlign w:val="top"/>
          </w:tcPr>
          <w:p>
            <w:pPr>
              <w:spacing w:after="0" w:line="252" w:lineRule="auto"/>
            </w:pPr>
            <w:r>
              <w:rPr>
                <w:rFonts w:ascii="Calibri" w:hAnsi="Calibri"/>
                <w:b w:val="0"/>
                <w:color w:val="202124"/>
                <w:sz w:val="20"/>
              </w:rPr>
              <w:t>Tavoria</w:t>
            </w:r>
          </w:p>
        </w:tc>
      </w:tr>
      <w:tr>
        <w:tc>
          <w:tcPr>
            <w:tcW w:type="dxa" w:w="2200"/>
            <w:tcMar>
              <w:top w:w="100" w:type="dxa"/>
              <w:start w:w="120" w:type="dxa"/>
              <w:bottom w:w="100" w:type="dxa"/>
              <w:end w:w="120" w:type="dxa"/>
            </w:tcMar>
            <w:vAlign w:val="top"/>
          </w:tcPr>
          <w:p>
            <w:pPr>
              <w:spacing w:after="0" w:line="252" w:lineRule="auto"/>
            </w:pPr>
            <w:r>
              <w:rPr>
                <w:rFonts w:ascii="Calibri" w:hAnsi="Calibri"/>
                <w:b/>
                <w:color w:val="18324B"/>
                <w:sz w:val="20"/>
              </w:rPr>
              <w:t>Founder</w:t>
            </w:r>
          </w:p>
        </w:tc>
        <w:tc>
          <w:tcPr>
            <w:tcW w:type="dxa" w:w="7160"/>
            <w:tcMar>
              <w:top w:w="100" w:type="dxa"/>
              <w:start w:w="120" w:type="dxa"/>
              <w:bottom w:w="100" w:type="dxa"/>
              <w:end w:w="120" w:type="dxa"/>
            </w:tcMar>
            <w:vAlign w:val="top"/>
          </w:tcPr>
          <w:p>
            <w:pPr>
              <w:spacing w:after="0" w:line="252" w:lineRule="auto"/>
            </w:pPr>
            <w:r>
              <w:rPr>
                <w:rFonts w:ascii="Calibri" w:hAnsi="Calibri"/>
                <w:b w:val="0"/>
                <w:color w:val="202124"/>
                <w:sz w:val="20"/>
              </w:rPr>
              <w:t>Jimwell [full legal name and details to be inserted]</w:t>
            </w:r>
          </w:p>
        </w:tc>
      </w:tr>
      <w:tr>
        <w:tc>
          <w:tcPr>
            <w:tcW w:type="dxa" w:w="2200"/>
            <w:tcMar>
              <w:top w:w="100" w:type="dxa"/>
              <w:start w:w="120" w:type="dxa"/>
              <w:bottom w:w="100" w:type="dxa"/>
              <w:end w:w="120" w:type="dxa"/>
            </w:tcMar>
            <w:vAlign w:val="top"/>
          </w:tcPr>
          <w:p>
            <w:pPr>
              <w:spacing w:after="0" w:line="252" w:lineRule="auto"/>
            </w:pPr>
            <w:r>
              <w:rPr>
                <w:rFonts w:ascii="Calibri" w:hAnsi="Calibri"/>
                <w:b/>
                <w:color w:val="18324B"/>
                <w:sz w:val="20"/>
              </w:rPr>
              <w:t>Other signatory</w:t>
            </w:r>
          </w:p>
        </w:tc>
        <w:tc>
          <w:tcPr>
            <w:tcW w:type="dxa" w:w="7160"/>
            <w:tcMar>
              <w:top w:w="100" w:type="dxa"/>
              <w:start w:w="120" w:type="dxa"/>
              <w:bottom w:w="100" w:type="dxa"/>
              <w:end w:w="120" w:type="dxa"/>
            </w:tcMar>
            <w:vAlign w:val="top"/>
          </w:tcPr>
          <w:p>
            <w:pPr>
              <w:spacing w:after="0" w:line="252" w:lineRule="auto"/>
            </w:pPr>
            <w:r>
              <w:rPr>
                <w:rFonts w:ascii="Calibri" w:hAnsi="Calibri"/>
                <w:b w:val="0"/>
                <w:color w:val="202124"/>
                <w:sz w:val="20"/>
              </w:rPr>
              <w:t>Greg Salvatico, for K3Y Solutions S.r.l.</w:t>
            </w:r>
          </w:p>
        </w:tc>
      </w:tr>
      <w:tr>
        <w:tc>
          <w:tcPr>
            <w:tcW w:type="dxa" w:w="2200"/>
            <w:tcMar>
              <w:top w:w="100" w:type="dxa"/>
              <w:start w:w="120" w:type="dxa"/>
              <w:bottom w:w="100" w:type="dxa"/>
              <w:end w:w="120" w:type="dxa"/>
            </w:tcMar>
            <w:vAlign w:val="top"/>
          </w:tcPr>
          <w:p>
            <w:pPr>
              <w:spacing w:after="0" w:line="252" w:lineRule="auto"/>
            </w:pPr>
            <w:r>
              <w:rPr>
                <w:rFonts w:ascii="Calibri" w:hAnsi="Calibri"/>
                <w:b/>
                <w:color w:val="18324B"/>
                <w:sz w:val="20"/>
              </w:rPr>
              <w:t>Draft date</w:t>
            </w:r>
          </w:p>
        </w:tc>
        <w:tc>
          <w:tcPr>
            <w:tcW w:type="dxa" w:w="7160"/>
            <w:tcMar>
              <w:top w:w="100" w:type="dxa"/>
              <w:start w:w="120" w:type="dxa"/>
              <w:bottom w:w="100" w:type="dxa"/>
              <w:end w:w="120" w:type="dxa"/>
            </w:tcMar>
            <w:vAlign w:val="top"/>
          </w:tcPr>
          <w:p>
            <w:pPr>
              <w:spacing w:after="0" w:line="252" w:lineRule="auto"/>
            </w:pPr>
            <w:r>
              <w:rPr>
                <w:rFonts w:ascii="Calibri" w:hAnsi="Calibri"/>
                <w:b w:val="0"/>
                <w:color w:val="202124"/>
                <w:sz w:val="20"/>
              </w:rPr>
              <w:t>29 June 2026</w:t>
            </w:r>
          </w:p>
        </w:tc>
      </w:tr>
    </w:tbl>
    <w:tbl>
      <w:tblPr>
        <w:tblW w:type="dxa" w:w="9360"/>
        <w:tblLook w:firstColumn="1" w:firstRow="1" w:lastColumn="0" w:lastRow="0" w:noHBand="0" w:noVBand="1" w:val="04A0"/>
        <w:tblInd w:w="120" w:type="dxa"/>
        <w:tblLayout w:type="fixed"/>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9360"/>
      </w:tblGrid>
      <w:tr>
        <w:trPr>
          <w:tblHeader w:val="true"/>
        </w:trPr>
        <w:tc>
          <w:tcPr>
            <w:tcW w:type="dxa" w:w="9360"/>
            <w:shd w:fill="E8EEF5"/>
            <w:tcMar>
              <w:top w:w="100" w:type="dxa"/>
              <w:start w:w="120" w:type="dxa"/>
              <w:bottom w:w="100" w:type="dxa"/>
              <w:end w:w="120" w:type="dxa"/>
            </w:tcMar>
            <w:vAlign w:val="top"/>
          </w:tcPr>
          <w:p>
            <w:pPr>
              <w:spacing w:after="60"/>
            </w:pPr>
            <w:r>
              <w:rPr>
                <w:rFonts w:ascii="Calibri" w:hAnsi="Calibri"/>
                <w:b/>
                <w:color w:val="2E74B5"/>
                <w:sz w:val="21"/>
              </w:rPr>
              <w:t>Purpose and status</w:t>
            </w:r>
          </w:p>
          <w:p>
            <w:pPr>
              <w:spacing w:after="0" w:line="252" w:lineRule="auto"/>
            </w:pPr>
            <w:r>
              <w:rPr>
                <w:rFonts w:ascii="Calibri" w:hAnsi="Calibri"/>
                <w:color w:val="202124"/>
                <w:sz w:val="20"/>
              </w:rPr>
              <w:t>This is a temporary founder agreement. It is binding on the core economic, role and process commitments stated below and is intended to be replaced by a definitive vesting agreement and equity instrument within 30 calendar days. The Company will not use the temporary nature of this document to withdraw or materially reduce the agreed economic terms.</w:t>
            </w:r>
          </w:p>
        </w:tc>
      </w:tr>
    </w:tbl>
    <w:p>
      <w:pPr>
        <w:pStyle w:val="Heading1"/>
      </w:pPr>
      <w:r>
        <w:rPr>
          <w:rFonts w:ascii="Calibri" w:hAnsi="Calibri"/>
          <w:b/>
          <w:color w:val="2E74B5"/>
          <w:sz w:val="32"/>
        </w:rPr>
        <w:t>1. Compensation summary</w:t>
      </w:r>
    </w:p>
    <w:tbl>
      <w:tblPr>
        <w:tblW w:type="dxa" w:w="9360"/>
        <w:jc w:val="left"/>
        <w:tblLook w:firstColumn="1" w:firstRow="1" w:lastColumn="0" w:lastRow="0" w:noHBand="0" w:noVBand="1" w:val="04A0"/>
        <w:tblInd w:w="120" w:type="dxa"/>
        <w:tblLayout w:type="fixed"/>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300"/>
        <w:gridCol w:w="7060"/>
      </w:tblGrid>
      <w:tr>
        <w:trPr>
          <w:tblHeader w:val="true"/>
        </w:trPr>
        <w:tc>
          <w:tcPr>
            <w:tcW w:type="dxa" w:w="2300"/>
            <w:shd w:fill="18324B"/>
            <w:tcMar>
              <w:top w:w="100" w:type="dxa"/>
              <w:start w:w="120" w:type="dxa"/>
              <w:bottom w:w="100" w:type="dxa"/>
              <w:end w:w="120" w:type="dxa"/>
            </w:tcMar>
            <w:vAlign w:val="top"/>
          </w:tcPr>
          <w:p>
            <w:pPr>
              <w:spacing w:after="0" w:line="252" w:lineRule="auto"/>
            </w:pPr>
            <w:r>
              <w:rPr>
                <w:rFonts w:ascii="Calibri" w:hAnsi="Calibri"/>
                <w:b/>
                <w:color w:val="FFFFFF"/>
                <w:sz w:val="20"/>
              </w:rPr>
              <w:t>Term</w:t>
            </w:r>
          </w:p>
        </w:tc>
        <w:tc>
          <w:tcPr>
            <w:tcW w:type="dxa" w:w="7060"/>
            <w:shd w:fill="18324B"/>
            <w:tcMar>
              <w:top w:w="100" w:type="dxa"/>
              <w:start w:w="120" w:type="dxa"/>
              <w:bottom w:w="100" w:type="dxa"/>
              <w:end w:w="120" w:type="dxa"/>
            </w:tcMar>
            <w:vAlign w:val="top"/>
          </w:tcPr>
          <w:p>
            <w:pPr>
              <w:spacing w:after="0" w:line="252" w:lineRule="auto"/>
            </w:pPr>
            <w:r>
              <w:rPr>
                <w:rFonts w:ascii="Calibri" w:hAnsi="Calibri"/>
                <w:b/>
                <w:color w:val="FFFFFF"/>
                <w:sz w:val="20"/>
              </w:rPr>
              <w:t>Agreed position</w:t>
            </w:r>
          </w:p>
        </w:tc>
      </w:tr>
      <w:tr>
        <w:tc>
          <w:tcPr>
            <w:tcW w:type="dxa" w:w="2300"/>
            <w:tcMar>
              <w:top w:w="100" w:type="dxa"/>
              <w:start w:w="120" w:type="dxa"/>
              <w:bottom w:w="100" w:type="dxa"/>
              <w:end w:w="120" w:type="dxa"/>
            </w:tcMar>
            <w:vAlign w:val="top"/>
          </w:tcPr>
          <w:p>
            <w:pPr>
              <w:spacing w:after="0" w:line="252" w:lineRule="auto"/>
            </w:pPr>
            <w:r>
              <w:rPr>
                <w:rFonts w:ascii="Calibri" w:hAnsi="Calibri"/>
                <w:b/>
                <w:color w:val="18324B"/>
                <w:sz w:val="20"/>
              </w:rPr>
              <w:t>Equity</w:t>
            </w:r>
          </w:p>
        </w:tc>
        <w:tc>
          <w:tcPr>
            <w:tcW w:type="dxa" w:w="7060"/>
            <w:tcMar>
              <w:top w:w="100" w:type="dxa"/>
              <w:start w:w="120" w:type="dxa"/>
              <w:bottom w:w="100" w:type="dxa"/>
              <w:end w:w="120" w:type="dxa"/>
            </w:tcMar>
            <w:vAlign w:val="top"/>
          </w:tcPr>
          <w:p>
            <w:pPr>
              <w:spacing w:after="0" w:line="252" w:lineRule="auto"/>
            </w:pPr>
            <w:r>
              <w:rPr>
                <w:rFonts w:ascii="Calibri" w:hAnsi="Calibri"/>
                <w:b w:val="0"/>
                <w:color w:val="202124"/>
                <w:sz w:val="20"/>
              </w:rPr>
              <w:t>10% of K3Y Solutions S.r.l. on a fully diluted basis. If Tavoria is moved into a new entity, the Company will provide equivalent 10% economics in that entity or an equivalent instrument.</w:t>
            </w:r>
          </w:p>
        </w:tc>
      </w:tr>
      <w:tr>
        <w:tc>
          <w:tcPr>
            <w:tcW w:type="dxa" w:w="2300"/>
            <w:tcMar>
              <w:top w:w="100" w:type="dxa"/>
              <w:start w:w="120" w:type="dxa"/>
              <w:bottom w:w="100" w:type="dxa"/>
              <w:end w:w="120" w:type="dxa"/>
            </w:tcMar>
            <w:vAlign w:val="top"/>
          </w:tcPr>
          <w:p>
            <w:pPr>
              <w:spacing w:after="0" w:line="252" w:lineRule="auto"/>
            </w:pPr>
            <w:r>
              <w:rPr>
                <w:rFonts w:ascii="Calibri" w:hAnsi="Calibri"/>
                <w:b/>
                <w:color w:val="18324B"/>
                <w:sz w:val="20"/>
              </w:rPr>
              <w:t>Vesting</w:t>
            </w:r>
          </w:p>
        </w:tc>
        <w:tc>
          <w:tcPr>
            <w:tcW w:type="dxa" w:w="7060"/>
            <w:tcMar>
              <w:top w:w="100" w:type="dxa"/>
              <w:start w:w="120" w:type="dxa"/>
              <w:bottom w:w="100" w:type="dxa"/>
              <w:end w:w="120" w:type="dxa"/>
            </w:tcMar>
            <w:vAlign w:val="top"/>
          </w:tcPr>
          <w:p>
            <w:pPr>
              <w:spacing w:after="0" w:line="252" w:lineRule="auto"/>
            </w:pPr>
            <w:r>
              <w:rPr>
                <w:rFonts w:ascii="Calibri" w:hAnsi="Calibri"/>
                <w:b w:val="0"/>
                <w:color w:val="202124"/>
                <w:sz w:val="20"/>
              </w:rPr>
              <w:t>One year from the Start Date, with a three-month cliff. After the cliff, vesting occurs monthly. The four-week trial is included in, not added to, the vesting period.</w:t>
            </w:r>
          </w:p>
        </w:tc>
      </w:tr>
      <w:tr>
        <w:tc>
          <w:tcPr>
            <w:tcW w:type="dxa" w:w="2300"/>
            <w:tcMar>
              <w:top w:w="100" w:type="dxa"/>
              <w:start w:w="120" w:type="dxa"/>
              <w:bottom w:w="100" w:type="dxa"/>
              <w:end w:w="120" w:type="dxa"/>
            </w:tcMar>
            <w:vAlign w:val="top"/>
          </w:tcPr>
          <w:p>
            <w:pPr>
              <w:spacing w:after="0" w:line="252" w:lineRule="auto"/>
            </w:pPr>
            <w:r>
              <w:rPr>
                <w:rFonts w:ascii="Calibri" w:hAnsi="Calibri"/>
                <w:b/>
                <w:color w:val="18324B"/>
                <w:sz w:val="20"/>
              </w:rPr>
              <w:t>Milestone acceleration</w:t>
            </w:r>
          </w:p>
        </w:tc>
        <w:tc>
          <w:tcPr>
            <w:tcW w:type="dxa" w:w="7060"/>
            <w:tcMar>
              <w:top w:w="100" w:type="dxa"/>
              <w:start w:w="120" w:type="dxa"/>
              <w:bottom w:w="100" w:type="dxa"/>
              <w:end w:w="120" w:type="dxa"/>
            </w:tcMar>
            <w:vAlign w:val="top"/>
          </w:tcPr>
          <w:p>
            <w:pPr>
              <w:spacing w:after="0" w:line="252" w:lineRule="auto"/>
            </w:pPr>
            <w:r>
              <w:rPr>
                <w:rFonts w:ascii="Calibri" w:hAnsi="Calibri"/>
                <w:b w:val="0"/>
                <w:color w:val="202124"/>
                <w:sz w:val="20"/>
              </w:rPr>
              <w:t>25% of the total grant (2.5% of the Company) unlocks when Tavoria reaches 100 signed venues. A further 25% of the total grant (2.5%) unlocks when Tavoria reaches €[X] in verified cumulative revenue. The remaining grant continues on the time vesting schedule. Total equity cannot exceed 10%.</w:t>
            </w:r>
          </w:p>
        </w:tc>
      </w:tr>
      <w:tr>
        <w:tc>
          <w:tcPr>
            <w:tcW w:type="dxa" w:w="2300"/>
            <w:tcMar>
              <w:top w:w="100" w:type="dxa"/>
              <w:start w:w="120" w:type="dxa"/>
              <w:bottom w:w="100" w:type="dxa"/>
              <w:end w:w="120" w:type="dxa"/>
            </w:tcMar>
            <w:vAlign w:val="top"/>
          </w:tcPr>
          <w:p>
            <w:pPr>
              <w:spacing w:after="0" w:line="252" w:lineRule="auto"/>
            </w:pPr>
            <w:r>
              <w:rPr>
                <w:rFonts w:ascii="Calibri" w:hAnsi="Calibri"/>
                <w:b/>
                <w:color w:val="18324B"/>
                <w:sz w:val="20"/>
              </w:rPr>
              <w:t>Cash</w:t>
            </w:r>
          </w:p>
        </w:tc>
        <w:tc>
          <w:tcPr>
            <w:tcW w:type="dxa" w:w="7060"/>
            <w:tcMar>
              <w:top w:w="100" w:type="dxa"/>
              <w:start w:w="120" w:type="dxa"/>
              <w:bottom w:w="100" w:type="dxa"/>
              <w:end w:w="120" w:type="dxa"/>
            </w:tcMar>
            <w:vAlign w:val="top"/>
          </w:tcPr>
          <w:p>
            <w:pPr>
              <w:spacing w:after="0" w:line="252" w:lineRule="auto"/>
            </w:pPr>
            <w:r>
              <w:rPr>
                <w:rFonts w:ascii="Calibri" w:hAnsi="Calibri"/>
                <w:b w:val="0"/>
                <w:color w:val="202124"/>
                <w:sz w:val="20"/>
              </w:rPr>
              <w:t>€1,500 gross per month from Month 5 onward after the first investment closes. If the investment closes after Month 5, the salary is payable retroactively from the first day of Month 5. If no investment has closed by the end of Month 5, the Parties will agree a minimum interim retainer of €1,200 gross per month before Month 5 ends.</w:t>
            </w:r>
          </w:p>
        </w:tc>
      </w:tr>
      <w:tr>
        <w:tc>
          <w:tcPr>
            <w:tcW w:type="dxa" w:w="2300"/>
            <w:tcMar>
              <w:top w:w="100" w:type="dxa"/>
              <w:start w:w="120" w:type="dxa"/>
              <w:bottom w:w="100" w:type="dxa"/>
              <w:end w:w="120" w:type="dxa"/>
            </w:tcMar>
            <w:vAlign w:val="top"/>
          </w:tcPr>
          <w:p>
            <w:pPr>
              <w:spacing w:after="0" w:line="252" w:lineRule="auto"/>
            </w:pPr>
            <w:r>
              <w:rPr>
                <w:rFonts w:ascii="Calibri" w:hAnsi="Calibri"/>
                <w:b/>
                <w:color w:val="18324B"/>
                <w:sz w:val="20"/>
              </w:rPr>
              <w:t>Title</w:t>
            </w:r>
          </w:p>
        </w:tc>
        <w:tc>
          <w:tcPr>
            <w:tcW w:type="dxa" w:w="7060"/>
            <w:tcMar>
              <w:top w:w="100" w:type="dxa"/>
              <w:start w:w="120" w:type="dxa"/>
              <w:bottom w:w="100" w:type="dxa"/>
              <w:end w:w="120" w:type="dxa"/>
            </w:tcMar>
            <w:vAlign w:val="top"/>
          </w:tcPr>
          <w:p>
            <w:pPr>
              <w:spacing w:after="0" w:line="252" w:lineRule="auto"/>
            </w:pPr>
            <w:r>
              <w:rPr>
                <w:rFonts w:ascii="Calibri" w:hAnsi="Calibri"/>
                <w:b w:val="0"/>
                <w:color w:val="202124"/>
                <w:sz w:val="20"/>
              </w:rPr>
              <w:t>Months 1-4: Milan Lead - Growth &amp; Operations. From Month 5: VP Growth &amp; Operations, Italy, subject to the investment or written confirmation by the Company.</w:t>
            </w:r>
          </w:p>
        </w:tc>
      </w:tr>
    </w:tbl>
    <w:p>
      <w:pPr>
        <w:pStyle w:val="Heading1"/>
      </w:pPr>
      <w:r>
        <w:rPr>
          <w:rFonts w:ascii="Calibri" w:hAnsi="Calibri"/>
          <w:b/>
          <w:color w:val="2E74B5"/>
          <w:sz w:val="32"/>
        </w:rPr>
        <w:t>2. Role and scope</w:t>
      </w:r>
    </w:p>
    <w:p>
      <w:pPr>
        <w:spacing w:before="0" w:after="120" w:line="264" w:lineRule="auto"/>
      </w:pPr>
      <w:r>
        <w:rPr>
          <w:rFonts w:ascii="Calibri" w:hAnsi="Calibri"/>
          <w:color w:val="202124"/>
          <w:sz w:val="21"/>
        </w:rPr>
        <w:t>Jimwell will work part-time, with an expected average commitment of 16 hours per week. The role is operational and managerial; it does not require Jimwell to perform door-to-door marketing personally or to relocate to Milan within two weeks.</w:t>
      </w:r>
    </w:p>
    <w:p>
      <w:pPr>
        <w:spacing w:before="0" w:after="80" w:line="276" w:lineRule="auto"/>
        <w:ind w:left="504" w:hanging="259"/>
      </w:pPr>
      <w:r>
        <w:rPr>
          <w:rFonts w:ascii="Calibri" w:hAnsi="Calibri"/>
          <w:b/>
          <w:color w:val="2E74B5"/>
          <w:sz w:val="21"/>
        </w:rPr>
        <w:t xml:space="preserve">• </w:t>
      </w:r>
      <w:r>
        <w:rPr>
          <w:rFonts w:ascii="Calibri" w:hAnsi="Calibri"/>
          <w:color w:val="202124"/>
          <w:sz w:val="21"/>
        </w:rPr>
        <w:t>Own the maintenance and day-to-day operational reliability of the Tavoria app, including releases, bugs, critical incidents, vendors and technical access.</w:t>
      </w:r>
    </w:p>
    <w:p>
      <w:pPr>
        <w:spacing w:before="0" w:after="80" w:line="276" w:lineRule="auto"/>
        <w:ind w:left="504" w:hanging="259"/>
      </w:pPr>
      <w:r>
        <w:rPr>
          <w:rFonts w:ascii="Calibri" w:hAnsi="Calibri"/>
          <w:b/>
          <w:color w:val="2E74B5"/>
          <w:sz w:val="21"/>
        </w:rPr>
        <w:t xml:space="preserve">• </w:t>
      </w:r>
      <w:r>
        <w:rPr>
          <w:rFonts w:ascii="Calibri" w:hAnsi="Calibri"/>
          <w:color w:val="202124"/>
          <w:sz w:val="21"/>
        </w:rPr>
        <w:t>Recruit, train, schedule and manage the field representatives carrying out venue acquisition. Jimwell will be accountable for their system, targets and performance, not required to replace them by doing five days per week of personal door-to-door sales.</w:t>
      </w:r>
    </w:p>
    <w:p>
      <w:pPr>
        <w:spacing w:before="0" w:after="80" w:line="276" w:lineRule="auto"/>
        <w:ind w:left="504" w:hanging="259"/>
      </w:pPr>
      <w:r>
        <w:rPr>
          <w:rFonts w:ascii="Calibri" w:hAnsi="Calibri"/>
          <w:b/>
          <w:color w:val="2E74B5"/>
          <w:sz w:val="21"/>
        </w:rPr>
        <w:t xml:space="preserve">• </w:t>
      </w:r>
      <w:r>
        <w:rPr>
          <w:rFonts w:ascii="Calibri" w:hAnsi="Calibri"/>
          <w:color w:val="202124"/>
          <w:sz w:val="21"/>
        </w:rPr>
        <w:t>Own the Milan CRM and playbook: venue pipeline, scripts, follow-up cadence, WhatsApp process, rep training and reporting.</w:t>
      </w:r>
    </w:p>
    <w:p>
      <w:pPr>
        <w:spacing w:before="0" w:after="80" w:line="276" w:lineRule="auto"/>
        <w:ind w:left="504" w:hanging="259"/>
      </w:pPr>
      <w:r>
        <w:rPr>
          <w:rFonts w:ascii="Calibri" w:hAnsi="Calibri"/>
          <w:b/>
          <w:color w:val="2E74B5"/>
          <w:sz w:val="21"/>
        </w:rPr>
        <w:t xml:space="preserve">• </w:t>
      </w:r>
      <w:r>
        <w:rPr>
          <w:rFonts w:ascii="Calibri" w:hAnsi="Calibri"/>
          <w:color w:val="202124"/>
          <w:sz w:val="21"/>
        </w:rPr>
        <w:t>Coordinate venue acquisition, worker growth, school/community partnerships, content, paid pilots and customer support within the approved budget.</w:t>
      </w:r>
    </w:p>
    <w:p>
      <w:pPr>
        <w:spacing w:before="0" w:after="80" w:line="276" w:lineRule="auto"/>
        <w:ind w:left="504" w:hanging="259"/>
      </w:pPr>
      <w:r>
        <w:rPr>
          <w:rFonts w:ascii="Calibri" w:hAnsi="Calibri"/>
          <w:b/>
          <w:color w:val="2E74B5"/>
          <w:sz w:val="21"/>
        </w:rPr>
        <w:t xml:space="preserve">• </w:t>
      </w:r>
      <w:r>
        <w:rPr>
          <w:rFonts w:ascii="Calibri" w:hAnsi="Calibri"/>
          <w:color w:val="202124"/>
          <w:sz w:val="21"/>
        </w:rPr>
        <w:t>Prepare the Milan data room, metrics, testimonials and operating playbook for investor conversations and future city replication.</w:t>
      </w:r>
    </w:p>
    <w:p>
      <w:pPr>
        <w:spacing w:before="0" w:after="80" w:line="276" w:lineRule="auto"/>
        <w:ind w:left="504" w:hanging="259"/>
      </w:pPr>
      <w:r>
        <w:rPr>
          <w:rFonts w:ascii="Calibri" w:hAnsi="Calibri"/>
          <w:b/>
          <w:color w:val="2E74B5"/>
          <w:sz w:val="21"/>
        </w:rPr>
        <w:t xml:space="preserve">• </w:t>
      </w:r>
      <w:r>
        <w:rPr>
          <w:rFonts w:ascii="Calibri" w:hAnsi="Calibri"/>
          <w:color w:val="202124"/>
          <w:sz w:val="21"/>
        </w:rPr>
        <w:t>Report directly to Greg and participate in important strategic decisions affecting Tavoria, the Italian team, the budget, the product or the equity plan.</w:t>
      </w:r>
    </w:p>
    <w:p>
      <w:pPr>
        <w:pStyle w:val="Heading1"/>
      </w:pPr>
      <w:r>
        <w:rPr>
          <w:rFonts w:ascii="Calibri" w:hAnsi="Calibri"/>
          <w:b/>
          <w:color w:val="2E74B5"/>
          <w:sz w:val="32"/>
        </w:rPr>
        <w:t>3. Phased objectives</w:t>
      </w:r>
    </w:p>
    <w:tbl>
      <w:tblPr>
        <w:tblW w:type="dxa" w:w="9360"/>
        <w:jc w:val="left"/>
        <w:tblLook w:firstColumn="1" w:firstRow="1" w:lastColumn="0" w:lastRow="0" w:noHBand="0" w:noVBand="1" w:val="04A0"/>
        <w:tblInd w:w="120" w:type="dxa"/>
        <w:tblLayout w:type="fixed"/>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700"/>
        <w:gridCol w:w="7660"/>
      </w:tblGrid>
      <w:tr>
        <w:trPr>
          <w:tblHeader w:val="true"/>
        </w:trPr>
        <w:tc>
          <w:tcPr>
            <w:tcW w:type="dxa" w:w="1700"/>
            <w:shd w:fill="18324B"/>
            <w:tcMar>
              <w:top w:w="100" w:type="dxa"/>
              <w:start w:w="120" w:type="dxa"/>
              <w:bottom w:w="100" w:type="dxa"/>
              <w:end w:w="120" w:type="dxa"/>
            </w:tcMar>
            <w:vAlign w:val="top"/>
          </w:tcPr>
          <w:p>
            <w:pPr>
              <w:spacing w:after="0" w:line="252" w:lineRule="auto"/>
            </w:pPr>
            <w:r>
              <w:rPr>
                <w:rFonts w:ascii="Calibri" w:hAnsi="Calibri"/>
                <w:b/>
                <w:color w:val="FFFFFF"/>
                <w:sz w:val="20"/>
              </w:rPr>
              <w:t>Phase</w:t>
            </w:r>
          </w:p>
        </w:tc>
        <w:tc>
          <w:tcPr>
            <w:tcW w:type="dxa" w:w="7660"/>
            <w:shd w:fill="18324B"/>
            <w:tcMar>
              <w:top w:w="100" w:type="dxa"/>
              <w:start w:w="120" w:type="dxa"/>
              <w:bottom w:w="100" w:type="dxa"/>
              <w:end w:w="120" w:type="dxa"/>
            </w:tcMar>
            <w:vAlign w:val="top"/>
          </w:tcPr>
          <w:p>
            <w:pPr>
              <w:spacing w:after="0" w:line="252" w:lineRule="auto"/>
            </w:pPr>
            <w:r>
              <w:rPr>
                <w:rFonts w:ascii="Calibri" w:hAnsi="Calibri"/>
                <w:b/>
                <w:color w:val="FFFFFF"/>
                <w:sz w:val="20"/>
              </w:rPr>
              <w:t>Target and output</w:t>
            </w:r>
          </w:p>
        </w:tc>
      </w:tr>
      <w:tr>
        <w:tc>
          <w:tcPr>
            <w:tcW w:type="dxa" w:w="1700"/>
            <w:tcMar>
              <w:top w:w="100" w:type="dxa"/>
              <w:start w:w="120" w:type="dxa"/>
              <w:bottom w:w="100" w:type="dxa"/>
              <w:end w:w="120" w:type="dxa"/>
            </w:tcMar>
            <w:vAlign w:val="top"/>
          </w:tcPr>
          <w:p>
            <w:pPr>
              <w:spacing w:after="0" w:line="252" w:lineRule="auto"/>
            </w:pPr>
            <w:r>
              <w:rPr>
                <w:rFonts w:ascii="Calibri" w:hAnsi="Calibri"/>
                <w:b/>
                <w:color w:val="18324B"/>
                <w:sz w:val="20"/>
              </w:rPr>
              <w:t>Month 1</w:t>
            </w:r>
          </w:p>
        </w:tc>
        <w:tc>
          <w:tcPr>
            <w:tcW w:type="dxa" w:w="7660"/>
            <w:tcMar>
              <w:top w:w="100" w:type="dxa"/>
              <w:start w:w="120" w:type="dxa"/>
              <w:bottom w:w="100" w:type="dxa"/>
              <w:end w:w="120" w:type="dxa"/>
            </w:tcMar>
            <w:vAlign w:val="top"/>
          </w:tcPr>
          <w:p>
            <w:pPr>
              <w:spacing w:after="0" w:line="252" w:lineRule="auto"/>
            </w:pPr>
            <w:r>
              <w:rPr>
                <w:rFonts w:ascii="Calibri" w:hAnsi="Calibri"/>
                <w:b w:val="0"/>
                <w:color w:val="202124"/>
                <w:sz w:val="20"/>
              </w:rPr>
              <w:t>20 signed venues, 200 worker signups and 5 successful hires. Set up CRM, WhatsApp Business, rep system and operating reporting.</w:t>
            </w:r>
          </w:p>
        </w:tc>
      </w:tr>
      <w:tr>
        <w:tc>
          <w:tcPr>
            <w:tcW w:type="dxa" w:w="1700"/>
            <w:tcMar>
              <w:top w:w="100" w:type="dxa"/>
              <w:start w:w="120" w:type="dxa"/>
              <w:bottom w:w="100" w:type="dxa"/>
              <w:end w:w="120" w:type="dxa"/>
            </w:tcMar>
            <w:vAlign w:val="top"/>
          </w:tcPr>
          <w:p>
            <w:pPr>
              <w:spacing w:after="0" w:line="252" w:lineRule="auto"/>
            </w:pPr>
            <w:r>
              <w:rPr>
                <w:rFonts w:ascii="Calibri" w:hAnsi="Calibri"/>
                <w:b/>
                <w:color w:val="18324B"/>
                <w:sz w:val="20"/>
              </w:rPr>
              <w:t>Month 2</w:t>
            </w:r>
          </w:p>
        </w:tc>
        <w:tc>
          <w:tcPr>
            <w:tcW w:type="dxa" w:w="7660"/>
            <w:tcMar>
              <w:top w:w="100" w:type="dxa"/>
              <w:start w:w="120" w:type="dxa"/>
              <w:bottom w:w="100" w:type="dxa"/>
              <w:end w:w="120" w:type="dxa"/>
            </w:tcMar>
            <w:vAlign w:val="top"/>
          </w:tcPr>
          <w:p>
            <w:pPr>
              <w:spacing w:after="0" w:line="252" w:lineRule="auto"/>
            </w:pPr>
            <w:r>
              <w:rPr>
                <w:rFonts w:ascii="Calibri" w:hAnsi="Calibri"/>
                <w:b w:val="0"/>
                <w:color w:val="202124"/>
                <w:sz w:val="20"/>
              </w:rPr>
              <w:t>Cumulative 50 signed venues, 600 workers and 20 hires. Activate school/community pipelines and the Founding Venue 50 campaign.</w:t>
            </w:r>
          </w:p>
        </w:tc>
      </w:tr>
      <w:tr>
        <w:tc>
          <w:tcPr>
            <w:tcW w:type="dxa" w:w="1700"/>
            <w:tcMar>
              <w:top w:w="100" w:type="dxa"/>
              <w:start w:w="120" w:type="dxa"/>
              <w:bottom w:w="100" w:type="dxa"/>
              <w:end w:w="120" w:type="dxa"/>
            </w:tcMar>
            <w:vAlign w:val="top"/>
          </w:tcPr>
          <w:p>
            <w:pPr>
              <w:spacing w:after="0" w:line="252" w:lineRule="auto"/>
            </w:pPr>
            <w:r>
              <w:rPr>
                <w:rFonts w:ascii="Calibri" w:hAnsi="Calibri"/>
                <w:b/>
                <w:color w:val="18324B"/>
                <w:sz w:val="20"/>
              </w:rPr>
              <w:t>Month 3</w:t>
            </w:r>
          </w:p>
        </w:tc>
        <w:tc>
          <w:tcPr>
            <w:tcW w:type="dxa" w:w="7660"/>
            <w:tcMar>
              <w:top w:w="100" w:type="dxa"/>
              <w:start w:w="120" w:type="dxa"/>
              <w:bottom w:w="100" w:type="dxa"/>
              <w:end w:w="120" w:type="dxa"/>
            </w:tcMar>
            <w:vAlign w:val="top"/>
          </w:tcPr>
          <w:p>
            <w:pPr>
              <w:spacing w:after="0" w:line="252" w:lineRule="auto"/>
            </w:pPr>
            <w:r>
              <w:rPr>
                <w:rFonts w:ascii="Calibri" w:hAnsi="Calibri"/>
                <w:b w:val="0"/>
                <w:color w:val="202124"/>
                <w:sz w:val="20"/>
              </w:rPr>
              <w:t>Cumulative 75 signed venues, 1,000 workers and 40 hires. Activate the first paying venue, document the Milan Playbook and begin warm investor introductions.</w:t>
            </w:r>
          </w:p>
        </w:tc>
      </w:tr>
      <w:tr>
        <w:tc>
          <w:tcPr>
            <w:tcW w:type="dxa" w:w="1700"/>
            <w:tcMar>
              <w:top w:w="100" w:type="dxa"/>
              <w:start w:w="120" w:type="dxa"/>
              <w:bottom w:w="100" w:type="dxa"/>
              <w:end w:w="120" w:type="dxa"/>
            </w:tcMar>
            <w:vAlign w:val="top"/>
          </w:tcPr>
          <w:p>
            <w:pPr>
              <w:spacing w:after="0" w:line="252" w:lineRule="auto"/>
            </w:pPr>
            <w:r>
              <w:rPr>
                <w:rFonts w:ascii="Calibri" w:hAnsi="Calibri"/>
                <w:b/>
                <w:color w:val="18324B"/>
                <w:sz w:val="20"/>
              </w:rPr>
              <w:t>Month 4</w:t>
            </w:r>
          </w:p>
        </w:tc>
        <w:tc>
          <w:tcPr>
            <w:tcW w:type="dxa" w:w="7660"/>
            <w:tcMar>
              <w:top w:w="100" w:type="dxa"/>
              <w:start w:w="120" w:type="dxa"/>
              <w:bottom w:w="100" w:type="dxa"/>
              <w:end w:w="120" w:type="dxa"/>
            </w:tcMar>
            <w:vAlign w:val="top"/>
          </w:tcPr>
          <w:p>
            <w:pPr>
              <w:spacing w:after="0" w:line="252" w:lineRule="auto"/>
            </w:pPr>
            <w:r>
              <w:rPr>
                <w:rFonts w:ascii="Calibri" w:hAnsi="Calibri"/>
                <w:b w:val="0"/>
                <w:color w:val="202124"/>
                <w:sz w:val="20"/>
              </w:rPr>
              <w:t>Cumulative 100 signed venues, 1,500 workers and 50 hires. Lock metrics, data room and investor materials; co-present where appropriate.</w:t>
            </w:r>
          </w:p>
        </w:tc>
      </w:tr>
    </w:tbl>
    <w:p>
      <w:pPr>
        <w:spacing w:before="0" w:after="120" w:line="264" w:lineRule="auto"/>
      </w:pPr>
      <w:r>
        <w:rPr>
          <w:rFonts w:ascii="Calibri" w:hAnsi="Calibri"/>
          <w:color w:val="202124"/>
          <w:sz w:val="21"/>
        </w:rPr>
        <w:t>Targets are shared operating objectives, not a guarantee of market results. Milestone achievement will be measured using the Company's CRM, payment records and other verifiable data, and will not be withheld because of an internal reporting delay.</w:t>
      </w:r>
    </w:p>
    <w:p>
      <w:pPr>
        <w:pStyle w:val="Heading1"/>
      </w:pPr>
      <w:r>
        <w:rPr>
          <w:rFonts w:ascii="Calibri" w:hAnsi="Calibri"/>
          <w:b/>
          <w:color w:val="2E74B5"/>
          <w:sz w:val="32"/>
        </w:rPr>
        <w:t>4. Working rhythm and authority</w:t>
      </w:r>
    </w:p>
    <w:p>
      <w:pPr>
        <w:spacing w:before="0" w:after="80" w:line="276" w:lineRule="auto"/>
        <w:ind w:left="504" w:hanging="259"/>
      </w:pPr>
      <w:r>
        <w:rPr>
          <w:rFonts w:ascii="Calibri" w:hAnsi="Calibri"/>
          <w:b/>
          <w:color w:val="2E74B5"/>
          <w:sz w:val="21"/>
        </w:rPr>
        <w:t xml:space="preserve">• </w:t>
      </w:r>
      <w:r>
        <w:rPr>
          <w:rFonts w:ascii="Calibri" w:hAnsi="Calibri"/>
          <w:color w:val="202124"/>
          <w:sz w:val="21"/>
        </w:rPr>
        <w:t>During Month 1: one short async update by 5pm on working days. From Month 2 onward: a weekly written operating update plus the Monday strategy call, unless the Parties agree otherwise.</w:t>
      </w:r>
    </w:p>
    <w:p>
      <w:pPr>
        <w:spacing w:before="0" w:after="80" w:line="276" w:lineRule="auto"/>
        <w:ind w:left="504" w:hanging="259"/>
      </w:pPr>
      <w:r>
        <w:rPr>
          <w:rFonts w:ascii="Calibri" w:hAnsi="Calibri"/>
          <w:b/>
          <w:color w:val="2E74B5"/>
          <w:sz w:val="21"/>
        </w:rPr>
        <w:t xml:space="preserve">• </w:t>
      </w:r>
      <w:r>
        <w:rPr>
          <w:rFonts w:ascii="Calibri" w:hAnsi="Calibri"/>
          <w:color w:val="202124"/>
          <w:sz w:val="21"/>
        </w:rPr>
        <w:t>The Company will provide access to repositories, hosting, analytics, advertising accounts, CRM, domains, investor materials and other tools needed for the role.</w:t>
      </w:r>
    </w:p>
    <w:p>
      <w:pPr>
        <w:spacing w:before="0" w:after="80" w:line="276" w:lineRule="auto"/>
        <w:ind w:left="504" w:hanging="259"/>
      </w:pPr>
      <w:r>
        <w:rPr>
          <w:rFonts w:ascii="Calibri" w:hAnsi="Calibri"/>
          <w:b/>
          <w:color w:val="2E74B5"/>
          <w:sz w:val="21"/>
        </w:rPr>
        <w:t xml:space="preserve">• </w:t>
      </w:r>
      <w:r>
        <w:rPr>
          <w:rFonts w:ascii="Calibri" w:hAnsi="Calibri"/>
          <w:color w:val="202124"/>
          <w:sz w:val="21"/>
        </w:rPr>
        <w:t>Jimwell may manage the approved Italian marketing budget and the field representatives within the written budget and hiring plan. New spend, hires or commitments outside that plan require approval from Greg or the Company.</w:t>
      </w:r>
    </w:p>
    <w:p>
      <w:pPr>
        <w:spacing w:before="0" w:after="80" w:line="276" w:lineRule="auto"/>
        <w:ind w:left="504" w:hanging="259"/>
      </w:pPr>
      <w:r>
        <w:rPr>
          <w:rFonts w:ascii="Calibri" w:hAnsi="Calibri"/>
          <w:b/>
          <w:color w:val="2E74B5"/>
          <w:sz w:val="21"/>
        </w:rPr>
        <w:t xml:space="preserve">• </w:t>
      </w:r>
      <w:r>
        <w:rPr>
          <w:rFonts w:ascii="Calibri" w:hAnsi="Calibri"/>
          <w:color w:val="202124"/>
          <w:sz w:val="21"/>
        </w:rPr>
        <w:t>Jimwell will receive timely access to the cap table, material investor terms, operating metrics and budgets relevant to the equity and the Italian role.</w:t>
      </w:r>
    </w:p>
    <w:p>
      <w:pPr>
        <w:pStyle w:val="Heading1"/>
      </w:pPr>
      <w:r>
        <w:rPr>
          <w:rFonts w:ascii="Calibri" w:hAnsi="Calibri"/>
          <w:b/>
          <w:color w:val="2E74B5"/>
          <w:sz w:val="32"/>
        </w:rPr>
        <w:t>5. Trial, termination and protection of equity</w:t>
      </w:r>
    </w:p>
    <w:p>
      <w:pPr>
        <w:spacing w:before="0" w:after="120" w:line="264" w:lineRule="auto"/>
      </w:pPr>
      <w:r>
        <w:rPr>
          <w:rFonts w:ascii="Calibri" w:hAnsi="Calibri"/>
          <w:color w:val="202124"/>
          <w:sz w:val="21"/>
        </w:rPr>
        <w:t>The first four weeks are a mutual trial period. Either Party may end the relationship during the trial. If the relationship continues after the trial, vesting is credited from the Start Date and the trial does not restart or extend the cliff.</w:t>
      </w:r>
    </w:p>
    <w:p>
      <w:pPr>
        <w:spacing w:before="0" w:after="80" w:line="276" w:lineRule="auto"/>
        <w:ind w:left="504" w:hanging="259"/>
      </w:pPr>
      <w:r>
        <w:rPr>
          <w:rFonts w:ascii="Calibri" w:hAnsi="Calibri"/>
          <w:b/>
          <w:color w:val="2E74B5"/>
          <w:sz w:val="21"/>
        </w:rPr>
        <w:t xml:space="preserve">• </w:t>
      </w:r>
      <w:r>
        <w:rPr>
          <w:rFonts w:ascii="Calibri" w:hAnsi="Calibri"/>
          <w:color w:val="202124"/>
          <w:sz w:val="21"/>
        </w:rPr>
        <w:t>After the trial, either Party may terminate with 30 days' written notice, unless there is a serious breach requiring immediate termination.</w:t>
      </w:r>
    </w:p>
    <w:p>
      <w:pPr>
        <w:spacing w:before="0" w:after="80" w:line="276" w:lineRule="auto"/>
        <w:ind w:left="504" w:hanging="259"/>
      </w:pPr>
      <w:r>
        <w:rPr>
          <w:rFonts w:ascii="Calibri" w:hAnsi="Calibri"/>
          <w:b/>
          <w:color w:val="2E74B5"/>
          <w:sz w:val="21"/>
        </w:rPr>
        <w:t xml:space="preserve">• </w:t>
      </w:r>
      <w:r>
        <w:rPr>
          <w:rFonts w:ascii="Calibri" w:hAnsi="Calibri"/>
          <w:color w:val="202124"/>
          <w:sz w:val="21"/>
        </w:rPr>
        <w:t>If Jimwell leaves for a reason not caused by serious misconduct, or if the Company terminates without cause, all vested equity remains vested. In addition, 25% of the then-unvested balance will accelerate on a Company termination without cause.</w:t>
      </w:r>
    </w:p>
    <w:p>
      <w:pPr>
        <w:spacing w:before="0" w:after="80" w:line="276" w:lineRule="auto"/>
        <w:ind w:left="504" w:hanging="259"/>
      </w:pPr>
      <w:r>
        <w:rPr>
          <w:rFonts w:ascii="Calibri" w:hAnsi="Calibri"/>
          <w:b/>
          <w:color w:val="2E74B5"/>
          <w:sz w:val="21"/>
        </w:rPr>
        <w:t xml:space="preserve">• </w:t>
      </w:r>
      <w:r>
        <w:rPr>
          <w:rFonts w:ascii="Calibri" w:hAnsi="Calibri"/>
          <w:color w:val="202124"/>
          <w:sz w:val="21"/>
        </w:rPr>
        <w:t>If the Company materially changes the role, removes the agreed access or budget, or fails to execute the definitive equity instrument within 30 days without a documented legal reason, Jimwell may terminate and retain vested equity plus the same 25% acceleration.</w:t>
      </w:r>
    </w:p>
    <w:p>
      <w:pPr>
        <w:spacing w:before="0" w:after="80" w:line="276" w:lineRule="auto"/>
        <w:ind w:left="504" w:hanging="259"/>
      </w:pPr>
      <w:r>
        <w:rPr>
          <w:rFonts w:ascii="Calibri" w:hAnsi="Calibri"/>
          <w:b/>
          <w:color w:val="2E74B5"/>
          <w:sz w:val="21"/>
        </w:rPr>
        <w:t xml:space="preserve">• </w:t>
      </w:r>
      <w:r>
        <w:rPr>
          <w:rFonts w:ascii="Calibri" w:hAnsi="Calibri"/>
          <w:color w:val="202124"/>
          <w:sz w:val="21"/>
        </w:rPr>
        <w:t>Any bad-leaver treatment, repurchase right or discount on vested equity must be stated in the definitive agreement before it can apply. No automatic forfeiture of vested equity applies under this interim agreement.</w:t>
      </w:r>
    </w:p>
    <w:p>
      <w:pPr>
        <w:pStyle w:val="Heading1"/>
      </w:pPr>
      <w:r>
        <w:rPr>
          <w:rFonts w:ascii="Calibri" w:hAnsi="Calibri"/>
          <w:b/>
          <w:color w:val="2E74B5"/>
          <w:sz w:val="32"/>
        </w:rPr>
        <w:t>6. Equity mechanics and definitive documentation</w:t>
      </w:r>
    </w:p>
    <w:p>
      <w:pPr>
        <w:spacing w:before="0" w:after="120" w:line="264" w:lineRule="auto"/>
      </w:pPr>
      <w:r>
        <w:rPr>
          <w:rFonts w:ascii="Calibri" w:hAnsi="Calibri"/>
          <w:color w:val="202124"/>
          <w:sz w:val="21"/>
        </w:rPr>
        <w:t>The 10% grant refers to K3Y Solutions S.r.l. and is calculated on a fully diluted basis. Before the definitive agreement is signed, the Company will provide a cap table showing issued equity, promised equity, options, convertibles and the number of shares or units corresponding to Jimwell's 10% grant.</w:t>
      </w:r>
    </w:p>
    <w:p>
      <w:pPr>
        <w:spacing w:before="0" w:after="120" w:line="264" w:lineRule="auto"/>
      </w:pPr>
      <w:r>
        <w:rPr>
          <w:rFonts w:ascii="Calibri" w:hAnsi="Calibri"/>
          <w:color w:val="202124"/>
          <w:sz w:val="21"/>
        </w:rPr>
        <w:t>The definitive vesting agreement and equity instrument will be prepared by counsel and signed within 30 calendar days. The definitive documents must preserve the economic terms in this agreement unless Jimwell expressly agrees in writing to a change. The legal transfer, issue or registration of the participation will be completed using the appropriate corporate instrument.</w:t>
      </w:r>
    </w:p>
    <w:p>
      <w:pPr>
        <w:spacing w:before="0" w:after="120" w:line="264" w:lineRule="auto"/>
      </w:pPr>
      <w:r>
        <w:rPr>
          <w:rFonts w:ascii="Calibri" w:hAnsi="Calibri"/>
          <w:color w:val="202124"/>
          <w:sz w:val="21"/>
        </w:rPr>
        <w:t>All approved business expenses, including travel, tools, advertising and rep-related costs, are paid or reimbursed by the Company. Jimwell is not required to personally finance Tavoria's operations.</w:t>
      </w:r>
    </w:p>
    <w:p>
      <w:pPr>
        <w:pStyle w:val="Heading1"/>
      </w:pPr>
      <w:r>
        <w:rPr>
          <w:rFonts w:ascii="Calibri" w:hAnsi="Calibri"/>
          <w:b/>
          <w:color w:val="2E74B5"/>
          <w:sz w:val="32"/>
        </w:rPr>
        <w:t>7. Confidentiality and work product</w:t>
      </w:r>
    </w:p>
    <w:p>
      <w:pPr>
        <w:spacing w:before="0" w:after="120" w:line="264" w:lineRule="auto"/>
      </w:pPr>
      <w:r>
        <w:rPr>
          <w:rFonts w:ascii="Calibri" w:hAnsi="Calibri"/>
          <w:color w:val="202124"/>
          <w:sz w:val="21"/>
        </w:rPr>
        <w:t>Both Parties will keep non-public business, technical, financial and user information confidential. Code, documentation, CRM data, playbooks, marketing materials, account access and other work product created specifically for Tavoria in the role will be made available to the Company, subject to the definitive agreement and applicable law. Pre-existing materials owned by Jimwell remain his property unless separately assigned in writing.</w:t>
      </w:r>
    </w:p>
    <w:p>
      <w:pPr>
        <w:pStyle w:val="Heading1"/>
      </w:pPr>
      <w:r>
        <w:rPr>
          <w:rFonts w:ascii="Calibri" w:hAnsi="Calibri"/>
          <w:b/>
          <w:color w:val="2E74B5"/>
          <w:sz w:val="32"/>
        </w:rPr>
        <w:t>8. Signatures</w:t>
      </w:r>
    </w:p>
    <w:p>
      <w:pPr>
        <w:spacing w:before="0" w:after="120" w:line="264" w:lineRule="auto"/>
      </w:pPr>
      <w:r>
        <w:rPr>
          <w:rFonts w:ascii="Calibri" w:hAnsi="Calibri"/>
          <w:color w:val="202124"/>
          <w:sz w:val="21"/>
        </w:rPr>
        <w:t>Signed to confirm the temporary founder terms above:</w:t>
      </w:r>
    </w:p>
    <w:tbl>
      <w:tblPr>
        <w:tblW w:type="dxa" w:w="9360"/>
        <w:jc w:val="left"/>
        <w:tblLook w:firstColumn="1" w:firstRow="1" w:lastColumn="0" w:lastRow="0" w:noHBand="0" w:noVBand="1" w:val="04A0"/>
        <w:tblInd w:w="120" w:type="dxa"/>
        <w:tblLayout w:type="fixed"/>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4680"/>
        <w:gridCol w:w="4680"/>
      </w:tblGrid>
      <w:tr>
        <w:trPr>
          <w:tblHeader w:val="true"/>
        </w:trPr>
        <w:tc>
          <w:tcPr>
            <w:tcW w:type="dxa" w:w="4680"/>
            <w:shd w:fill="F2F4F7"/>
            <w:tcMar>
              <w:top w:w="100" w:type="dxa"/>
              <w:start w:w="120" w:type="dxa"/>
              <w:bottom w:w="100" w:type="dxa"/>
              <w:end w:w="120" w:type="dxa"/>
            </w:tcMar>
            <w:vAlign w:val="top"/>
          </w:tcPr>
          <w:p>
            <w:pPr>
              <w:spacing w:after="0" w:line="252" w:lineRule="auto"/>
            </w:pPr>
            <w:r>
              <w:rPr>
                <w:rFonts w:ascii="Calibri" w:hAnsi="Calibri"/>
                <w:b/>
                <w:color w:val="18324B"/>
                <w:sz w:val="21"/>
              </w:rPr>
              <w:t>Jimwell</w:t>
            </w:r>
          </w:p>
        </w:tc>
        <w:tc>
          <w:tcPr>
            <w:tcW w:type="dxa" w:w="4680"/>
            <w:shd w:fill="F2F4F7"/>
            <w:tcMar>
              <w:top w:w="100" w:type="dxa"/>
              <w:start w:w="120" w:type="dxa"/>
              <w:bottom w:w="100" w:type="dxa"/>
              <w:end w:w="120" w:type="dxa"/>
            </w:tcMar>
            <w:vAlign w:val="top"/>
          </w:tcPr>
          <w:p>
            <w:pPr>
              <w:spacing w:after="0" w:line="252" w:lineRule="auto"/>
            </w:pPr>
            <w:r>
              <w:rPr>
                <w:rFonts w:ascii="Calibri" w:hAnsi="Calibri"/>
                <w:b/>
                <w:color w:val="18324B"/>
                <w:sz w:val="21"/>
              </w:rPr>
              <w:t>Greg Salvatico / K3Y Solutions S.r.l.</w:t>
            </w:r>
          </w:p>
        </w:tc>
      </w:tr>
      <w:tr>
        <w:tc>
          <w:tcPr>
            <w:tcW w:type="dxa" w:w="4680"/>
            <w:tcMar>
              <w:top w:w="100" w:type="dxa"/>
              <w:start w:w="120" w:type="dxa"/>
              <w:bottom w:w="100" w:type="dxa"/>
              <w:end w:w="120" w:type="dxa"/>
            </w:tcMar>
            <w:vAlign w:val="top"/>
          </w:tcPr>
          <w:p>
            <w:pPr>
              <w:spacing w:after="0" w:line="252" w:lineRule="auto"/>
            </w:pPr>
            <w:r>
              <w:rPr>
                <w:rFonts w:ascii="Calibri" w:hAnsi="Calibri"/>
                <w:b w:val="0"/>
                <w:color w:val="202124"/>
                <w:sz w:val="21"/>
              </w:rPr>
              <w:t>Signature: __________________________</w:t>
            </w:r>
          </w:p>
        </w:tc>
        <w:tc>
          <w:tcPr>
            <w:tcW w:type="dxa" w:w="4680"/>
            <w:tcMar>
              <w:top w:w="100" w:type="dxa"/>
              <w:start w:w="120" w:type="dxa"/>
              <w:bottom w:w="100" w:type="dxa"/>
              <w:end w:w="120" w:type="dxa"/>
            </w:tcMar>
            <w:vAlign w:val="top"/>
          </w:tcPr>
          <w:p>
            <w:pPr>
              <w:spacing w:after="0" w:line="252" w:lineRule="auto"/>
            </w:pPr>
            <w:r>
              <w:rPr>
                <w:rFonts w:ascii="Calibri" w:hAnsi="Calibri"/>
                <w:b w:val="0"/>
                <w:color w:val="202124"/>
                <w:sz w:val="21"/>
              </w:rPr>
              <w:t>Signature: __________________________</w:t>
            </w:r>
          </w:p>
        </w:tc>
      </w:tr>
      <w:tr>
        <w:tc>
          <w:tcPr>
            <w:tcW w:type="dxa" w:w="4680"/>
            <w:tcMar>
              <w:top w:w="100" w:type="dxa"/>
              <w:start w:w="120" w:type="dxa"/>
              <w:bottom w:w="100" w:type="dxa"/>
              <w:end w:w="120" w:type="dxa"/>
            </w:tcMar>
            <w:vAlign w:val="top"/>
          </w:tcPr>
          <w:p>
            <w:pPr>
              <w:spacing w:after="0" w:line="252" w:lineRule="auto"/>
            </w:pPr>
            <w:r>
              <w:rPr>
                <w:rFonts w:ascii="Calibri" w:hAnsi="Calibri"/>
                <w:b w:val="0"/>
                <w:color w:val="202124"/>
                <w:sz w:val="21"/>
              </w:rPr>
              <w:t>Date: _______________________________</w:t>
            </w:r>
          </w:p>
        </w:tc>
        <w:tc>
          <w:tcPr>
            <w:tcW w:type="dxa" w:w="4680"/>
            <w:tcMar>
              <w:top w:w="100" w:type="dxa"/>
              <w:start w:w="120" w:type="dxa"/>
              <w:bottom w:w="100" w:type="dxa"/>
              <w:end w:w="120" w:type="dxa"/>
            </w:tcMar>
            <w:vAlign w:val="top"/>
          </w:tcPr>
          <w:p>
            <w:pPr>
              <w:spacing w:after="0" w:line="252" w:lineRule="auto"/>
            </w:pPr>
            <w:r>
              <w:rPr>
                <w:rFonts w:ascii="Calibri" w:hAnsi="Calibri"/>
                <w:b w:val="0"/>
                <w:color w:val="202124"/>
                <w:sz w:val="21"/>
              </w:rPr>
              <w:t>Date: _______________________________</w:t>
            </w:r>
          </w:p>
        </w:tc>
      </w:tr>
    </w:tbl>
    <w:p>
      <w:pPr>
        <w:spacing w:before="240" w:after="0" w:line="264" w:lineRule="auto"/>
      </w:pPr>
      <w:r>
        <w:rPr>
          <w:rFonts w:ascii="Calibri" w:hAnsi="Calibri"/>
          <w:color w:val="202124"/>
          <w:sz w:val="21"/>
        </w:rPr>
        <w:t>Open items before signature: Jimwell's legal name and tax details; Start Date; definition of €[X] revenue milestone; cap table; investment definition; payment method; approved budget; and final equity instrument.</w:t>
      </w:r>
    </w:p>
    <w:sectPr w:rsidR="00FC693F" w:rsidRPr="0006063C" w:rsidSect="00034616">
      <w:headerReference w:type="default" r:id="rId9"/>
      <w:footerReference w:type="default" r:id="rId10"/>
      <w:pgSz w:w="12240" w:h="15840"/>
      <w:pgMar w:top="1181" w:right="1325" w:bottom="1123" w:left="132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F6368"/>
        <w:sz w:val="17"/>
      </w:rPr>
      <w:t>Confidential - temporary founder terms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F6368"/>
        <w:sz w:val="17"/>
      </w:rPr>
      <w:t>TAVORIA  /  INTERIM FOUNDER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832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Tavoria - Interim Founder Agreement - Jimwell</dc:title>
  <dc:subject>Temporary founder, equity, role and compensation terms</dc:subject>
  <dc:creator/>
  <cp:keywords/>
  <dc:description/>
  <cp:lastModifiedBy/>
  <cp:revision>1</cp:revision>
  <dcterms:created xsi:type="dcterms:W3CDTF">2013-12-23T23:15:00Z</dcterms:created>
  <dcterms:modified xsi:type="dcterms:W3CDTF">2013-12-23T23:15:00Z</dcterms:modified>
  <cp:category/>
</cp:coreProperties>
</file>