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Arial" w:hAnsi="Arial"/>
          <w:b w:val="0"/>
          <w:color w:val="000000"/>
          <w:sz w:val="52"/>
        </w:rPr>
        <w:t>TAVORIA</w:t>
      </w:r>
    </w:p>
    <w:p>
      <w:pPr>
        <w:spacing w:before="0" w:after="60" w:line="276" w:lineRule="auto"/>
      </w:pPr>
      <w:r>
        <w:rPr>
          <w:rFonts w:ascii="Arial" w:hAnsi="Arial"/>
          <w:b w:val="0"/>
          <w:color w:val="555555"/>
          <w:sz w:val="32"/>
        </w:rPr>
        <w:t>Interim Founder Agreement</w:t>
      </w:r>
    </w:p>
    <w:p>
      <w:pPr>
        <w:spacing w:before="0" w:after="320" w:line="276" w:lineRule="auto"/>
      </w:pPr>
      <w:r>
        <w:rPr>
          <w:rFonts w:ascii="Arial" w:hAnsi="Arial"/>
          <w:color w:val="555555"/>
          <w:sz w:val="22"/>
        </w:rPr>
        <w:t>Jimwell | Milan Lead - Growth &amp; Operations</w:t>
      </w:r>
    </w:p>
    <w:tbl>
      <w:tblPr>
        <w:tblW w:type="dxa" w:w="9360"/>
        <w:jc w:val="left"/>
        <w:tblLook w:firstColumn="1" w:firstRow="1" w:lastColumn="0" w:lastRow="0" w:noHBand="0" w:noVBand="1" w:val="04A0"/>
        <w:tblInd w:w="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900"/>
        <w:gridCol w:w="7460"/>
      </w:tblGrid>
      <w:tr>
        <w:trPr>
          <w:tblHeader w:val="true"/>
        </w:trPr>
        <w:tc>
          <w:tcPr>
            <w:tcW w:type="dxa" w:w="1900"/>
            <w:tcMar>
              <w:top w:w="80" w:type="dxa"/>
              <w:start w:w="120" w:type="dxa"/>
              <w:bottom w:w="80" w:type="dxa"/>
              <w:end w:w="120" w:type="dxa"/>
            </w:tcMar>
            <w:vAlign w:val="top"/>
          </w:tcPr>
          <w:p>
            <w:pPr>
              <w:spacing w:after="0" w:line="276" w:lineRule="auto"/>
            </w:pPr>
            <w:r>
              <w:rPr>
                <w:rFonts w:ascii="Arial" w:hAnsi="Arial"/>
                <w:b/>
                <w:color w:val="000000"/>
                <w:sz w:val="21"/>
              </w:rPr>
              <w:t>Item</w:t>
            </w:r>
          </w:p>
        </w:tc>
        <w:tc>
          <w:tcPr>
            <w:tcW w:type="dxa" w:w="7460"/>
            <w:tcMar>
              <w:top w:w="80" w:type="dxa"/>
              <w:start w:w="120" w:type="dxa"/>
              <w:bottom w:w="80" w:type="dxa"/>
              <w:end w:w="120" w:type="dxa"/>
            </w:tcMar>
            <w:vAlign w:val="top"/>
          </w:tcPr>
          <w:p>
            <w:pPr>
              <w:spacing w:after="0" w:line="276" w:lineRule="auto"/>
            </w:pPr>
            <w:r>
              <w:rPr>
                <w:rFonts w:ascii="Arial" w:hAnsi="Arial"/>
                <w:b/>
                <w:color w:val="000000"/>
                <w:sz w:val="21"/>
              </w:rPr>
              <w:t>Details</w:t>
            </w:r>
          </w:p>
        </w:tc>
      </w:tr>
      <w:tr>
        <w:tc>
          <w:tcPr>
            <w:tcW w:type="dxa" w:w="1900"/>
            <w:tcMar>
              <w:top w:w="80" w:type="dxa"/>
              <w:start w:w="120" w:type="dxa"/>
              <w:bottom w:w="80" w:type="dxa"/>
              <w:end w:w="120" w:type="dxa"/>
            </w:tcMar>
            <w:vAlign w:val="top"/>
          </w:tcPr>
          <w:p>
            <w:pPr>
              <w:spacing w:after="0" w:line="276" w:lineRule="auto"/>
            </w:pPr>
            <w:r>
              <w:rPr>
                <w:rFonts w:ascii="Arial" w:hAnsi="Arial"/>
                <w:b/>
                <w:color w:val="000000"/>
                <w:sz w:val="21"/>
              </w:rPr>
              <w:t>Company</w:t>
            </w:r>
          </w:p>
        </w:tc>
        <w:tc>
          <w:tcPr>
            <w:tcW w:type="dxa" w:w="7460"/>
            <w:tcMar>
              <w:top w:w="80" w:type="dxa"/>
              <w:start w:w="120" w:type="dxa"/>
              <w:bottom w:w="80" w:type="dxa"/>
              <w:end w:w="120" w:type="dxa"/>
            </w:tcMar>
            <w:vAlign w:val="top"/>
          </w:tcPr>
          <w:p>
            <w:pPr>
              <w:spacing w:after="0" w:line="276" w:lineRule="auto"/>
            </w:pPr>
            <w:r>
              <w:rPr>
                <w:rFonts w:ascii="Arial" w:hAnsi="Arial"/>
                <w:b w:val="0"/>
                <w:color w:val="000000"/>
                <w:sz w:val="21"/>
              </w:rPr>
              <w:t>K3Y Solutions S.r.l.</w:t>
            </w:r>
          </w:p>
        </w:tc>
      </w:tr>
      <w:tr>
        <w:tc>
          <w:tcPr>
            <w:tcW w:type="dxa" w:w="1900"/>
            <w:tcMar>
              <w:top w:w="80" w:type="dxa"/>
              <w:start w:w="120" w:type="dxa"/>
              <w:bottom w:w="80" w:type="dxa"/>
              <w:end w:w="120" w:type="dxa"/>
            </w:tcMar>
            <w:vAlign w:val="top"/>
          </w:tcPr>
          <w:p>
            <w:pPr>
              <w:spacing w:after="0" w:line="276" w:lineRule="auto"/>
            </w:pPr>
            <w:r>
              <w:rPr>
                <w:rFonts w:ascii="Arial" w:hAnsi="Arial"/>
                <w:b/>
                <w:color w:val="000000"/>
                <w:sz w:val="21"/>
              </w:rPr>
              <w:t>Founder</w:t>
            </w:r>
          </w:p>
        </w:tc>
        <w:tc>
          <w:tcPr>
            <w:tcW w:type="dxa" w:w="7460"/>
            <w:tcMar>
              <w:top w:w="80" w:type="dxa"/>
              <w:start w:w="120" w:type="dxa"/>
              <w:bottom w:w="80" w:type="dxa"/>
              <w:end w:w="120" w:type="dxa"/>
            </w:tcMar>
            <w:vAlign w:val="top"/>
          </w:tcPr>
          <w:p>
            <w:pPr>
              <w:spacing w:after="0" w:line="276" w:lineRule="auto"/>
            </w:pPr>
            <w:r>
              <w:rPr>
                <w:rFonts w:ascii="Arial" w:hAnsi="Arial"/>
                <w:b w:val="0"/>
                <w:color w:val="000000"/>
                <w:sz w:val="21"/>
              </w:rPr>
              <w:t>Jimwell [full legal name and details]</w:t>
            </w:r>
          </w:p>
        </w:tc>
      </w:tr>
      <w:tr>
        <w:tc>
          <w:tcPr>
            <w:tcW w:type="dxa" w:w="1900"/>
            <w:tcMar>
              <w:top w:w="80" w:type="dxa"/>
              <w:start w:w="120" w:type="dxa"/>
              <w:bottom w:w="80" w:type="dxa"/>
              <w:end w:w="120" w:type="dxa"/>
            </w:tcMar>
            <w:vAlign w:val="top"/>
          </w:tcPr>
          <w:p>
            <w:pPr>
              <w:spacing w:after="0" w:line="276" w:lineRule="auto"/>
            </w:pPr>
            <w:r>
              <w:rPr>
                <w:rFonts w:ascii="Arial" w:hAnsi="Arial"/>
                <w:b/>
                <w:color w:val="000000"/>
                <w:sz w:val="21"/>
              </w:rPr>
              <w:t>Other signatory</w:t>
            </w:r>
          </w:p>
        </w:tc>
        <w:tc>
          <w:tcPr>
            <w:tcW w:type="dxa" w:w="7460"/>
            <w:tcMar>
              <w:top w:w="80" w:type="dxa"/>
              <w:start w:w="120" w:type="dxa"/>
              <w:bottom w:w="80" w:type="dxa"/>
              <w:end w:w="120" w:type="dxa"/>
            </w:tcMar>
            <w:vAlign w:val="top"/>
          </w:tcPr>
          <w:p>
            <w:pPr>
              <w:spacing w:after="0" w:line="276" w:lineRule="auto"/>
            </w:pPr>
            <w:r>
              <w:rPr>
                <w:rFonts w:ascii="Arial" w:hAnsi="Arial"/>
                <w:b w:val="0"/>
                <w:color w:val="000000"/>
                <w:sz w:val="21"/>
              </w:rPr>
              <w:t>Greg Salvatico, for K3Y Solutions S.r.l.</w:t>
            </w:r>
          </w:p>
        </w:tc>
      </w:tr>
      <w:tr>
        <w:tc>
          <w:tcPr>
            <w:tcW w:type="dxa" w:w="1900"/>
            <w:tcMar>
              <w:top w:w="80" w:type="dxa"/>
              <w:start w:w="120" w:type="dxa"/>
              <w:bottom w:w="80" w:type="dxa"/>
              <w:end w:w="120" w:type="dxa"/>
            </w:tcMar>
            <w:vAlign w:val="top"/>
          </w:tcPr>
          <w:p>
            <w:pPr>
              <w:spacing w:after="0" w:line="276" w:lineRule="auto"/>
            </w:pPr>
            <w:r>
              <w:rPr>
                <w:rFonts w:ascii="Arial" w:hAnsi="Arial"/>
                <w:b/>
                <w:color w:val="000000"/>
                <w:sz w:val="21"/>
              </w:rPr>
              <w:t>Draft date</w:t>
            </w:r>
          </w:p>
        </w:tc>
        <w:tc>
          <w:tcPr>
            <w:tcW w:type="dxa" w:w="7460"/>
            <w:tcMar>
              <w:top w:w="80" w:type="dxa"/>
              <w:start w:w="120" w:type="dxa"/>
              <w:bottom w:w="80" w:type="dxa"/>
              <w:end w:w="120" w:type="dxa"/>
            </w:tcMar>
            <w:vAlign w:val="top"/>
          </w:tcPr>
          <w:p>
            <w:pPr>
              <w:spacing w:after="0" w:line="276" w:lineRule="auto"/>
            </w:pPr>
            <w:r>
              <w:rPr>
                <w:rFonts w:ascii="Arial" w:hAnsi="Arial"/>
                <w:b w:val="0"/>
                <w:color w:val="000000"/>
                <w:sz w:val="21"/>
              </w:rPr>
              <w:t>29 June 2026</w:t>
            </w:r>
          </w:p>
        </w:tc>
      </w:tr>
    </w:tbl>
    <w:p>
      <w:pPr>
        <w:spacing w:before="0" w:after="160" w:line="276" w:lineRule="auto"/>
      </w:pPr>
      <w:r>
        <w:rPr>
          <w:rFonts w:ascii="Arial" w:hAnsi="Arial"/>
          <w:color w:val="000000"/>
          <w:sz w:val="22"/>
        </w:rPr>
        <w:t>This is a temporary agreement. It records the main role, equity and compensation terms while the definitive vesting agreement and equity instrument are prepared. The definitive documents should be signed within 30 calendar days.</w:t>
      </w:r>
    </w:p>
    <w:p>
      <w:pPr>
        <w:keepNext/>
        <w:spacing w:before="360" w:after="120"/>
      </w:pPr>
      <w:r>
        <w:rPr>
          <w:rFonts w:ascii="Arial" w:hAnsi="Arial"/>
          <w:b w:val="0"/>
          <w:color w:val="000000"/>
          <w:sz w:val="40"/>
        </w:rPr>
        <w:t>1. Key terms</w:t>
      </w:r>
    </w:p>
    <w:tbl>
      <w:tblPr>
        <w:tblW w:type="dxa" w:w="9360"/>
        <w:jc w:val="left"/>
        <w:tblLook w:firstColumn="1" w:firstRow="1" w:lastColumn="0" w:lastRow="0" w:noHBand="0" w:noVBand="1" w:val="04A0"/>
        <w:tblInd w:w="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900"/>
        <w:gridCol w:w="7460"/>
      </w:tblGrid>
      <w:tr>
        <w:trPr>
          <w:tblHeader w:val="true"/>
        </w:trPr>
        <w:tc>
          <w:tcPr>
            <w:tcW w:type="dxa" w:w="1900"/>
            <w:tcMar>
              <w:top w:w="80" w:type="dxa"/>
              <w:start w:w="120" w:type="dxa"/>
              <w:bottom w:w="80" w:type="dxa"/>
              <w:end w:w="120" w:type="dxa"/>
            </w:tcMar>
            <w:vAlign w:val="top"/>
          </w:tcPr>
          <w:p>
            <w:pPr>
              <w:spacing w:after="0" w:line="276" w:lineRule="auto"/>
            </w:pPr>
            <w:r>
              <w:rPr>
                <w:rFonts w:ascii="Arial" w:hAnsi="Arial"/>
                <w:b/>
                <w:color w:val="000000"/>
                <w:sz w:val="21"/>
              </w:rPr>
              <w:t>Term</w:t>
            </w:r>
          </w:p>
        </w:tc>
        <w:tc>
          <w:tcPr>
            <w:tcW w:type="dxa" w:w="7460"/>
            <w:tcMar>
              <w:top w:w="80" w:type="dxa"/>
              <w:start w:w="120" w:type="dxa"/>
              <w:bottom w:w="80" w:type="dxa"/>
              <w:end w:w="120" w:type="dxa"/>
            </w:tcMar>
            <w:vAlign w:val="top"/>
          </w:tcPr>
          <w:p>
            <w:pPr>
              <w:spacing w:after="0" w:line="276" w:lineRule="auto"/>
            </w:pPr>
            <w:r>
              <w:rPr>
                <w:rFonts w:ascii="Arial" w:hAnsi="Arial"/>
                <w:b/>
                <w:color w:val="000000"/>
                <w:sz w:val="21"/>
              </w:rPr>
              <w:t>Agreement</w:t>
            </w:r>
          </w:p>
        </w:tc>
      </w:tr>
      <w:tr>
        <w:tc>
          <w:tcPr>
            <w:tcW w:type="dxa" w:w="1900"/>
            <w:tcMar>
              <w:top w:w="80" w:type="dxa"/>
              <w:start w:w="120" w:type="dxa"/>
              <w:bottom w:w="80" w:type="dxa"/>
              <w:end w:w="120" w:type="dxa"/>
            </w:tcMar>
            <w:vAlign w:val="top"/>
          </w:tcPr>
          <w:p>
            <w:pPr>
              <w:spacing w:after="0" w:line="276" w:lineRule="auto"/>
            </w:pPr>
            <w:r>
              <w:rPr>
                <w:rFonts w:ascii="Arial" w:hAnsi="Arial"/>
                <w:b/>
                <w:color w:val="000000"/>
                <w:sz w:val="21"/>
              </w:rPr>
              <w:t>Equity</w:t>
            </w:r>
          </w:p>
        </w:tc>
        <w:tc>
          <w:tcPr>
            <w:tcW w:type="dxa" w:w="7460"/>
            <w:tcMar>
              <w:top w:w="80" w:type="dxa"/>
              <w:start w:w="120" w:type="dxa"/>
              <w:bottom w:w="80" w:type="dxa"/>
              <w:end w:w="120" w:type="dxa"/>
            </w:tcMar>
            <w:vAlign w:val="top"/>
          </w:tcPr>
          <w:p>
            <w:pPr>
              <w:spacing w:after="0" w:line="276" w:lineRule="auto"/>
            </w:pPr>
            <w:r>
              <w:rPr>
                <w:rFonts w:ascii="Arial" w:hAnsi="Arial"/>
                <w:b w:val="0"/>
                <w:color w:val="000000"/>
                <w:sz w:val="21"/>
              </w:rPr>
              <w:t>10% of K3Y Solutions S.r.l., calculated after including any shares or options already promised. If Tavoria moves to a new company, Jimwell receives equivalent 10% economics in that company.</w:t>
            </w:r>
          </w:p>
        </w:tc>
      </w:tr>
      <w:tr>
        <w:tc>
          <w:tcPr>
            <w:tcW w:type="dxa" w:w="1900"/>
            <w:tcMar>
              <w:top w:w="80" w:type="dxa"/>
              <w:start w:w="120" w:type="dxa"/>
              <w:bottom w:w="80" w:type="dxa"/>
              <w:end w:w="120" w:type="dxa"/>
            </w:tcMar>
            <w:vAlign w:val="top"/>
          </w:tcPr>
          <w:p>
            <w:pPr>
              <w:spacing w:after="0" w:line="276" w:lineRule="auto"/>
            </w:pPr>
            <w:r>
              <w:rPr>
                <w:rFonts w:ascii="Arial" w:hAnsi="Arial"/>
                <w:b/>
                <w:color w:val="000000"/>
                <w:sz w:val="21"/>
              </w:rPr>
              <w:t>Vesting</w:t>
            </w:r>
          </w:p>
        </w:tc>
        <w:tc>
          <w:tcPr>
            <w:tcW w:type="dxa" w:w="7460"/>
            <w:tcMar>
              <w:top w:w="80" w:type="dxa"/>
              <w:start w:w="120" w:type="dxa"/>
              <w:bottom w:w="80" w:type="dxa"/>
              <w:end w:w="120" w:type="dxa"/>
            </w:tcMar>
            <w:vAlign w:val="top"/>
          </w:tcPr>
          <w:p>
            <w:pPr>
              <w:spacing w:after="0" w:line="276" w:lineRule="auto"/>
            </w:pPr>
            <w:r>
              <w:rPr>
                <w:rFonts w:ascii="Arial" w:hAnsi="Arial"/>
                <w:b w:val="0"/>
                <w:color w:val="000000"/>
                <w:sz w:val="21"/>
              </w:rPr>
              <w:t>1 year from the start date, with a 3-month cliff. After the cliff, the remaining equity vests monthly.</w:t>
            </w:r>
          </w:p>
        </w:tc>
      </w:tr>
      <w:tr>
        <w:tc>
          <w:tcPr>
            <w:tcW w:type="dxa" w:w="1900"/>
            <w:tcMar>
              <w:top w:w="80" w:type="dxa"/>
              <w:start w:w="120" w:type="dxa"/>
              <w:bottom w:w="80" w:type="dxa"/>
              <w:end w:w="120" w:type="dxa"/>
            </w:tcMar>
            <w:vAlign w:val="top"/>
          </w:tcPr>
          <w:p>
            <w:pPr>
              <w:spacing w:after="0" w:line="276" w:lineRule="auto"/>
            </w:pPr>
            <w:r>
              <w:rPr>
                <w:rFonts w:ascii="Arial" w:hAnsi="Arial"/>
                <w:b/>
                <w:color w:val="000000"/>
                <w:sz w:val="21"/>
              </w:rPr>
              <w:t>Milestones</w:t>
            </w:r>
          </w:p>
        </w:tc>
        <w:tc>
          <w:tcPr>
            <w:tcW w:type="dxa" w:w="7460"/>
            <w:tcMar>
              <w:top w:w="80" w:type="dxa"/>
              <w:start w:w="120" w:type="dxa"/>
              <w:bottom w:w="80" w:type="dxa"/>
              <w:end w:w="120" w:type="dxa"/>
            </w:tcMar>
            <w:vAlign w:val="top"/>
          </w:tcPr>
          <w:p>
            <w:pPr>
              <w:spacing w:after="0" w:line="276" w:lineRule="auto"/>
            </w:pPr>
            <w:r>
              <w:rPr>
                <w:rFonts w:ascii="Arial" w:hAnsi="Arial"/>
                <w:b w:val="0"/>
                <w:color w:val="000000"/>
                <w:sz w:val="21"/>
              </w:rPr>
              <w:t>2.5% unlocks when Tavoria reaches 100 signed venues. A further 2.5% unlocks when Tavoria reaches €[X] in verified revenue. The rest follows the time vesting schedule. Total equity is capped at 10%.</w:t>
            </w:r>
          </w:p>
        </w:tc>
      </w:tr>
      <w:tr>
        <w:tc>
          <w:tcPr>
            <w:tcW w:type="dxa" w:w="1900"/>
            <w:tcMar>
              <w:top w:w="80" w:type="dxa"/>
              <w:start w:w="120" w:type="dxa"/>
              <w:bottom w:w="80" w:type="dxa"/>
              <w:end w:w="120" w:type="dxa"/>
            </w:tcMar>
            <w:vAlign w:val="top"/>
          </w:tcPr>
          <w:p>
            <w:pPr>
              <w:spacing w:after="0" w:line="276" w:lineRule="auto"/>
            </w:pPr>
            <w:r>
              <w:rPr>
                <w:rFonts w:ascii="Arial" w:hAnsi="Arial"/>
                <w:b/>
                <w:color w:val="000000"/>
                <w:sz w:val="21"/>
              </w:rPr>
              <w:t>Cash</w:t>
            </w:r>
          </w:p>
        </w:tc>
        <w:tc>
          <w:tcPr>
            <w:tcW w:type="dxa" w:w="7460"/>
            <w:tcMar>
              <w:top w:w="80" w:type="dxa"/>
              <w:start w:w="120" w:type="dxa"/>
              <w:bottom w:w="80" w:type="dxa"/>
              <w:end w:w="120" w:type="dxa"/>
            </w:tcMar>
            <w:vAlign w:val="top"/>
          </w:tcPr>
          <w:p>
            <w:pPr>
              <w:spacing w:after="0" w:line="276" w:lineRule="auto"/>
            </w:pPr>
            <w:r>
              <w:rPr>
                <w:rFonts w:ascii="Arial" w:hAnsi="Arial"/>
                <w:b w:val="0"/>
                <w:color w:val="000000"/>
                <w:sz w:val="21"/>
              </w:rPr>
              <w:t>€1,500 gross per month from Month 5 after the first investment closes. If the investment closes later, payment is owed from Month 5. If there is no investment by the end of Month 5, the parties will agree a minimum €1,200 gross monthly retainer.</w:t>
            </w:r>
          </w:p>
        </w:tc>
      </w:tr>
      <w:tr>
        <w:tc>
          <w:tcPr>
            <w:tcW w:type="dxa" w:w="1900"/>
            <w:tcMar>
              <w:top w:w="80" w:type="dxa"/>
              <w:start w:w="120" w:type="dxa"/>
              <w:bottom w:w="80" w:type="dxa"/>
              <w:end w:w="120" w:type="dxa"/>
            </w:tcMar>
            <w:vAlign w:val="top"/>
          </w:tcPr>
          <w:p>
            <w:pPr>
              <w:spacing w:after="0" w:line="276" w:lineRule="auto"/>
            </w:pPr>
            <w:r>
              <w:rPr>
                <w:rFonts w:ascii="Arial" w:hAnsi="Arial"/>
                <w:b/>
                <w:color w:val="000000"/>
                <w:sz w:val="21"/>
              </w:rPr>
              <w:t>Time</w:t>
            </w:r>
          </w:p>
        </w:tc>
        <w:tc>
          <w:tcPr>
            <w:tcW w:type="dxa" w:w="7460"/>
            <w:tcMar>
              <w:top w:w="80" w:type="dxa"/>
              <w:start w:w="120" w:type="dxa"/>
              <w:bottom w:w="80" w:type="dxa"/>
              <w:end w:w="120" w:type="dxa"/>
            </w:tcMar>
            <w:vAlign w:val="top"/>
          </w:tcPr>
          <w:p>
            <w:pPr>
              <w:spacing w:after="0" w:line="276" w:lineRule="auto"/>
            </w:pPr>
            <w:r>
              <w:rPr>
                <w:rFonts w:ascii="Arial" w:hAnsi="Arial"/>
                <w:b w:val="0"/>
                <w:color w:val="000000"/>
                <w:sz w:val="21"/>
              </w:rPr>
              <w:t>Part-time, about 16 hours per week.</w:t>
            </w:r>
          </w:p>
        </w:tc>
      </w:tr>
      <w:tr>
        <w:tc>
          <w:tcPr>
            <w:tcW w:type="dxa" w:w="1900"/>
            <w:tcMar>
              <w:top w:w="80" w:type="dxa"/>
              <w:start w:w="120" w:type="dxa"/>
              <w:bottom w:w="80" w:type="dxa"/>
              <w:end w:w="120" w:type="dxa"/>
            </w:tcMar>
            <w:vAlign w:val="top"/>
          </w:tcPr>
          <w:p>
            <w:pPr>
              <w:spacing w:after="0" w:line="276" w:lineRule="auto"/>
            </w:pPr>
            <w:r>
              <w:rPr>
                <w:rFonts w:ascii="Arial" w:hAnsi="Arial"/>
                <w:b/>
                <w:color w:val="000000"/>
                <w:sz w:val="21"/>
              </w:rPr>
              <w:t>Title</w:t>
            </w:r>
          </w:p>
        </w:tc>
        <w:tc>
          <w:tcPr>
            <w:tcW w:type="dxa" w:w="7460"/>
            <w:tcMar>
              <w:top w:w="80" w:type="dxa"/>
              <w:start w:w="120" w:type="dxa"/>
              <w:bottom w:w="80" w:type="dxa"/>
              <w:end w:w="120" w:type="dxa"/>
            </w:tcMar>
            <w:vAlign w:val="top"/>
          </w:tcPr>
          <w:p>
            <w:pPr>
              <w:spacing w:after="0" w:line="276" w:lineRule="auto"/>
            </w:pPr>
            <w:r>
              <w:rPr>
                <w:rFonts w:ascii="Arial" w:hAnsi="Arial"/>
                <w:b w:val="0"/>
                <w:color w:val="000000"/>
                <w:sz w:val="21"/>
              </w:rPr>
              <w:t>Months 1-4: Milan Lead. From Month 5: VP Growth &amp; Operations, Italy.</w:t>
            </w:r>
          </w:p>
        </w:tc>
      </w:tr>
    </w:tbl>
    <w:p>
      <w:pPr>
        <w:keepNext/>
        <w:spacing w:before="360" w:after="120"/>
      </w:pPr>
      <w:r>
        <w:rPr>
          <w:rFonts w:ascii="Arial" w:hAnsi="Arial"/>
          <w:b w:val="0"/>
          <w:color w:val="000000"/>
          <w:sz w:val="40"/>
        </w:rPr>
        <w:t>2. Role</w:t>
      </w:r>
    </w:p>
    <w:p>
      <w:pPr>
        <w:spacing w:before="0" w:after="160" w:line="276" w:lineRule="auto"/>
      </w:pPr>
      <w:r>
        <w:rPr>
          <w:rFonts w:ascii="Arial" w:hAnsi="Arial"/>
          <w:color w:val="000000"/>
          <w:sz w:val="22"/>
        </w:rPr>
        <w:t>Jimwell will manage growth and operations for Tavoria. He will not be required to do door-to-door marketing personally or to relocate to Milan within two weeks.</w:t>
      </w:r>
    </w:p>
    <w:p>
      <w:pPr>
        <w:pStyle w:val="ListBullet"/>
        <w:spacing w:after="80" w:line="276" w:lineRule="auto"/>
      </w:pPr>
      <w:r>
        <w:rPr>
          <w:rFonts w:ascii="Arial" w:hAnsi="Arial"/>
          <w:color w:val="000000"/>
          <w:sz w:val="22"/>
        </w:rPr>
        <w:t>Maintain the Tavoria app and its key services, including releases, bugs, incidents, vendors and access.</w:t>
      </w:r>
    </w:p>
    <w:p>
      <w:pPr>
        <w:pStyle w:val="ListBullet"/>
        <w:spacing w:after="80" w:line="276" w:lineRule="auto"/>
      </w:pPr>
      <w:r>
        <w:rPr>
          <w:rFonts w:ascii="Arial" w:hAnsi="Arial"/>
          <w:color w:val="000000"/>
          <w:sz w:val="22"/>
        </w:rPr>
        <w:t>Recruit, train and manage the field representatives who visit venues.</w:t>
      </w:r>
    </w:p>
    <w:p>
      <w:pPr>
        <w:pStyle w:val="ListBullet"/>
        <w:spacing w:after="80" w:line="276" w:lineRule="auto"/>
      </w:pPr>
      <w:r>
        <w:rPr>
          <w:rFonts w:ascii="Arial" w:hAnsi="Arial"/>
          <w:color w:val="000000"/>
          <w:sz w:val="22"/>
        </w:rPr>
        <w:t>Own the CRM, sales scripts, follow-up process, rep training and weekly reporting.</w:t>
      </w:r>
    </w:p>
    <w:p>
      <w:pPr>
        <w:pStyle w:val="ListBullet"/>
        <w:spacing w:after="80" w:line="276" w:lineRule="auto"/>
      </w:pPr>
      <w:r>
        <w:rPr>
          <w:rFonts w:ascii="Arial" w:hAnsi="Arial"/>
          <w:color w:val="000000"/>
          <w:sz w:val="22"/>
        </w:rPr>
        <w:t>Coordinate venue acquisition, worker growth, partnerships, content, paid pilots and customer support within the approved budget.</w:t>
      </w:r>
    </w:p>
    <w:p>
      <w:pPr>
        <w:pStyle w:val="ListBullet"/>
        <w:spacing w:after="80" w:line="276" w:lineRule="auto"/>
      </w:pPr>
      <w:r>
        <w:rPr>
          <w:rFonts w:ascii="Arial" w:hAnsi="Arial"/>
          <w:color w:val="000000"/>
          <w:sz w:val="22"/>
        </w:rPr>
        <w:t>Prepare the Milan playbook, metrics and investor materials for future city expansion.</w:t>
      </w:r>
    </w:p>
    <w:p>
      <w:pPr>
        <w:pStyle w:val="ListBullet"/>
        <w:spacing w:after="80" w:line="276" w:lineRule="auto"/>
      </w:pPr>
      <w:r>
        <w:rPr>
          <w:rFonts w:ascii="Arial" w:hAnsi="Arial"/>
          <w:color w:val="000000"/>
          <w:sz w:val="22"/>
        </w:rPr>
        <w:t>Report to Greg and join the weekly strategy call.</w:t>
      </w:r>
    </w:p>
    <w:p>
      <w:pPr>
        <w:keepNext/>
        <w:spacing w:before="360" w:after="120"/>
      </w:pPr>
      <w:r>
        <w:rPr>
          <w:rFonts w:ascii="Arial" w:hAnsi="Arial"/>
          <w:b w:val="0"/>
          <w:color w:val="000000"/>
          <w:sz w:val="40"/>
        </w:rPr>
        <w:t>3. Milestones</w:t>
      </w:r>
    </w:p>
    <w:tbl>
      <w:tblPr>
        <w:tblW w:type="dxa" w:w="9360"/>
        <w:jc w:val="left"/>
        <w:tblLook w:firstColumn="1" w:firstRow="1" w:lastColumn="0" w:lastRow="0" w:noHBand="0" w:noVBand="1" w:val="04A0"/>
        <w:tblInd w:w="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700"/>
        <w:gridCol w:w="7660"/>
      </w:tblGrid>
      <w:tr>
        <w:trPr>
          <w:tblHeader w:val="true"/>
        </w:trPr>
        <w:tc>
          <w:tcPr>
            <w:tcW w:type="dxa" w:w="1700"/>
            <w:tcMar>
              <w:top w:w="80" w:type="dxa"/>
              <w:start w:w="120" w:type="dxa"/>
              <w:bottom w:w="80" w:type="dxa"/>
              <w:end w:w="120" w:type="dxa"/>
            </w:tcMar>
            <w:vAlign w:val="top"/>
          </w:tcPr>
          <w:p>
            <w:pPr>
              <w:spacing w:after="0" w:line="276" w:lineRule="auto"/>
            </w:pPr>
            <w:r>
              <w:rPr>
                <w:rFonts w:ascii="Arial" w:hAnsi="Arial"/>
                <w:b/>
                <w:color w:val="000000"/>
                <w:sz w:val="21"/>
              </w:rPr>
              <w:t>Month</w:t>
            </w:r>
          </w:p>
        </w:tc>
        <w:tc>
          <w:tcPr>
            <w:tcW w:type="dxa" w:w="7660"/>
            <w:tcMar>
              <w:top w:w="80" w:type="dxa"/>
              <w:start w:w="120" w:type="dxa"/>
              <w:bottom w:w="80" w:type="dxa"/>
              <w:end w:w="120" w:type="dxa"/>
            </w:tcMar>
            <w:vAlign w:val="top"/>
          </w:tcPr>
          <w:p>
            <w:pPr>
              <w:spacing w:after="0" w:line="276" w:lineRule="auto"/>
            </w:pPr>
            <w:r>
              <w:rPr>
                <w:rFonts w:ascii="Arial" w:hAnsi="Arial"/>
                <w:b/>
                <w:color w:val="000000"/>
                <w:sz w:val="21"/>
              </w:rPr>
              <w:t>Target</w:t>
            </w:r>
          </w:p>
        </w:tc>
      </w:tr>
      <w:tr>
        <w:tc>
          <w:tcPr>
            <w:tcW w:type="dxa" w:w="1700"/>
            <w:tcMar>
              <w:top w:w="80" w:type="dxa"/>
              <w:start w:w="120" w:type="dxa"/>
              <w:bottom w:w="80" w:type="dxa"/>
              <w:end w:w="120" w:type="dxa"/>
            </w:tcMar>
            <w:vAlign w:val="top"/>
          </w:tcPr>
          <w:p>
            <w:pPr>
              <w:spacing w:after="0" w:line="276" w:lineRule="auto"/>
            </w:pPr>
            <w:r>
              <w:rPr>
                <w:rFonts w:ascii="Arial" w:hAnsi="Arial"/>
                <w:b/>
                <w:color w:val="000000"/>
                <w:sz w:val="21"/>
              </w:rPr>
              <w:t>Month 1</w:t>
            </w:r>
          </w:p>
        </w:tc>
        <w:tc>
          <w:tcPr>
            <w:tcW w:type="dxa" w:w="7660"/>
            <w:tcMar>
              <w:top w:w="80" w:type="dxa"/>
              <w:start w:w="120" w:type="dxa"/>
              <w:bottom w:w="80" w:type="dxa"/>
              <w:end w:w="120" w:type="dxa"/>
            </w:tcMar>
            <w:vAlign w:val="top"/>
          </w:tcPr>
          <w:p>
            <w:pPr>
              <w:spacing w:after="0" w:line="276" w:lineRule="auto"/>
            </w:pPr>
            <w:r>
              <w:rPr>
                <w:rFonts w:ascii="Arial" w:hAnsi="Arial"/>
                <w:b w:val="0"/>
                <w:color w:val="000000"/>
                <w:sz w:val="21"/>
              </w:rPr>
              <w:t>20 signed venues, 200 worker signups and 5 successful hires. CRM and rep system live.</w:t>
            </w:r>
          </w:p>
        </w:tc>
      </w:tr>
      <w:tr>
        <w:tc>
          <w:tcPr>
            <w:tcW w:type="dxa" w:w="1700"/>
            <w:tcMar>
              <w:top w:w="80" w:type="dxa"/>
              <w:start w:w="120" w:type="dxa"/>
              <w:bottom w:w="80" w:type="dxa"/>
              <w:end w:w="120" w:type="dxa"/>
            </w:tcMar>
            <w:vAlign w:val="top"/>
          </w:tcPr>
          <w:p>
            <w:pPr>
              <w:spacing w:after="0" w:line="276" w:lineRule="auto"/>
            </w:pPr>
            <w:r>
              <w:rPr>
                <w:rFonts w:ascii="Arial" w:hAnsi="Arial"/>
                <w:b/>
                <w:color w:val="000000"/>
                <w:sz w:val="21"/>
              </w:rPr>
              <w:t>Month 2</w:t>
            </w:r>
          </w:p>
        </w:tc>
        <w:tc>
          <w:tcPr>
            <w:tcW w:type="dxa" w:w="7660"/>
            <w:tcMar>
              <w:top w:w="80" w:type="dxa"/>
              <w:start w:w="120" w:type="dxa"/>
              <w:bottom w:w="80" w:type="dxa"/>
              <w:end w:w="120" w:type="dxa"/>
            </w:tcMar>
            <w:vAlign w:val="top"/>
          </w:tcPr>
          <w:p>
            <w:pPr>
              <w:spacing w:after="0" w:line="276" w:lineRule="auto"/>
            </w:pPr>
            <w:r>
              <w:rPr>
                <w:rFonts w:ascii="Arial" w:hAnsi="Arial"/>
                <w:b w:val="0"/>
                <w:color w:val="000000"/>
                <w:sz w:val="21"/>
              </w:rPr>
              <w:t>50 cumulative venues, 600 workers and 20 hires. School and community pipelines active.</w:t>
            </w:r>
          </w:p>
        </w:tc>
      </w:tr>
      <w:tr>
        <w:tc>
          <w:tcPr>
            <w:tcW w:type="dxa" w:w="1700"/>
            <w:tcMar>
              <w:top w:w="80" w:type="dxa"/>
              <w:start w:w="120" w:type="dxa"/>
              <w:bottom w:w="80" w:type="dxa"/>
              <w:end w:w="120" w:type="dxa"/>
            </w:tcMar>
            <w:vAlign w:val="top"/>
          </w:tcPr>
          <w:p>
            <w:pPr>
              <w:spacing w:after="0" w:line="276" w:lineRule="auto"/>
            </w:pPr>
            <w:r>
              <w:rPr>
                <w:rFonts w:ascii="Arial" w:hAnsi="Arial"/>
                <w:b/>
                <w:color w:val="000000"/>
                <w:sz w:val="21"/>
              </w:rPr>
              <w:t>Month 3</w:t>
            </w:r>
          </w:p>
        </w:tc>
        <w:tc>
          <w:tcPr>
            <w:tcW w:type="dxa" w:w="7660"/>
            <w:tcMar>
              <w:top w:w="80" w:type="dxa"/>
              <w:start w:w="120" w:type="dxa"/>
              <w:bottom w:w="80" w:type="dxa"/>
              <w:end w:w="120" w:type="dxa"/>
            </w:tcMar>
            <w:vAlign w:val="top"/>
          </w:tcPr>
          <w:p>
            <w:pPr>
              <w:spacing w:after="0" w:line="276" w:lineRule="auto"/>
            </w:pPr>
            <w:r>
              <w:rPr>
                <w:rFonts w:ascii="Arial" w:hAnsi="Arial"/>
                <w:b w:val="0"/>
                <w:color w:val="000000"/>
                <w:sz w:val="21"/>
              </w:rPr>
              <w:t>75 cumulative venues, 1,000 workers and 40 hires. First paying venue and Milan Playbook started.</w:t>
            </w:r>
          </w:p>
        </w:tc>
      </w:tr>
      <w:tr>
        <w:tc>
          <w:tcPr>
            <w:tcW w:type="dxa" w:w="1700"/>
            <w:tcMar>
              <w:top w:w="80" w:type="dxa"/>
              <w:start w:w="120" w:type="dxa"/>
              <w:bottom w:w="80" w:type="dxa"/>
              <w:end w:w="120" w:type="dxa"/>
            </w:tcMar>
            <w:vAlign w:val="top"/>
          </w:tcPr>
          <w:p>
            <w:pPr>
              <w:spacing w:after="0" w:line="276" w:lineRule="auto"/>
            </w:pPr>
            <w:r>
              <w:rPr>
                <w:rFonts w:ascii="Arial" w:hAnsi="Arial"/>
                <w:b/>
                <w:color w:val="000000"/>
                <w:sz w:val="21"/>
              </w:rPr>
              <w:t>Month 4</w:t>
            </w:r>
          </w:p>
        </w:tc>
        <w:tc>
          <w:tcPr>
            <w:tcW w:type="dxa" w:w="7660"/>
            <w:tcMar>
              <w:top w:w="80" w:type="dxa"/>
              <w:start w:w="120" w:type="dxa"/>
              <w:bottom w:w="80" w:type="dxa"/>
              <w:end w:w="120" w:type="dxa"/>
            </w:tcMar>
            <w:vAlign w:val="top"/>
          </w:tcPr>
          <w:p>
            <w:pPr>
              <w:spacing w:after="0" w:line="276" w:lineRule="auto"/>
            </w:pPr>
            <w:r>
              <w:rPr>
                <w:rFonts w:ascii="Arial" w:hAnsi="Arial"/>
                <w:b w:val="0"/>
                <w:color w:val="000000"/>
                <w:sz w:val="21"/>
              </w:rPr>
              <w:t>100 cumulative venues, 1,500 workers and 50 hires. Metrics, data room and investor materials ready.</w:t>
            </w:r>
          </w:p>
        </w:tc>
      </w:tr>
    </w:tbl>
    <w:p>
      <w:pPr>
        <w:spacing w:before="0" w:after="160" w:line="276" w:lineRule="auto"/>
      </w:pPr>
      <w:r>
        <w:rPr>
          <w:rFonts w:ascii="Arial" w:hAnsi="Arial"/>
          <w:color w:val="000000"/>
          <w:sz w:val="22"/>
        </w:rPr>
        <w:t>A signed venue means a venue recorded in the CRM with a completed onboarding step. Revenue milestones must be verified using company records. Targets are shared operating goals, not guarantees of market results.</w:t>
      </w:r>
    </w:p>
    <w:p>
      <w:pPr>
        <w:keepNext/>
        <w:spacing w:before="360" w:after="120"/>
      </w:pPr>
      <w:r>
        <w:rPr>
          <w:rFonts w:ascii="Arial" w:hAnsi="Arial"/>
          <w:b w:val="0"/>
          <w:color w:val="000000"/>
          <w:sz w:val="40"/>
        </w:rPr>
        <w:t>4. Protection and process</w:t>
      </w:r>
    </w:p>
    <w:p>
      <w:pPr>
        <w:pStyle w:val="ListBullet"/>
        <w:spacing w:after="80" w:line="276" w:lineRule="auto"/>
      </w:pPr>
      <w:r>
        <w:rPr>
          <w:rFonts w:ascii="Arial" w:hAnsi="Arial"/>
          <w:color w:val="000000"/>
          <w:sz w:val="22"/>
        </w:rPr>
        <w:t>The first 4 weeks are a trial. If the work continues, vesting starts from the original start date; the trial does not restart the vesting period.</w:t>
      </w:r>
    </w:p>
    <w:p>
      <w:pPr>
        <w:pStyle w:val="ListBullet"/>
        <w:spacing w:after="80" w:line="276" w:lineRule="auto"/>
      </w:pPr>
      <w:r>
        <w:rPr>
          <w:rFonts w:ascii="Arial" w:hAnsi="Arial"/>
          <w:color w:val="000000"/>
          <w:sz w:val="22"/>
        </w:rPr>
        <w:t>If the Company ends the relationship without cause, vested equity remains vested and 25% of the unvested balance accelerates.</w:t>
      </w:r>
    </w:p>
    <w:p>
      <w:pPr>
        <w:pStyle w:val="ListBullet"/>
        <w:spacing w:after="80" w:line="276" w:lineRule="auto"/>
      </w:pPr>
      <w:r>
        <w:rPr>
          <w:rFonts w:ascii="Arial" w:hAnsi="Arial"/>
          <w:color w:val="000000"/>
          <w:sz w:val="22"/>
        </w:rPr>
        <w:t>If the Company materially changes the role, removes necessary access or budget, or does not prepare the definitive equity documents within 30 days, Jimwell may end the agreement and keep vested equity plus the same 25% acceleration.</w:t>
      </w:r>
    </w:p>
    <w:p>
      <w:pPr>
        <w:pStyle w:val="ListBullet"/>
        <w:spacing w:after="80" w:line="276" w:lineRule="auto"/>
      </w:pPr>
      <w:r>
        <w:rPr>
          <w:rFonts w:ascii="Arial" w:hAnsi="Arial"/>
          <w:color w:val="000000"/>
          <w:sz w:val="22"/>
        </w:rPr>
        <w:t>Approved travel, software, advertising and rep-related costs are paid or reimbursed by the Company. Jimwell does not have to fund Tavoria personally.</w:t>
      </w:r>
    </w:p>
    <w:p>
      <w:pPr>
        <w:pStyle w:val="ListBullet"/>
        <w:spacing w:after="80" w:line="276" w:lineRule="auto"/>
      </w:pPr>
      <w:r>
        <w:rPr>
          <w:rFonts w:ascii="Arial" w:hAnsi="Arial"/>
          <w:color w:val="000000"/>
          <w:sz w:val="22"/>
        </w:rPr>
        <w:t>The Company will provide a cap table showing issued shares, promised shares, options and convertibles before the definitive equity document is signed.</w:t>
      </w:r>
    </w:p>
    <w:p>
      <w:pPr>
        <w:pStyle w:val="ListBullet"/>
        <w:spacing w:after="80" w:line="276" w:lineRule="auto"/>
      </w:pPr>
      <w:r>
        <w:rPr>
          <w:rFonts w:ascii="Arial" w:hAnsi="Arial"/>
          <w:color w:val="000000"/>
          <w:sz w:val="22"/>
        </w:rPr>
        <w:t>Any forfeiture or repurchase of vested equity must be written in the definitive agreement. Vested equity is not automatically forfeited under this temporary agreement.</w:t>
      </w:r>
    </w:p>
    <w:p>
      <w:pPr>
        <w:keepNext/>
        <w:spacing w:before="360" w:after="120"/>
      </w:pPr>
      <w:r>
        <w:rPr>
          <w:rFonts w:ascii="Arial" w:hAnsi="Arial"/>
          <w:b w:val="0"/>
          <w:color w:val="000000"/>
          <w:sz w:val="40"/>
        </w:rPr>
        <w:t>5. Signatures</w:t>
      </w:r>
    </w:p>
    <w:p>
      <w:pPr>
        <w:spacing w:before="0" w:after="160" w:line="276" w:lineRule="auto"/>
      </w:pPr>
      <w:r>
        <w:rPr>
          <w:rFonts w:ascii="Arial" w:hAnsi="Arial"/>
          <w:color w:val="000000"/>
          <w:sz w:val="22"/>
        </w:rPr>
        <w:t>Signed to confirm the temporary terms above:</w:t>
      </w:r>
    </w:p>
    <w:tbl>
      <w:tblPr>
        <w:tblW w:type="dxa" w:w="9360"/>
        <w:jc w:val="left"/>
        <w:tblLook w:firstColumn="1" w:firstRow="1" w:lastColumn="0" w:lastRow="0" w:noHBand="0" w:noVBand="1" w:val="04A0"/>
        <w:tblInd w:w="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rPr>
          <w:tblHeader w:val="true"/>
        </w:trPr>
        <w:tc>
          <w:tcPr>
            <w:tcW w:type="dxa" w:w="4680"/>
            <w:tcMar>
              <w:top w:w="80" w:type="dxa"/>
              <w:start w:w="120" w:type="dxa"/>
              <w:bottom w:w="80" w:type="dxa"/>
              <w:end w:w="120" w:type="dxa"/>
            </w:tcMar>
            <w:vAlign w:val="top"/>
          </w:tcPr>
          <w:p>
            <w:pPr>
              <w:spacing w:after="0" w:line="276" w:lineRule="auto"/>
            </w:pPr>
            <w:r>
              <w:rPr>
                <w:rFonts w:ascii="Arial" w:hAnsi="Arial"/>
                <w:b/>
                <w:color w:val="000000"/>
                <w:sz w:val="21"/>
              </w:rPr>
              <w:t>Jimwell</w:t>
            </w:r>
          </w:p>
        </w:tc>
        <w:tc>
          <w:tcPr>
            <w:tcW w:type="dxa" w:w="4680"/>
            <w:tcMar>
              <w:top w:w="80" w:type="dxa"/>
              <w:start w:w="120" w:type="dxa"/>
              <w:bottom w:w="80" w:type="dxa"/>
              <w:end w:w="120" w:type="dxa"/>
            </w:tcMar>
            <w:vAlign w:val="top"/>
          </w:tcPr>
          <w:p>
            <w:pPr>
              <w:spacing w:after="0" w:line="276" w:lineRule="auto"/>
            </w:pPr>
            <w:r>
              <w:rPr>
                <w:rFonts w:ascii="Arial" w:hAnsi="Arial"/>
                <w:b/>
                <w:color w:val="000000"/>
                <w:sz w:val="21"/>
              </w:rPr>
              <w:t>Greg Salvatico / K3Y Solutions S.r.l.</w:t>
            </w:r>
          </w:p>
        </w:tc>
      </w:tr>
      <w:tr>
        <w:tc>
          <w:tcPr>
            <w:tcW w:type="dxa" w:w="4680"/>
            <w:tcMar>
              <w:top w:w="80" w:type="dxa"/>
              <w:start w:w="120" w:type="dxa"/>
              <w:bottom w:w="80" w:type="dxa"/>
              <w:end w:w="120" w:type="dxa"/>
            </w:tcMar>
            <w:vAlign w:val="top"/>
          </w:tcPr>
          <w:p>
            <w:pPr>
              <w:spacing w:after="0" w:line="276" w:lineRule="auto"/>
            </w:pPr>
            <w:r>
              <w:rPr>
                <w:rFonts w:ascii="Arial" w:hAnsi="Arial"/>
                <w:b w:val="0"/>
                <w:color w:val="000000"/>
                <w:sz w:val="21"/>
              </w:rPr>
              <w:t>Signature: __________________________</w:t>
            </w:r>
          </w:p>
        </w:tc>
        <w:tc>
          <w:tcPr>
            <w:tcW w:type="dxa" w:w="4680"/>
            <w:tcMar>
              <w:top w:w="80" w:type="dxa"/>
              <w:start w:w="120" w:type="dxa"/>
              <w:bottom w:w="80" w:type="dxa"/>
              <w:end w:w="120" w:type="dxa"/>
            </w:tcMar>
            <w:vAlign w:val="top"/>
          </w:tcPr>
          <w:p>
            <w:pPr>
              <w:spacing w:after="0" w:line="276" w:lineRule="auto"/>
            </w:pPr>
            <w:r>
              <w:rPr>
                <w:rFonts w:ascii="Arial" w:hAnsi="Arial"/>
                <w:b w:val="0"/>
                <w:color w:val="000000"/>
                <w:sz w:val="21"/>
              </w:rPr>
              <w:t>Signature: __________________________</w:t>
            </w:r>
          </w:p>
        </w:tc>
      </w:tr>
      <w:tr>
        <w:tc>
          <w:tcPr>
            <w:tcW w:type="dxa" w:w="4680"/>
            <w:tcMar>
              <w:top w:w="80" w:type="dxa"/>
              <w:start w:w="120" w:type="dxa"/>
              <w:bottom w:w="80" w:type="dxa"/>
              <w:end w:w="120" w:type="dxa"/>
            </w:tcMar>
            <w:vAlign w:val="top"/>
          </w:tcPr>
          <w:p>
            <w:pPr>
              <w:spacing w:after="0" w:line="276" w:lineRule="auto"/>
            </w:pPr>
            <w:r>
              <w:rPr>
                <w:rFonts w:ascii="Arial" w:hAnsi="Arial"/>
                <w:b w:val="0"/>
                <w:color w:val="000000"/>
                <w:sz w:val="21"/>
              </w:rPr>
              <w:t>Date: _______________________________</w:t>
            </w:r>
          </w:p>
        </w:tc>
        <w:tc>
          <w:tcPr>
            <w:tcW w:type="dxa" w:w="4680"/>
            <w:tcMar>
              <w:top w:w="80" w:type="dxa"/>
              <w:start w:w="120" w:type="dxa"/>
              <w:bottom w:w="80" w:type="dxa"/>
              <w:end w:w="120" w:type="dxa"/>
            </w:tcMar>
            <w:vAlign w:val="top"/>
          </w:tcPr>
          <w:p>
            <w:pPr>
              <w:spacing w:after="0" w:line="276" w:lineRule="auto"/>
            </w:pPr>
            <w:r>
              <w:rPr>
                <w:rFonts w:ascii="Arial" w:hAnsi="Arial"/>
                <w:b w:val="0"/>
                <w:color w:val="000000"/>
                <w:sz w:val="21"/>
              </w:rPr>
              <w:t>Date: _______________________________</w:t>
            </w:r>
          </w:p>
        </w:tc>
      </w:tr>
    </w:tbl>
    <w:p>
      <w:pPr>
        <w:spacing w:before="240" w:after="0" w:line="276" w:lineRule="auto"/>
      </w:pPr>
      <w:r>
        <w:rPr>
          <w:rFonts w:ascii="Arial" w:hAnsi="Arial"/>
          <w:color w:val="000000"/>
          <w:sz w:val="22"/>
        </w:rPr>
        <w:t>Open items: full legal names and details, start date, the €[X] revenue milestone, payment method, investment definition and final equity instrument.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Tavoria - Interim Founder Agreement - Jimwell</dc:title>
  <dc:subject>Temporary founder, equity, role and compensation terms</dc:subject>
  <dc:creator/>
  <cp:keywords/>
  <dc:description/>
  <cp:lastModifiedBy/>
  <cp:revision>1</cp:revision>
  <dcterms:created xsi:type="dcterms:W3CDTF">2013-12-23T23:15:00Z</dcterms:created>
  <dcterms:modified xsi:type="dcterms:W3CDTF">2013-12-23T23:15:00Z</dcterms:modified>
  <cp:category/>
</cp:coreProperties>
</file>