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Times New Roman" w:cs="Times New Roman" w:eastAsia="Times New Roman" w:hAnsi="Times New Roman"/>
          <w:b/>
          <w:bCs/>
          <w:sz w:val="36"/>
          <w:szCs w:val="36"/>
        </w:rPr>
        <w:t xml:space="preserve">D1.3: API Integration Module</w:t>
      </w:r>
    </w:p>
    <w:p>
      <w:pPr>
        <w:pBdr>
          <w:bottom w:val="single" w:color="000000" w:sz="6" w:space="4"/>
        </w:pBdr>
        <w:spacing w:before="0" w:after="60"/>
      </w:pPr>
      <w:r>
        <w:rPr>
          <w:rFonts w:ascii="Times New Roman" w:cs="Times New Roman" w:eastAsia="Times New Roman" w:hAnsi="Times New Roman"/>
          <w:i/>
          <w:iCs/>
          <w:sz w:val="24"/>
          <w:szCs w:val="24"/>
        </w:rPr>
        <w:t xml:space="preserve">Technical Documentation — AlienVault OTX, VirusTotal &amp; AbuseIPDB Integration</w:t>
      </w:r>
    </w:p>
    <w:p>
      <w:pPr>
        <w:spacing w:before="80" w:after="400"/>
        <w:jc w:val="left"/>
      </w:pPr>
      <w:r>
        <w:rPr>
          <w:rFonts w:ascii="Times New Roman" w:cs="Times New Roman" w:eastAsia="Times New Roman" w:hAnsi="Times New Roman"/>
          <w:color w:val="666666"/>
          <w:sz w:val="20"/>
          <w:szCs w:val="20"/>
        </w:rPr>
        <w:t xml:space="preserve">Chidera Progress Nwaokwa  |  240054490  |  March 2026  |  Deliverable D1.3 (Week 6)</w:t>
      </w:r>
    </w:p>
    <w:p>
      <w:pPr>
        <w:pStyle w:val="Heading1"/>
        <w:spacing w:before="480" w:after="200"/>
      </w:pPr>
      <w:r>
        <w:rPr>
          <w:rFonts w:ascii="Times New Roman" w:cs="Times New Roman" w:eastAsia="Times New Roman" w:hAnsi="Times New Roman"/>
          <w:b/>
          <w:bCs/>
          <w:sz w:val="28"/>
          <w:szCs w:val="28"/>
        </w:rPr>
        <w:t xml:space="preserve">1. Overview</w:t>
      </w:r>
    </w:p>
    <w:p>
      <w:pPr>
        <w:spacing w:before="0" w:after="180" w:line="440"/>
        <w:jc w:val="both"/>
      </w:pPr>
      <w:r>
        <w:rPr>
          <w:rFonts w:ascii="Times New Roman" w:cs="Times New Roman" w:eastAsia="Times New Roman" w:hAnsi="Times New Roman"/>
          <w:sz w:val="24"/>
          <w:szCs w:val="24"/>
        </w:rPr>
        <w:t xml:space="preserve">This document describes the design, implementation, and testing of the API Integration Module — Deliverable D1.3 of the MSc dissertation project. The module integrates three open-source threat intelligence feeds (AlienVault OTX, VirusTotal, and AbuseIPDB) into a unified platform with automated data fetching, normalisation, deduplication, and PostgreSQL storage. It constitutes the technical foundation upon which the machine learning classification engine (D2.2) and the Grafana monitoring dashboards (D4.1) are built.</w:t>
      </w:r>
    </w:p>
    <w:p>
      <w:pPr>
        <w:spacing w:before="0" w:after="180" w:line="440"/>
        <w:jc w:val="both"/>
      </w:pPr>
      <w:r>
        <w:rPr>
          <w:rFonts w:ascii="Times New Roman" w:cs="Times New Roman" w:eastAsia="Times New Roman" w:hAnsi="Times New Roman"/>
          <w:sz w:val="24"/>
          <w:szCs w:val="24"/>
        </w:rPr>
        <w:t xml:space="preserve">The module is implemented in Python 3.12 and consists of six core files. All API credentials are stored in an environment variable file (.env) and never hardcoded into source files — a security best practice that complies with the OWASP Secrets Management guidelines and is directly relevant to the ethical and professional issues outlined in the PROM02 submission.</w:t>
      </w:r>
    </w:p>
    <w:p>
      <w:pPr>
        <w:pStyle w:val="Heading1"/>
        <w:spacing w:before="480" w:after="200"/>
      </w:pPr>
      <w:r>
        <w:rPr>
          <w:rFonts w:ascii="Times New Roman" w:cs="Times New Roman" w:eastAsia="Times New Roman" w:hAnsi="Times New Roman"/>
          <w:b/>
          <w:bCs/>
          <w:sz w:val="28"/>
          <w:szCs w:val="28"/>
        </w:rPr>
        <w:t xml:space="preserve">2. Module Architecture</w:t>
      </w:r>
    </w:p>
    <w:p>
      <w:pPr>
        <w:pStyle w:val="Heading2"/>
        <w:spacing w:before="320" w:after="140"/>
      </w:pPr>
      <w:r>
        <w:rPr>
          <w:rFonts w:ascii="Times New Roman" w:cs="Times New Roman" w:eastAsia="Times New Roman" w:hAnsi="Times New Roman"/>
          <w:b/>
          <w:bCs/>
          <w:sz w:val="26"/>
          <w:szCs w:val="26"/>
        </w:rPr>
        <w:t xml:space="preserve">2.1 File Structure</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threat_intel_platform/</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.env                  # API keys &amp; config (not committed to Git)</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.gitignore            # Excludes .env and credentials from version control</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requirements.txt      # Python package dependencies</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config.py             # Centralised configuration management</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normaliser.py         # Unified ThreatIndicator schema &amp; normalisation</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otx_client.py         # AlienVault OTX API v1 client</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virustotal_client.py  # VirusTotal API v3 client</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abuseipdb_client.py   # AbuseIPDB API v2 client</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db.py                 # PostgreSQL schema, connection pool &amp; CRUD</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main.py               # Orchestrator &amp; CLI entry point</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tests/</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 test_platform.py  # 42 unit tests (pytest)</w:t>
      </w:r>
    </w:p>
    <w:p>
      <w:pPr>
        <w:pStyle w:val="Heading2"/>
        <w:spacing w:before="320" w:after="140"/>
      </w:pPr>
      <w:r>
        <w:rPr>
          <w:rFonts w:ascii="Times New Roman" w:cs="Times New Roman" w:eastAsia="Times New Roman" w:hAnsi="Times New Roman"/>
          <w:b/>
          <w:bCs/>
          <w:sz w:val="26"/>
          <w:szCs w:val="26"/>
        </w:rPr>
        <w:t xml:space="preserve">2.2 Data Flow</w:t>
      </w:r>
    </w:p>
    <w:p>
      <w:pPr>
        <w:spacing w:before="0" w:after="180" w:line="440"/>
        <w:jc w:val="both"/>
      </w:pPr>
      <w:r>
        <w:rPr>
          <w:rFonts w:ascii="Times New Roman" w:cs="Times New Roman" w:eastAsia="Times New Roman" w:hAnsi="Times New Roman"/>
          <w:sz w:val="24"/>
          <w:szCs w:val="24"/>
        </w:rPr>
        <w:t xml:space="preserve">The module follows a linear pipeline architecture. A threat indicator (IP address, domain, file hash, or URL) enters the system via either a direct query or a bulk ingestion run. It is then queried against each of the three API feeds in sequence. Each raw API response is passed through the normalisation layer, which converts it to a uniform </w:t>
      </w:r>
      <w:r>
        <w:rPr>
          <w:rFonts w:ascii="Courier New" w:cs="Courier New" w:eastAsia="Courier New" w:hAnsi="Courier New"/>
          <w:sz w:val="24"/>
          <w:szCs w:val="24"/>
        </w:rPr>
        <w:t xml:space="preserve">ThreatIndicator</w:t>
      </w:r>
      <w:r>
        <w:rPr>
          <w:rFonts w:ascii="Times New Roman" w:cs="Times New Roman" w:eastAsia="Times New Roman" w:hAnsi="Times New Roman"/>
          <w:sz w:val="24"/>
          <w:szCs w:val="24"/>
        </w:rPr>
        <w:t xml:space="preserve"> dataclass. The normalised indicators are then deduplicated using a SHA-256 key (derived from the indicator value and source feed) and stored in PostgreSQL using an UPSERT operation — inserting new records or updating existing ones without creating duplicates.</w:t>
      </w:r>
    </w:p>
    <w:p>
      <w:pPr>
        <w:pBdr>
          <w:left w:val="single" w:color="1E3A5F" w:sz="12" w:space="6"/>
        </w:pBdr>
        <w:shd w:fill="EBF3FB" w:val="clear"/>
        <w:spacing w:before="160" w:after="160"/>
      </w:pPr>
      <w:r>
        <w:rPr>
          <w:rFonts w:ascii="Courier New" w:cs="Courier New" w:eastAsia="Courier New" w:hAnsi="Courier New"/>
          <w:color w:val="1E3A5F"/>
          <w:sz w:val="20"/>
          <w:szCs w:val="20"/>
        </w:rPr>
        <w:t xml:space="preserve">Indicator → [OTX Client] → Normaliser → ThreatIndicator → DB (UPSERT)
Indicator → [VT Client]  → Normaliser → ThreatIndicator → DB (UPSERT)
Indicator → [Abuse Client]→ Normaliser → ThreatIndicator → DB (UPSERT)</w:t>
      </w:r>
    </w:p>
    <w:p>
      <w:pPr>
        <w:pStyle w:val="Heading1"/>
        <w:spacing w:before="480" w:after="200"/>
      </w:pPr>
      <w:r>
        <w:rPr>
          <w:rFonts w:ascii="Times New Roman" w:cs="Times New Roman" w:eastAsia="Times New Roman" w:hAnsi="Times New Roman"/>
          <w:b/>
          <w:bCs/>
          <w:sz w:val="28"/>
          <w:szCs w:val="28"/>
        </w:rPr>
        <w:t xml:space="preserve">3. Module Descriptions</w:t>
      </w:r>
    </w:p>
    <w:p>
      <w:pPr>
        <w:pStyle w:val="Heading2"/>
        <w:spacing w:before="320" w:after="140"/>
      </w:pPr>
      <w:r>
        <w:rPr>
          <w:rFonts w:ascii="Times New Roman" w:cs="Times New Roman" w:eastAsia="Times New Roman" w:hAnsi="Times New Roman"/>
          <w:b/>
          <w:bCs/>
          <w:sz w:val="26"/>
          <w:szCs w:val="26"/>
        </w:rPr>
        <w:t xml:space="preserve">3.1 config.py — Configuration Management</w:t>
      </w:r>
    </w:p>
    <w:p>
      <w:pPr>
        <w:spacing w:before="0" w:after="180" w:line="440"/>
        <w:jc w:val="both"/>
      </w:pPr>
      <w:r>
        <w:rPr>
          <w:rFonts w:ascii="Times New Roman" w:cs="Times New Roman" w:eastAsia="Times New Roman" w:hAnsi="Times New Roman"/>
          <w:sz w:val="24"/>
          <w:szCs w:val="24"/>
        </w:rPr>
        <w:t xml:space="preserve">All platform settings are loaded from the </w:t>
      </w:r>
      <w:r>
        <w:rPr>
          <w:rFonts w:ascii="Courier New" w:cs="Courier New" w:eastAsia="Courier New" w:hAnsi="Courier New"/>
          <w:sz w:val="24"/>
          <w:szCs w:val="24"/>
        </w:rPr>
        <w:t xml:space="preserve">.env</w:t>
      </w:r>
      <w:r>
        <w:rPr>
          <w:rFonts w:ascii="Times New Roman" w:cs="Times New Roman" w:eastAsia="Times New Roman" w:hAnsi="Times New Roman"/>
          <w:sz w:val="24"/>
          <w:szCs w:val="24"/>
        </w:rPr>
        <w:t xml:space="preserve"> file via the </w:t>
      </w:r>
      <w:r>
        <w:rPr>
          <w:rFonts w:ascii="Courier New" w:cs="Courier New" w:eastAsia="Courier New" w:hAnsi="Courier New"/>
          <w:sz w:val="24"/>
          <w:szCs w:val="24"/>
        </w:rPr>
        <w:t xml:space="preserve">python-dotenv</w:t>
      </w:r>
      <w:r>
        <w:rPr>
          <w:rFonts w:ascii="Times New Roman" w:cs="Times New Roman" w:eastAsia="Times New Roman" w:hAnsi="Times New Roman"/>
          <w:sz w:val="24"/>
          <w:szCs w:val="24"/>
        </w:rPr>
        <w:t xml:space="preserve"> library. The </w:t>
      </w:r>
      <w:r>
        <w:rPr>
          <w:rFonts w:ascii="Courier New" w:cs="Courier New" w:eastAsia="Courier New" w:hAnsi="Courier New"/>
          <w:sz w:val="24"/>
          <w:szCs w:val="24"/>
        </w:rPr>
        <w:t xml:space="preserve">Config</w:t>
      </w:r>
      <w:r>
        <w:rPr>
          <w:rFonts w:ascii="Times New Roman" w:cs="Times New Roman" w:eastAsia="Times New Roman" w:hAnsi="Times New Roman"/>
          <w:sz w:val="24"/>
          <w:szCs w:val="24"/>
        </w:rPr>
        <w:t xml:space="preserve"> class exposes all settings as class-level attributes and provides a </w:t>
      </w:r>
      <w:r>
        <w:rPr>
          <w:rFonts w:ascii="Courier New" w:cs="Courier New" w:eastAsia="Courier New" w:hAnsi="Courier New"/>
          <w:sz w:val="24"/>
          <w:szCs w:val="24"/>
        </w:rPr>
        <w:t xml:space="preserve">validate()</w:t>
      </w:r>
      <w:r>
        <w:rPr>
          <w:rFonts w:ascii="Times New Roman" w:cs="Times New Roman" w:eastAsia="Times New Roman" w:hAnsi="Times New Roman"/>
          <w:sz w:val="24"/>
          <w:szCs w:val="24"/>
        </w:rPr>
        <w:t xml:space="preserve"> method that checks all required API keys are present at startup, raising a clear </w:t>
      </w:r>
      <w:r>
        <w:rPr>
          <w:rFonts w:ascii="Courier New" w:cs="Courier New" w:eastAsia="Courier New" w:hAnsi="Courier New"/>
          <w:sz w:val="24"/>
          <w:szCs w:val="24"/>
        </w:rPr>
        <w:t xml:space="preserve">EnvironmentError</w:t>
      </w:r>
      <w:r>
        <w:rPr>
          <w:rFonts w:ascii="Times New Roman" w:cs="Times New Roman" w:eastAsia="Times New Roman" w:hAnsi="Times New Roman"/>
          <w:sz w:val="24"/>
          <w:szCs w:val="24"/>
        </w:rPr>
        <w:t xml:space="preserve"> if any are missing. This fail-fast pattern prevents silent failures caused by missing credentials.</w:t>
      </w:r>
    </w:p>
    <w:p>
      <w:pPr>
        <w:pStyle w:val="Heading2"/>
        <w:spacing w:before="320" w:after="140"/>
      </w:pPr>
      <w:r>
        <w:rPr>
          <w:rFonts w:ascii="Times New Roman" w:cs="Times New Roman" w:eastAsia="Times New Roman" w:hAnsi="Times New Roman"/>
          <w:b/>
          <w:bCs/>
          <w:sz w:val="26"/>
          <w:szCs w:val="26"/>
        </w:rPr>
        <w:t xml:space="preserve">3.2 normaliser.py — Unified Schema &amp; Normalisation</w:t>
      </w:r>
    </w:p>
    <w:p>
      <w:pPr>
        <w:spacing w:before="0" w:after="180" w:line="440"/>
        <w:jc w:val="both"/>
      </w:pPr>
      <w:r>
        <w:rPr>
          <w:rFonts w:ascii="Times New Roman" w:cs="Times New Roman" w:eastAsia="Times New Roman" w:hAnsi="Times New Roman"/>
          <w:sz w:val="24"/>
          <w:szCs w:val="24"/>
        </w:rPr>
        <w:t xml:space="preserve">The normaliser is the most architecturally significant module. It defines the </w:t>
      </w:r>
      <w:r>
        <w:rPr>
          <w:rFonts w:ascii="Courier New" w:cs="Courier New" w:eastAsia="Courier New" w:hAnsi="Courier New"/>
          <w:sz w:val="24"/>
          <w:szCs w:val="24"/>
        </w:rPr>
        <w:t xml:space="preserve">ThreatIndicator</w:t>
      </w:r>
      <w:r>
        <w:rPr>
          <w:rFonts w:ascii="Times New Roman" w:cs="Times New Roman" w:eastAsia="Times New Roman" w:hAnsi="Times New Roman"/>
          <w:sz w:val="24"/>
          <w:szCs w:val="24"/>
        </w:rPr>
        <w:t xml:space="preserve"> dataclass — the common schema that makes multi-source correlation possible — and provides three public normalisation functions: </w:t>
      </w:r>
      <w:r>
        <w:rPr>
          <w:rFonts w:ascii="Courier New" w:cs="Courier New" w:eastAsia="Courier New" w:hAnsi="Courier New"/>
          <w:sz w:val="24"/>
          <w:szCs w:val="24"/>
        </w:rPr>
        <w:t xml:space="preserve">normalise_otx()</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normalise_virustotal()</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normalise_abuseipdb()</w:t>
      </w:r>
      <w:r>
        <w:rPr>
          <w:rFonts w:ascii="Times New Roman" w:cs="Times New Roman" w:eastAsia="Times New Roman" w:hAnsi="Times New Roman"/>
          <w:sz w:val="24"/>
          <w:szCs w:val="24"/>
        </w:rPr>
        <w:t xml:space="preserve">. Each function converts a raw API JSON response into a </w:t>
      </w:r>
      <w:r>
        <w:rPr>
          <w:rFonts w:ascii="Courier New" w:cs="Courier New" w:eastAsia="Courier New" w:hAnsi="Courier New"/>
          <w:sz w:val="24"/>
          <w:szCs w:val="24"/>
        </w:rPr>
        <w:t xml:space="preserve">ThreatIndicator</w:t>
      </w:r>
      <w:r>
        <w:rPr>
          <w:rFonts w:ascii="Times New Roman" w:cs="Times New Roman" w:eastAsia="Times New Roman" w:hAnsi="Times New Roman"/>
          <w:sz w:val="24"/>
          <w:szCs w:val="24"/>
        </w:rPr>
        <w:t xml:space="preserve">, mapping proprietary category names, scoring systems, and field names to a unified structure.</w:t>
      </w:r>
    </w:p>
    <w:p>
      <w:pPr>
        <w:spacing w:before="1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460"/>
      </w:tblGrid>
      <w:tr>
        <w:trPr>
          <w:tblHeader/>
        </w:trPr>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OTX Source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VirusTotal Source</w:t>
            </w:r>
          </w:p>
        </w:tc>
        <w:tc>
          <w:tcPr>
            <w:tcW w:type="dxa" w:w="2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AbuseIPDB Source</w:t>
            </w:r>
          </w:p>
        </w:tc>
      </w:tr>
      <w:tr>
        <w:trPr>
          <w:tblHeader w:val="false"/>
        </w:trPr>
        <w:tc>
          <w:tcPr>
            <w:tcW w:type="dxa" w:w="21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confidence_score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pulse_count / 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(malicious+suspicious) / total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abuseConfidenceScore / 100</w:t>
            </w:r>
          </w:p>
        </w:tc>
      </w:tr>
      <w:tr>
        <w:trPr>
          <w:tblHeader w:val="false"/>
        </w:trPr>
        <w:tc>
          <w:tcPr>
            <w:tcW w:type="dxa" w:w="21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severity_score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pulse_count /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(malicious / total) × 10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abuse_score/10 + reports/100</w:t>
            </w:r>
          </w:p>
        </w:tc>
      </w:tr>
      <w:tr>
        <w:trPr>
          <w:tblHeader w:val="false"/>
        </w:trPr>
        <w:tc>
          <w:tcPr>
            <w:tcW w:type="dxa" w:w="21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threat_category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Tag keyword 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Tag keyword map</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Category ID priority map</w:t>
            </w:r>
          </w:p>
        </w:tc>
      </w:tr>
      <w:tr>
        <w:trPr>
          <w:tblHeader w:val="false"/>
        </w:trPr>
        <w:tc>
          <w:tcPr>
            <w:tcW w:type="dxa" w:w="21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malicious_count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Pulse 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Malicious engines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Total reports</w:t>
            </w:r>
          </w:p>
        </w:tc>
      </w:tr>
      <w:tr>
        <w:trPr>
          <w:tblHeader w:val="false"/>
        </w:trPr>
        <w:tc>
          <w:tcPr>
            <w:tcW w:type="dxa" w:w="21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dedup_key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SHA-256(value::otx)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SHA-256(value::virustotal)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SHA-256(value::abuseipdb)</w:t>
            </w:r>
          </w:p>
        </w:tc>
      </w:tr>
    </w:tbl>
    <w:p>
      <w:pPr>
        <w:spacing w:before="80" w:after="200"/>
        <w:jc w:val="center"/>
      </w:pPr>
      <w:r>
        <w:rPr>
          <w:rFonts w:ascii="Times New Roman" w:cs="Times New Roman" w:eastAsia="Times New Roman" w:hAnsi="Times New Roman"/>
          <w:i/>
          <w:iCs/>
          <w:color w:val="444444"/>
          <w:sz w:val="18"/>
          <w:szCs w:val="18"/>
        </w:rPr>
        <w:t xml:space="preserve">Table 1: Field normalisation mapping across the three threat intelligence feeds</w:t>
      </w:r>
    </w:p>
    <w:p>
      <w:pPr>
        <w:pStyle w:val="Heading2"/>
        <w:spacing w:before="320" w:after="140"/>
      </w:pPr>
      <w:r>
        <w:rPr>
          <w:rFonts w:ascii="Times New Roman" w:cs="Times New Roman" w:eastAsia="Times New Roman" w:hAnsi="Times New Roman"/>
          <w:b/>
          <w:bCs/>
          <w:sz w:val="26"/>
          <w:szCs w:val="26"/>
        </w:rPr>
        <w:t xml:space="preserve">3.3 otx_client.py — AlienVault OTX</w:t>
      </w:r>
    </w:p>
    <w:p>
      <w:pPr>
        <w:spacing w:before="0" w:after="180" w:line="440"/>
        <w:jc w:val="both"/>
      </w:pPr>
      <w:r>
        <w:rPr>
          <w:rFonts w:ascii="Times New Roman" w:cs="Times New Roman" w:eastAsia="Times New Roman" w:hAnsi="Times New Roman"/>
          <w:sz w:val="24"/>
          <w:szCs w:val="24"/>
        </w:rPr>
        <w:t xml:space="preserve">The OTX client queries the AlienVault OTX REST API v1. It supports four indicator types: </w:t>
      </w:r>
      <w:r>
        <w:rPr>
          <w:rFonts w:ascii="Times New Roman" w:cs="Times New Roman" w:eastAsia="Times New Roman" w:hAnsi="Times New Roman"/>
          <w:b/>
          <w:bCs/>
          <w:sz w:val="24"/>
          <w:szCs w:val="24"/>
        </w:rPr>
        <w:t xml:space="preserve">IPv4 addresses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domains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file hashes</w:t>
      </w:r>
      <w:r>
        <w:rPr>
          <w:rFonts w:ascii="Times New Roman" w:cs="Times New Roman" w:eastAsia="Times New Roman" w:hAnsi="Times New Roman"/>
          <w:sz w:val="24"/>
          <w:szCs w:val="24"/>
        </w:rPr>
        <w:t xml:space="preserve"> (MD5/SHA1/SHA256), and </w:t>
      </w:r>
      <w:r>
        <w:rPr>
          <w:rFonts w:ascii="Times New Roman" w:cs="Times New Roman" w:eastAsia="Times New Roman" w:hAnsi="Times New Roman"/>
          <w:b/>
          <w:bCs/>
          <w:sz w:val="24"/>
          <w:szCs w:val="24"/>
        </w:rPr>
        <w:t xml:space="preserve">URLs</w:t>
      </w:r>
      <w:r>
        <w:rPr>
          <w:rFonts w:ascii="Times New Roman" w:cs="Times New Roman" w:eastAsia="Times New Roman" w:hAnsi="Times New Roman"/>
          <w:sz w:val="24"/>
          <w:szCs w:val="24"/>
        </w:rPr>
        <w:t xml:space="preserve">. It also exposes a </w:t>
      </w:r>
      <w:r>
        <w:rPr>
          <w:rFonts w:ascii="Courier New" w:cs="Courier New" w:eastAsia="Courier New" w:hAnsi="Courier New"/>
          <w:sz w:val="24"/>
          <w:szCs w:val="24"/>
        </w:rPr>
        <w:t xml:space="preserve">get_recent_pulses()</w:t>
      </w:r>
      <w:r>
        <w:rPr>
          <w:rFonts w:ascii="Times New Roman" w:cs="Times New Roman" w:eastAsia="Times New Roman" w:hAnsi="Times New Roman"/>
          <w:sz w:val="24"/>
          <w:szCs w:val="24"/>
        </w:rPr>
        <w:t xml:space="preserve"> method for bulk ingestion of the latest OTX community pulse data. Rate limiting is handled via a configurable sleep (default 1 second between calls) and exponential backoff retry logic using the </w:t>
      </w:r>
      <w:r>
        <w:rPr>
          <w:rFonts w:ascii="Courier New" w:cs="Courier New" w:eastAsia="Courier New" w:hAnsi="Courier New"/>
          <w:sz w:val="24"/>
          <w:szCs w:val="24"/>
        </w:rPr>
        <w:t xml:space="preserve">tenacity</w:t>
      </w:r>
      <w:r>
        <w:rPr>
          <w:rFonts w:ascii="Times New Roman" w:cs="Times New Roman" w:eastAsia="Times New Roman" w:hAnsi="Times New Roman"/>
          <w:sz w:val="24"/>
          <w:szCs w:val="24"/>
        </w:rPr>
        <w:t xml:space="preserve"> library.</w:t>
      </w:r>
    </w:p>
    <w:p>
      <w:pPr>
        <w:pStyle w:val="ListParagraph"/>
        <w:numPr>
          <w:ilvl w:val="0"/>
          <w:numId w:val="2"/>
        </w:numPr>
        <w:spacing w:before="40" w:after="40"/>
      </w:pPr>
      <w:r>
        <w:rPr>
          <w:rFonts w:ascii="Times New Roman" w:cs="Times New Roman" w:eastAsia="Times New Roman" w:hAnsi="Times New Roman"/>
          <w:sz w:val="24"/>
          <w:szCs w:val="24"/>
        </w:rPr>
        <w:t xml:space="preserve">API version: OTX REST API v1</w:t>
      </w:r>
    </w:p>
    <w:p>
      <w:pPr>
        <w:pStyle w:val="ListParagraph"/>
        <w:numPr>
          <w:ilvl w:val="0"/>
          <w:numId w:val="2"/>
        </w:numPr>
        <w:spacing w:before="40" w:after="40"/>
      </w:pPr>
      <w:r>
        <w:rPr>
          <w:rFonts w:ascii="Times New Roman" w:cs="Times New Roman" w:eastAsia="Times New Roman" w:hAnsi="Times New Roman"/>
          <w:sz w:val="24"/>
          <w:szCs w:val="24"/>
        </w:rPr>
        <w:t xml:space="preserve">Authentication: X-OTX-API-KEY request header</w:t>
      </w:r>
    </w:p>
    <w:p>
      <w:pPr>
        <w:pStyle w:val="ListParagraph"/>
        <w:numPr>
          <w:ilvl w:val="0"/>
          <w:numId w:val="2"/>
        </w:numPr>
        <w:spacing w:before="40" w:after="40"/>
      </w:pPr>
      <w:r>
        <w:rPr>
          <w:rFonts w:ascii="Times New Roman" w:cs="Times New Roman" w:eastAsia="Times New Roman" w:hAnsi="Times New Roman"/>
          <w:sz w:val="24"/>
          <w:szCs w:val="24"/>
        </w:rPr>
        <w:t xml:space="preserve">Rate limit: ~1,000 requests/day (free tier)</w:t>
      </w:r>
    </w:p>
    <w:p>
      <w:pPr>
        <w:pStyle w:val="ListParagraph"/>
        <w:numPr>
          <w:ilvl w:val="0"/>
          <w:numId w:val="2"/>
        </w:numPr>
        <w:spacing w:before="40" w:after="40"/>
      </w:pPr>
      <w:r>
        <w:rPr>
          <w:rFonts w:ascii="Times New Roman" w:cs="Times New Roman" w:eastAsia="Times New Roman" w:hAnsi="Times New Roman"/>
          <w:sz w:val="24"/>
          <w:szCs w:val="24"/>
        </w:rPr>
        <w:t xml:space="preserve">Retry: up to 3 attempts with exponential backoff (2x multiplier)</w:t>
      </w:r>
    </w:p>
    <w:p>
      <w:pPr>
        <w:pStyle w:val="ListParagraph"/>
        <w:numPr>
          <w:ilvl w:val="0"/>
          <w:numId w:val="2"/>
        </w:numPr>
        <w:spacing w:before="40" w:after="40"/>
      </w:pPr>
      <w:r>
        <w:rPr>
          <w:rFonts w:ascii="Times New Roman" w:cs="Times New Roman" w:eastAsia="Times New Roman" w:hAnsi="Times New Roman"/>
          <w:sz w:val="24"/>
          <w:szCs w:val="24"/>
        </w:rPr>
        <w:t xml:space="preserve">Timeout: 5.0 seconds per request (aligned to Objective 1 target)</w:t>
      </w:r>
    </w:p>
    <w:p>
      <w:pPr>
        <w:pStyle w:val="Heading2"/>
        <w:spacing w:before="320" w:after="140"/>
      </w:pPr>
      <w:r>
        <w:rPr>
          <w:rFonts w:ascii="Times New Roman" w:cs="Times New Roman" w:eastAsia="Times New Roman" w:hAnsi="Times New Roman"/>
          <w:b/>
          <w:bCs/>
          <w:sz w:val="26"/>
          <w:szCs w:val="26"/>
        </w:rPr>
        <w:t xml:space="preserve">3.4 virustotal_client.py — VirusTotal</w:t>
      </w:r>
    </w:p>
    <w:p>
      <w:pPr>
        <w:spacing w:before="0" w:after="180" w:line="440"/>
        <w:jc w:val="both"/>
      </w:pPr>
      <w:r>
        <w:rPr>
          <w:rFonts w:ascii="Times New Roman" w:cs="Times New Roman" w:eastAsia="Times New Roman" w:hAnsi="Times New Roman"/>
          <w:sz w:val="24"/>
          <w:szCs w:val="24"/>
        </w:rPr>
        <w:t xml:space="preserve">The VirusTotal client uses the v3 REST API, which requires base64-encoded URL identifiers for URL queries. The free tier restricts usage to 4 requests/minute and 500 requests/day, which is enforced via a 15-second minimum sleep between consecutive requests. The client tracks the timestamp of the last request and calculates the remaining sleep time dynamically, avoiding unnecessary delays when requests are spread across time. HTTP 429 responses trigger an extended back-off using the </w:t>
      </w:r>
      <w:r>
        <w:rPr>
          <w:rFonts w:ascii="Courier New" w:cs="Courier New" w:eastAsia="Courier New" w:hAnsi="Courier New"/>
          <w:sz w:val="24"/>
          <w:szCs w:val="24"/>
        </w:rPr>
        <w:t xml:space="preserve">Retry-After</w:t>
      </w:r>
      <w:r>
        <w:rPr>
          <w:rFonts w:ascii="Times New Roman" w:cs="Times New Roman" w:eastAsia="Times New Roman" w:hAnsi="Times New Roman"/>
          <w:sz w:val="24"/>
          <w:szCs w:val="24"/>
        </w:rPr>
        <w:t xml:space="preserve"> header value.</w:t>
      </w:r>
    </w:p>
    <w:p>
      <w:pPr>
        <w:pStyle w:val="ListParagraph"/>
        <w:numPr>
          <w:ilvl w:val="0"/>
          <w:numId w:val="2"/>
        </w:numPr>
        <w:spacing w:before="40" w:after="40"/>
      </w:pPr>
      <w:r>
        <w:rPr>
          <w:rFonts w:ascii="Times New Roman" w:cs="Times New Roman" w:eastAsia="Times New Roman" w:hAnsi="Times New Roman"/>
          <w:sz w:val="24"/>
          <w:szCs w:val="24"/>
        </w:rPr>
        <w:t xml:space="preserve">API version: VirusTotal API v3</w:t>
      </w:r>
    </w:p>
    <w:p>
      <w:pPr>
        <w:pStyle w:val="ListParagraph"/>
        <w:numPr>
          <w:ilvl w:val="0"/>
          <w:numId w:val="2"/>
        </w:numPr>
        <w:spacing w:before="40" w:after="40"/>
      </w:pPr>
      <w:r>
        <w:rPr>
          <w:rFonts w:ascii="Times New Roman" w:cs="Times New Roman" w:eastAsia="Times New Roman" w:hAnsi="Times New Roman"/>
          <w:sz w:val="24"/>
          <w:szCs w:val="24"/>
        </w:rPr>
        <w:t xml:space="preserve">Authentication: x-apikey request header</w:t>
      </w:r>
    </w:p>
    <w:p>
      <w:pPr>
        <w:pStyle w:val="ListParagraph"/>
        <w:numPr>
          <w:ilvl w:val="0"/>
          <w:numId w:val="2"/>
        </w:numPr>
        <w:spacing w:before="40" w:after="40"/>
      </w:pPr>
      <w:r>
        <w:rPr>
          <w:rFonts w:ascii="Times New Roman" w:cs="Times New Roman" w:eastAsia="Times New Roman" w:hAnsi="Times New Roman"/>
          <w:sz w:val="24"/>
          <w:szCs w:val="24"/>
        </w:rPr>
        <w:t xml:space="preserve">Rate limit: 4 requests/minute, 500/day (free tier) — enforced via 15-second sleep</w:t>
      </w:r>
    </w:p>
    <w:p>
      <w:pPr>
        <w:pStyle w:val="ListParagraph"/>
        <w:numPr>
          <w:ilvl w:val="0"/>
          <w:numId w:val="2"/>
        </w:numPr>
        <w:spacing w:before="40" w:after="40"/>
      </w:pPr>
      <w:r>
        <w:rPr>
          <w:rFonts w:ascii="Times New Roman" w:cs="Times New Roman" w:eastAsia="Times New Roman" w:hAnsi="Times New Roman"/>
          <w:sz w:val="24"/>
          <w:szCs w:val="24"/>
        </w:rPr>
        <w:t xml:space="preserve">URL queries: base64 URL-safe encoding without padding (per VT v3 spec)</w:t>
      </w:r>
    </w:p>
    <w:p>
      <w:pPr>
        <w:pStyle w:val="Heading2"/>
        <w:spacing w:before="320" w:after="140"/>
      </w:pPr>
      <w:r>
        <w:rPr>
          <w:rFonts w:ascii="Times New Roman" w:cs="Times New Roman" w:eastAsia="Times New Roman" w:hAnsi="Times New Roman"/>
          <w:b/>
          <w:bCs/>
          <w:sz w:val="26"/>
          <w:szCs w:val="26"/>
        </w:rPr>
        <w:t xml:space="preserve">3.5 abuseipdb_client.py — AbuseIPDB</w:t>
      </w:r>
    </w:p>
    <w:p>
      <w:pPr>
        <w:spacing w:before="0" w:after="180" w:line="440"/>
        <w:jc w:val="both"/>
      </w:pPr>
      <w:r>
        <w:rPr>
          <w:rFonts w:ascii="Times New Roman" w:cs="Times New Roman" w:eastAsia="Times New Roman" w:hAnsi="Times New Roman"/>
          <w:sz w:val="24"/>
          <w:szCs w:val="24"/>
        </w:rPr>
        <w:t xml:space="preserve">AbuseIPDB is an IP-address-only feed, which complements the broader indicator coverage of OTX and VirusTotal. The client supports single IP queries, bulk sequential checking, and retrieval of the AbuseIPDB blacklist (top abusive IPs above a configurable confidence threshold). The blacklist endpoint is particularly valuable for bulk ingestion: it can retrieve up to 1,000 high-confidence malicious IPs in a single API call, seeding the PostgreSQL database with a strong starting dataset before live correlation begins.</w:t>
      </w:r>
    </w:p>
    <w:p>
      <w:pPr>
        <w:pStyle w:val="ListParagraph"/>
        <w:numPr>
          <w:ilvl w:val="0"/>
          <w:numId w:val="2"/>
        </w:numPr>
        <w:spacing w:before="40" w:after="40"/>
      </w:pPr>
      <w:r>
        <w:rPr>
          <w:rFonts w:ascii="Times New Roman" w:cs="Times New Roman" w:eastAsia="Times New Roman" w:hAnsi="Times New Roman"/>
          <w:sz w:val="24"/>
          <w:szCs w:val="24"/>
        </w:rPr>
        <w:t xml:space="preserve">API version: AbuseIPDB API v2</w:t>
      </w:r>
    </w:p>
    <w:p>
      <w:pPr>
        <w:pStyle w:val="ListParagraph"/>
        <w:numPr>
          <w:ilvl w:val="0"/>
          <w:numId w:val="2"/>
        </w:numPr>
        <w:spacing w:before="40" w:after="40"/>
      </w:pPr>
      <w:r>
        <w:rPr>
          <w:rFonts w:ascii="Times New Roman" w:cs="Times New Roman" w:eastAsia="Times New Roman" w:hAnsi="Times New Roman"/>
          <w:sz w:val="24"/>
          <w:szCs w:val="24"/>
        </w:rPr>
        <w:t xml:space="preserve">Authentication: Key request header</w:t>
      </w:r>
    </w:p>
    <w:p>
      <w:pPr>
        <w:pStyle w:val="ListParagraph"/>
        <w:numPr>
          <w:ilvl w:val="0"/>
          <w:numId w:val="2"/>
        </w:numPr>
        <w:spacing w:before="40" w:after="40"/>
      </w:pPr>
      <w:r>
        <w:rPr>
          <w:rFonts w:ascii="Times New Roman" w:cs="Times New Roman" w:eastAsia="Times New Roman" w:hAnsi="Times New Roman"/>
          <w:sz w:val="24"/>
          <w:szCs w:val="24"/>
        </w:rPr>
        <w:t xml:space="preserve">Rate limit: 1,000 requests/day (free tier)</w:t>
      </w:r>
    </w:p>
    <w:p>
      <w:pPr>
        <w:pStyle w:val="ListParagraph"/>
        <w:numPr>
          <w:ilvl w:val="0"/>
          <w:numId w:val="2"/>
        </w:numPr>
        <w:spacing w:before="40" w:after="40"/>
      </w:pPr>
      <w:r>
        <w:rPr>
          <w:rFonts w:ascii="Times New Roman" w:cs="Times New Roman" w:eastAsia="Times New Roman" w:hAnsi="Times New Roman"/>
          <w:sz w:val="24"/>
          <w:szCs w:val="24"/>
        </w:rPr>
        <w:t xml:space="preserve">Blacklist retrieval: up to 1,000 IPs per request, configurable confidence threshold</w:t>
      </w:r>
    </w:p>
    <w:p>
      <w:pPr>
        <w:pStyle w:val="Heading2"/>
        <w:spacing w:before="320" w:after="140"/>
      </w:pPr>
      <w:r>
        <w:rPr>
          <w:rFonts w:ascii="Times New Roman" w:cs="Times New Roman" w:eastAsia="Times New Roman" w:hAnsi="Times New Roman"/>
          <w:b/>
          <w:bCs/>
          <w:sz w:val="26"/>
          <w:szCs w:val="26"/>
        </w:rPr>
        <w:t xml:space="preserve">3.6 db.py — PostgreSQL Database Layer</w:t>
      </w:r>
    </w:p>
    <w:p>
      <w:pPr>
        <w:spacing w:before="0" w:after="180" w:line="440"/>
        <w:jc w:val="both"/>
      </w:pPr>
      <w:r>
        <w:rPr>
          <w:rFonts w:ascii="Times New Roman" w:cs="Times New Roman" w:eastAsia="Times New Roman" w:hAnsi="Times New Roman"/>
          <w:sz w:val="24"/>
          <w:szCs w:val="24"/>
        </w:rPr>
        <w:t xml:space="preserve">The database module defines the three-table schema and manages all database interactions through a </w:t>
      </w:r>
      <w:r>
        <w:rPr>
          <w:rFonts w:ascii="Courier New" w:cs="Courier New" w:eastAsia="Courier New" w:hAnsi="Courier New"/>
          <w:sz w:val="24"/>
          <w:szCs w:val="24"/>
        </w:rPr>
        <w:t xml:space="preserve">ThreadedConnectionPool</w:t>
      </w:r>
      <w:r>
        <w:rPr>
          <w:rFonts w:ascii="Times New Roman" w:cs="Times New Roman" w:eastAsia="Times New Roman" w:hAnsi="Times New Roman"/>
          <w:sz w:val="24"/>
          <w:szCs w:val="24"/>
        </w:rPr>
        <w:t xml:space="preserve"> (psycopg2), which provides efficient connection reuse for concurrent ingestion runs. The primary table </w:t>
      </w:r>
      <w:r>
        <w:rPr>
          <w:rFonts w:ascii="Courier New" w:cs="Courier New" w:eastAsia="Courier New" w:hAnsi="Courier New"/>
          <w:sz w:val="24"/>
          <w:szCs w:val="24"/>
        </w:rPr>
        <w:t xml:space="preserve">threat_indicators</w:t>
      </w:r>
      <w:r>
        <w:rPr>
          <w:rFonts w:ascii="Times New Roman" w:cs="Times New Roman" w:eastAsia="Times New Roman" w:hAnsi="Times New Roman"/>
          <w:sz w:val="24"/>
          <w:szCs w:val="24"/>
        </w:rPr>
        <w:t xml:space="preserve"> uses the </w:t>
      </w:r>
      <w:r>
        <w:rPr>
          <w:rFonts w:ascii="Courier New" w:cs="Courier New" w:eastAsia="Courier New" w:hAnsi="Courier New"/>
          <w:sz w:val="24"/>
          <w:szCs w:val="24"/>
        </w:rPr>
        <w:t xml:space="preserve">dedup_key</w:t>
      </w:r>
      <w:r>
        <w:rPr>
          <w:rFonts w:ascii="Times New Roman" w:cs="Times New Roman" w:eastAsia="Times New Roman" w:hAnsi="Times New Roman"/>
          <w:sz w:val="24"/>
          <w:szCs w:val="24"/>
        </w:rPr>
        <w:t xml:space="preserve"> column (SHA-256 hash of indicator value + source feed) as a unique constraint. All inserts use PostgreSQL's </w:t>
      </w:r>
      <w:r>
        <w:rPr>
          <w:rFonts w:ascii="Courier New" w:cs="Courier New" w:eastAsia="Courier New" w:hAnsi="Courier New"/>
          <w:sz w:val="24"/>
          <w:szCs w:val="24"/>
        </w:rPr>
        <w:t xml:space="preserve">ON CONFLICT DO UPDATE</w:t>
      </w:r>
      <w:r>
        <w:rPr>
          <w:rFonts w:ascii="Times New Roman" w:cs="Times New Roman" w:eastAsia="Times New Roman" w:hAnsi="Times New Roman"/>
          <w:sz w:val="24"/>
          <w:szCs w:val="24"/>
        </w:rPr>
        <w:t xml:space="preserve"> syntax to implement idempotent upserts — the same indicator can be ingested multiple times without creating duplicates, with the latest data always overwriting the previous record.</w:t>
      </w:r>
    </w:p>
    <w:p>
      <w:pPr>
        <w:spacing w:before="1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Table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Primary Key</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Purpose</w:t>
            </w:r>
          </w:p>
        </w:tc>
      </w:tr>
      <w:tr>
        <w:trPr>
          <w:tblHeader w:val="false"/>
        </w:trP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threat_indicators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dedup_key (UNIQUE)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Stores all normalised IOCs from all three feeds</w:t>
            </w:r>
          </w:p>
        </w:tc>
      </w:tr>
      <w:tr>
        <w:trPr>
          <w:tblHeader w:val="false"/>
        </w:trP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correlation_results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id (SERIAL)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Stores ML correlation scores and verdicts per indicator</w:t>
            </w:r>
          </w:p>
        </w:tc>
      </w:tr>
      <w:tr>
        <w:trPr>
          <w:tblHeader w:val="false"/>
        </w:trP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ingestion_log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id (SERIAL)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Audit log of each API fetch run — counts, errors, duration</w:t>
            </w:r>
          </w:p>
        </w:tc>
      </w:tr>
    </w:tbl>
    <w:p>
      <w:pPr>
        <w:spacing w:before="80" w:after="200"/>
        <w:jc w:val="center"/>
      </w:pPr>
      <w:r>
        <w:rPr>
          <w:rFonts w:ascii="Times New Roman" w:cs="Times New Roman" w:eastAsia="Times New Roman" w:hAnsi="Times New Roman"/>
          <w:i/>
          <w:iCs/>
          <w:color w:val="444444"/>
          <w:sz w:val="18"/>
          <w:szCs w:val="18"/>
        </w:rPr>
        <w:t xml:space="preserve">Table 2: PostgreSQL schema overview</w:t>
      </w:r>
    </w:p>
    <w:p>
      <w:pPr>
        <w:pStyle w:val="Heading2"/>
        <w:spacing w:before="320" w:after="140"/>
      </w:pPr>
      <w:r>
        <w:rPr>
          <w:rFonts w:ascii="Times New Roman" w:cs="Times New Roman" w:eastAsia="Times New Roman" w:hAnsi="Times New Roman"/>
          <w:b/>
          <w:bCs/>
          <w:sz w:val="26"/>
          <w:szCs w:val="26"/>
        </w:rPr>
        <w:t xml:space="preserve">3.7 main.py — Orchestrator &amp; CLI</w:t>
      </w:r>
    </w:p>
    <w:p>
      <w:pPr>
        <w:spacing w:before="0" w:after="180" w:line="440"/>
        <w:jc w:val="both"/>
      </w:pPr>
      <w:r>
        <w:rPr>
          <w:rFonts w:ascii="Times New Roman" w:cs="Times New Roman" w:eastAsia="Times New Roman" w:hAnsi="Times New Roman"/>
          <w:sz w:val="24"/>
          <w:szCs w:val="24"/>
        </w:rPr>
        <w:t xml:space="preserve">The main module ties all components together in the </w:t>
      </w:r>
      <w:r>
        <w:rPr>
          <w:rFonts w:ascii="Courier New" w:cs="Courier New" w:eastAsia="Courier New" w:hAnsi="Courier New"/>
          <w:sz w:val="24"/>
          <w:szCs w:val="24"/>
        </w:rPr>
        <w:t xml:space="preserve">ThreatIntelPlatform</w:t>
      </w:r>
      <w:r>
        <w:rPr>
          <w:rFonts w:ascii="Times New Roman" w:cs="Times New Roman" w:eastAsia="Times New Roman" w:hAnsi="Times New Roman"/>
          <w:sz w:val="24"/>
          <w:szCs w:val="24"/>
        </w:rPr>
        <w:t xml:space="preserve"> class and exposes a CLI interface for three operations: querying a single indicator across all feeds (</w:t>
      </w:r>
      <w:r>
        <w:rPr>
          <w:rFonts w:ascii="Courier New" w:cs="Courier New" w:eastAsia="Courier New" w:hAnsi="Courier New"/>
          <w:sz w:val="24"/>
          <w:szCs w:val="24"/>
        </w:rPr>
        <w:t xml:space="preserve">--indicator</w:t>
      </w:r>
      <w:r>
        <w:rPr>
          <w:rFonts w:ascii="Times New Roman" w:cs="Times New Roman" w:eastAsia="Times New Roman" w:hAnsi="Times New Roman"/>
          <w:sz w:val="24"/>
          <w:szCs w:val="24"/>
        </w:rPr>
        <w:t xml:space="preserve">), running a full bulk ingestion cycle (</w:t>
      </w:r>
      <w:r>
        <w:rPr>
          <w:rFonts w:ascii="Courier New" w:cs="Courier New" w:eastAsia="Courier New" w:hAnsi="Courier New"/>
          <w:sz w:val="24"/>
          <w:szCs w:val="24"/>
        </w:rPr>
        <w:t xml:space="preserve">--ingest</w:t>
      </w:r>
      <w:r>
        <w:rPr>
          <w:rFonts w:ascii="Times New Roman" w:cs="Times New Roman" w:eastAsia="Times New Roman" w:hAnsi="Times New Roman"/>
          <w:sz w:val="24"/>
          <w:szCs w:val="24"/>
        </w:rPr>
        <w:t xml:space="preserve">), and printing database statistics (</w:t>
      </w:r>
      <w:r>
        <w:rPr>
          <w:rFonts w:ascii="Courier New" w:cs="Courier New" w:eastAsia="Courier New" w:hAnsi="Courier New"/>
          <w:sz w:val="24"/>
          <w:szCs w:val="24"/>
        </w:rPr>
        <w:t xml:space="preserve">--stats</w:t>
      </w:r>
      <w:r>
        <w:rPr>
          <w:rFonts w:ascii="Times New Roman" w:cs="Times New Roman" w:eastAsia="Times New Roman" w:hAnsi="Times New Roman"/>
          <w:sz w:val="24"/>
          <w:szCs w:val="24"/>
        </w:rPr>
        <w:t xml:space="preserve">). The </w:t>
      </w:r>
      <w:r>
        <w:rPr>
          <w:rFonts w:ascii="Courier New" w:cs="Courier New" w:eastAsia="Courier New" w:hAnsi="Courier New"/>
          <w:sz w:val="24"/>
          <w:szCs w:val="24"/>
        </w:rPr>
        <w:t xml:space="preserve">query_all_feeds()</w:t>
      </w:r>
      <w:r>
        <w:rPr>
          <w:rFonts w:ascii="Times New Roman" w:cs="Times New Roman" w:eastAsia="Times New Roman" w:hAnsi="Times New Roman"/>
          <w:sz w:val="24"/>
          <w:szCs w:val="24"/>
        </w:rPr>
        <w:t xml:space="preserve"> method is the core function: it queries all three APIs in sequence, stores the results, and logs a warning if the total processing time exceeds the 5-second target defined in Objective 1.</w:t>
      </w:r>
    </w:p>
    <w:p>
      <w:pPr>
        <w:pStyle w:val="Heading1"/>
        <w:spacing w:before="480" w:after="200"/>
      </w:pPr>
      <w:r>
        <w:rPr>
          <w:rFonts w:ascii="Times New Roman" w:cs="Times New Roman" w:eastAsia="Times New Roman" w:hAnsi="Times New Roman"/>
          <w:b/>
          <w:bCs/>
          <w:sz w:val="28"/>
          <w:szCs w:val="28"/>
        </w:rPr>
        <w:t xml:space="preserve">4. Testing</w:t>
      </w:r>
    </w:p>
    <w:p>
      <w:pPr>
        <w:pStyle w:val="Heading2"/>
        <w:spacing w:before="320" w:after="140"/>
      </w:pPr>
      <w:r>
        <w:rPr>
          <w:rFonts w:ascii="Times New Roman" w:cs="Times New Roman" w:eastAsia="Times New Roman" w:hAnsi="Times New Roman"/>
          <w:b/>
          <w:bCs/>
          <w:sz w:val="26"/>
          <w:szCs w:val="26"/>
        </w:rPr>
        <w:t xml:space="preserve">4.1 Test Suite Results</w:t>
      </w:r>
    </w:p>
    <w:p>
      <w:pPr>
        <w:spacing w:before="0" w:after="180" w:line="440"/>
        <w:jc w:val="both"/>
      </w:pPr>
      <w:r>
        <w:rPr>
          <w:rFonts w:ascii="Times New Roman" w:cs="Times New Roman" w:eastAsia="Times New Roman" w:hAnsi="Times New Roman"/>
          <w:sz w:val="24"/>
          <w:szCs w:val="24"/>
        </w:rPr>
        <w:t xml:space="preserve">The module ships with 42 unit tests covering all normaliser functions, indicator type detection, category mapping, multi-source deduplication logic, and serialisation. Tests are written using </w:t>
      </w:r>
      <w:r>
        <w:rPr>
          <w:rFonts w:ascii="Courier New" w:cs="Courier New" w:eastAsia="Courier New" w:hAnsi="Courier New"/>
          <w:sz w:val="24"/>
          <w:szCs w:val="24"/>
        </w:rPr>
        <w:t xml:space="preserve">pytest</w:t>
      </w:r>
      <w:r>
        <w:rPr>
          <w:rFonts w:ascii="Times New Roman" w:cs="Times New Roman" w:eastAsia="Times New Roman" w:hAnsi="Times New Roman"/>
          <w:sz w:val="24"/>
          <w:szCs w:val="24"/>
        </w:rPr>
        <w:t xml:space="preserve"> and use fixture-based mock data to avoid live API calls during testing (following the principle of test isolation). All 42 tests pass as of 15 March 2026.</w:t>
      </w:r>
    </w:p>
    <w:p>
      <w:pPr>
        <w:spacing w:before="1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80"/>
        <w:gridCol w:w="1480"/>
        <w:gridCol w:w="320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Test Class</w:t>
            </w:r>
          </w:p>
        </w:tc>
        <w:tc>
          <w:tcPr>
            <w:tcW w:type="dxa" w:w="1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Tests</w:t>
            </w:r>
          </w:p>
        </w:tc>
        <w:tc>
          <w:tcPr>
            <w:tcW w:type="dxa" w:w="1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Passed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Coverage Area</w:t>
            </w:r>
          </w:p>
        </w:tc>
      </w:tr>
      <w:tr>
        <w:trPr>
          <w:tblHeader w:val="false"/>
        </w:trP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TestIndicatorTypeDetection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IP, domain, URL, hash, email, unknown detection</w:t>
            </w:r>
          </w:p>
        </w:tc>
      </w:tr>
      <w:tr>
        <w:trPr>
          <w:tblHeader w:val="false"/>
        </w:trP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TestCategoryMapping</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8</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OTX tag mapping, AbuseIPDB category priority</w:t>
            </w:r>
          </w:p>
        </w:tc>
      </w:tr>
      <w:tr>
        <w:trPr>
          <w:tblHeader w:val="false"/>
        </w:trP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TestNormaliseOTX</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9</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OTX normalisation, confidence, ASN, dedup key</w:t>
            </w:r>
          </w:p>
        </w:tc>
      </w:tr>
      <w:tr>
        <w:trPr>
          <w:tblHeader w:val="false"/>
        </w:trP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TestNormaliseVirusTotal</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8</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VT confidence ratio, engine counts, geo data</w:t>
            </w:r>
          </w:p>
        </w:tc>
      </w:tr>
      <w:tr>
        <w:trPr>
          <w:tblHeader w:val="false"/>
        </w:trP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TestNormaliseAbuseIPDB</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8</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Abuse score, category priority, serialisation</w:t>
            </w:r>
          </w:p>
        </w:tc>
      </w:tr>
      <w:tr>
        <w:trPr>
          <w:tblHeader w:val="false"/>
        </w:trP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TestMultiSourceDeduplication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2</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Cross-feed unique keys, same-feed idempotency</w:t>
            </w:r>
          </w:p>
        </w:tc>
      </w:tr>
      <w:tr>
        <w:trPr>
          <w:tblHeader w:val="false"/>
        </w:trP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TOTAL</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42</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42 (100%)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4"/>
                <w:szCs w:val="24"/>
              </w:rPr>
              <w:t xml:space="preserve"/>
            </w:r>
          </w:p>
        </w:tc>
      </w:tr>
    </w:tbl>
    <w:p>
      <w:pPr>
        <w:spacing w:before="80" w:after="200"/>
        <w:jc w:val="center"/>
      </w:pPr>
      <w:r>
        <w:rPr>
          <w:rFonts w:ascii="Times New Roman" w:cs="Times New Roman" w:eastAsia="Times New Roman" w:hAnsi="Times New Roman"/>
          <w:i/>
          <w:iCs/>
          <w:color w:val="444444"/>
          <w:sz w:val="18"/>
          <w:szCs w:val="18"/>
        </w:rPr>
        <w:t xml:space="preserve">Table 3: Unit test results — 42/42 passing (15 March 2026)</w:t>
      </w:r>
    </w:p>
    <w:p>
      <w:pPr>
        <w:pStyle w:val="Heading2"/>
        <w:spacing w:before="320" w:after="140"/>
      </w:pPr>
      <w:r>
        <w:rPr>
          <w:rFonts w:ascii="Times New Roman" w:cs="Times New Roman" w:eastAsia="Times New Roman" w:hAnsi="Times New Roman"/>
          <w:b/>
          <w:bCs/>
          <w:sz w:val="26"/>
          <w:szCs w:val="26"/>
        </w:rPr>
        <w:t xml:space="preserve">4.2 Running the Tests</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Install dependencies</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pip install -r requirements.txt</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Run all tests with coverage report</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pytest tests/ -v --cov=. --cov-report=term-missing</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Query a single IP across all three feeds</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python main.py --indicator 198.51.100.1 --type ip</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Run bulk ingestion cycle</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python main.py --ingest</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 Print database statistics</w:t>
      </w:r>
    </w:p>
    <w:p>
      <w:pPr>
        <w:pBdr>
          <w:left w:val="single" w:color="1E3A5F" w:sz="8" w:space="6"/>
        </w:pBdr>
        <w:shd w:fill="F5F5F5" w:val="clear"/>
        <w:spacing w:before="60" w:after="60"/>
      </w:pPr>
      <w:r>
        <w:rPr>
          <w:rFonts w:ascii="Courier New" w:cs="Courier New" w:eastAsia="Courier New" w:hAnsi="Courier New"/>
          <w:color w:val="1E3A5F"/>
          <w:sz w:val="18"/>
          <w:szCs w:val="18"/>
        </w:rPr>
        <w:t xml:space="preserve">python main.py --stats</w:t>
      </w:r>
    </w:p>
    <w:p>
      <w:pPr>
        <w:pStyle w:val="Heading1"/>
        <w:spacing w:before="480" w:after="200"/>
      </w:pPr>
      <w:r>
        <w:rPr>
          <w:rFonts w:ascii="Times New Roman" w:cs="Times New Roman" w:eastAsia="Times New Roman" w:hAnsi="Times New Roman"/>
          <w:b/>
          <w:bCs/>
          <w:sz w:val="28"/>
          <w:szCs w:val="28"/>
        </w:rPr>
        <w:t xml:space="preserve">5. Performance &amp; Rate Limit Management</w:t>
      </w:r>
    </w:p>
    <w:p>
      <w:pPr>
        <w:spacing w:before="0" w:after="180" w:line="440"/>
        <w:jc w:val="both"/>
      </w:pPr>
      <w:r>
        <w:rPr>
          <w:rFonts w:ascii="Times New Roman" w:cs="Times New Roman" w:eastAsia="Times New Roman" w:hAnsi="Times New Roman"/>
          <w:sz w:val="24"/>
          <w:szCs w:val="24"/>
        </w:rPr>
        <w:t xml:space="preserve">Objective 1 sets a target of less than 5 seconds mean processing time per threat indicator across all three APIs. The module addresses this through two mechanisms. First, rate limit sleeps are configured per-feed based on their documented limits: 1 second for OTX and AbuseIPDB, and 15 seconds for VirusTotal (enforced only when consecutive requests to VT are made). Second, the </w:t>
      </w:r>
      <w:r>
        <w:rPr>
          <w:rFonts w:ascii="Courier New" w:cs="Courier New" w:eastAsia="Courier New" w:hAnsi="Courier New"/>
          <w:sz w:val="24"/>
          <w:szCs w:val="24"/>
        </w:rPr>
        <w:t xml:space="preserve">PROCESSING_TIMEOUT</w:t>
      </w:r>
      <w:r>
        <w:rPr>
          <w:rFonts w:ascii="Times New Roman" w:cs="Times New Roman" w:eastAsia="Times New Roman" w:hAnsi="Times New Roman"/>
          <w:sz w:val="24"/>
          <w:szCs w:val="24"/>
        </w:rPr>
        <w:t xml:space="preserve"> setting (default 5.0 seconds) is applied to each individual HTTP request, and a warning is logged if the total per-indicator processing time exceeds this threshold.</w:t>
      </w:r>
    </w:p>
    <w:p>
      <w:pPr>
        <w:spacing w:before="0" w:after="180" w:line="440"/>
        <w:jc w:val="both"/>
      </w:pPr>
      <w:r>
        <w:rPr>
          <w:rFonts w:ascii="Times New Roman" w:cs="Times New Roman" w:eastAsia="Times New Roman" w:hAnsi="Times New Roman"/>
          <w:sz w:val="24"/>
          <w:szCs w:val="24"/>
        </w:rPr>
        <w:t xml:space="preserve">It is important to note that VirusTotal's free-tier rate limit (4 requests/minute) means that querying VT as part of every indicator lookup in a high-volume environment would be impractical. In the dissertation evaluation, VirusTotal queries are batched and the 15-second sleep is accounted for in the overall processing time metric. The 5-second objective is met for OTX and AbuseIPDB individually; the overall multi-source query time depends on VT rate limit scheduling.</w:t>
      </w:r>
    </w:p>
    <w:p>
      <w:pPr>
        <w:pStyle w:val="Heading1"/>
        <w:spacing w:before="480" w:after="200"/>
      </w:pPr>
      <w:r>
        <w:rPr>
          <w:rFonts w:ascii="Times New Roman" w:cs="Times New Roman" w:eastAsia="Times New Roman" w:hAnsi="Times New Roman"/>
          <w:b/>
          <w:bCs/>
          <w:sz w:val="28"/>
          <w:szCs w:val="28"/>
        </w:rPr>
        <w:t xml:space="preserve">6. Security Considerations</w:t>
      </w:r>
    </w:p>
    <w:p>
      <w:pPr>
        <w:pStyle w:val="ListParagraph"/>
        <w:numPr>
          <w:ilvl w:val="0"/>
          <w:numId w:val="2"/>
        </w:numPr>
        <w:spacing w:before="40" w:after="40"/>
      </w:pPr>
      <w:r>
        <w:rPr>
          <w:rFonts w:ascii="Times New Roman" w:cs="Times New Roman" w:eastAsia="Times New Roman" w:hAnsi="Times New Roman"/>
          <w:sz w:val="24"/>
          <w:szCs w:val="24"/>
        </w:rPr>
        <w:t xml:space="preserve">API keys are stored exclusively in the .env file, which is listed in .gitignore and never committed to version control.</w:t>
      </w:r>
    </w:p>
    <w:p>
      <w:pPr>
        <w:pStyle w:val="ListParagraph"/>
        <w:numPr>
          <w:ilvl w:val="0"/>
          <w:numId w:val="2"/>
        </w:numPr>
        <w:spacing w:before="40" w:after="40"/>
      </w:pPr>
      <w:r>
        <w:rPr>
          <w:rFonts w:ascii="Times New Roman" w:cs="Times New Roman" w:eastAsia="Times New Roman" w:hAnsi="Times New Roman"/>
          <w:sz w:val="24"/>
          <w:szCs w:val="24"/>
        </w:rPr>
        <w:t xml:space="preserve">All HTTP requests include a descriptive User-Agent string identifying the research project, in compliance with the API terms of service.</w:t>
      </w:r>
    </w:p>
    <w:p>
      <w:pPr>
        <w:pStyle w:val="ListParagraph"/>
        <w:numPr>
          <w:ilvl w:val="0"/>
          <w:numId w:val="2"/>
        </w:numPr>
        <w:spacing w:before="40" w:after="40"/>
      </w:pPr>
      <w:r>
        <w:rPr>
          <w:rFonts w:ascii="Times New Roman" w:cs="Times New Roman" w:eastAsia="Times New Roman" w:hAnsi="Times New Roman"/>
          <w:sz w:val="24"/>
          <w:szCs w:val="24"/>
        </w:rPr>
        <w:t xml:space="preserve">The platform operates in read-only mode against all three APIs — no data is submitted or modified on any external service.</w:t>
      </w:r>
    </w:p>
    <w:p>
      <w:pPr>
        <w:pStyle w:val="ListParagraph"/>
        <w:numPr>
          <w:ilvl w:val="0"/>
          <w:numId w:val="2"/>
        </w:numPr>
        <w:spacing w:before="40" w:after="40"/>
      </w:pPr>
      <w:r>
        <w:rPr>
          <w:rFonts w:ascii="Times New Roman" w:cs="Times New Roman" w:eastAsia="Times New Roman" w:hAnsi="Times New Roman"/>
          <w:sz w:val="24"/>
          <w:szCs w:val="24"/>
        </w:rPr>
        <w:t xml:space="preserve">All testing is conducted against publicly available threat intelligence data; no unauthorised system access is performed at any point.</w:t>
      </w:r>
    </w:p>
    <w:p>
      <w:pPr>
        <w:pStyle w:val="ListParagraph"/>
        <w:numPr>
          <w:ilvl w:val="0"/>
          <w:numId w:val="2"/>
        </w:numPr>
        <w:spacing w:before="40" w:after="40"/>
      </w:pPr>
      <w:r>
        <w:rPr>
          <w:rFonts w:ascii="Times New Roman" w:cs="Times New Roman" w:eastAsia="Times New Roman" w:hAnsi="Times New Roman"/>
          <w:sz w:val="24"/>
          <w:szCs w:val="24"/>
        </w:rPr>
        <w:t xml:space="preserve">PostgreSQL credentials are also stored in .env; production deployment should use a secrets manager such as HashiCorp Vault.</w:t>
      </w:r>
    </w:p>
    <w:p>
      <w:r>
        <w:br w:type="page"/>
      </w:r>
    </w:p>
    <w:p>
      <w:pPr>
        <w:spacing w:before="0" w:after="320"/>
      </w:pPr>
      <w:r>
        <w:rPr>
          <w:rFonts w:ascii="Times New Roman" w:cs="Times New Roman" w:eastAsia="Times New Roman" w:hAnsi="Times New Roman"/>
          <w:b/>
          <w:bCs/>
          <w:sz w:val="28"/>
          <w:szCs w:val="28"/>
        </w:rPr>
        <w:t xml:space="preserve">References</w:t>
      </w:r>
    </w:p>
    <w:p>
      <w:pPr>
        <w:spacing w:before="0" w:after="160" w:line="480"/>
        <w:ind w:left="720" w:hanging="720"/>
        <w:jc w:val="left"/>
      </w:pPr>
      <w:r>
        <w:rPr>
          <w:rFonts w:ascii="Times New Roman" w:cs="Times New Roman" w:eastAsia="Times New Roman" w:hAnsi="Times New Roman"/>
          <w:i w:val="false"/>
          <w:iCs w:val="false"/>
          <w:sz w:val="24"/>
          <w:szCs w:val="24"/>
        </w:rPr>
        <w:t xml:space="preserve">AlienVault (2024) </w:t>
      </w:r>
      <w:r>
        <w:rPr>
          <w:rFonts w:ascii="Times New Roman" w:cs="Times New Roman" w:eastAsia="Times New Roman" w:hAnsi="Times New Roman"/>
          <w:i/>
          <w:iCs/>
          <w:sz w:val="24"/>
          <w:szCs w:val="24"/>
        </w:rPr>
        <w:t xml:space="preserve">OTX API documentation</w:t>
      </w:r>
      <w:r>
        <w:rPr>
          <w:rFonts w:ascii="Times New Roman" w:cs="Times New Roman" w:eastAsia="Times New Roman" w:hAnsi="Times New Roman"/>
          <w:i w:val="false"/>
          <w:iCs w:val="false"/>
          <w:sz w:val="24"/>
          <w:szCs w:val="24"/>
        </w:rPr>
        <w:t xml:space="preserve"> [Online]. Available at: https://otx.alienvault.com/api (Accessed: 15 March 2026).</w:t>
      </w:r>
    </w:p>
    <w:p>
      <w:pPr>
        <w:spacing w:before="0" w:after="160" w:line="480"/>
        <w:ind w:left="720" w:hanging="720"/>
        <w:jc w:val="left"/>
      </w:pPr>
      <w:r>
        <w:rPr>
          <w:rFonts w:ascii="Times New Roman" w:cs="Times New Roman" w:eastAsia="Times New Roman" w:hAnsi="Times New Roman"/>
          <w:i w:val="false"/>
          <w:iCs w:val="false"/>
          <w:sz w:val="24"/>
          <w:szCs w:val="24"/>
        </w:rPr>
        <w:t xml:space="preserve">AbuseIPDB (2024) </w:t>
      </w:r>
      <w:r>
        <w:rPr>
          <w:rFonts w:ascii="Times New Roman" w:cs="Times New Roman" w:eastAsia="Times New Roman" w:hAnsi="Times New Roman"/>
          <w:i/>
          <w:iCs/>
          <w:sz w:val="24"/>
          <w:szCs w:val="24"/>
        </w:rPr>
        <w:t xml:space="preserve">AbuseIPDB API v2 documentation</w:t>
      </w:r>
      <w:r>
        <w:rPr>
          <w:rFonts w:ascii="Times New Roman" w:cs="Times New Roman" w:eastAsia="Times New Roman" w:hAnsi="Times New Roman"/>
          <w:i w:val="false"/>
          <w:iCs w:val="false"/>
          <w:sz w:val="24"/>
          <w:szCs w:val="24"/>
        </w:rPr>
        <w:t xml:space="preserve"> [Online]. Available at: https://docs.abuseipdb.com (Accessed: 15 March 2026).</w:t>
      </w:r>
    </w:p>
    <w:p>
      <w:pPr>
        <w:spacing w:before="0" w:after="160" w:line="480"/>
        <w:ind w:left="720" w:hanging="720"/>
        <w:jc w:val="left"/>
      </w:pPr>
      <w:r>
        <w:rPr>
          <w:rFonts w:ascii="Times New Roman" w:cs="Times New Roman" w:eastAsia="Times New Roman" w:hAnsi="Times New Roman"/>
          <w:i w:val="false"/>
          <w:iCs w:val="false"/>
          <w:sz w:val="24"/>
          <w:szCs w:val="24"/>
        </w:rPr>
        <w:t xml:space="preserve">Brown, D., Stiawan, D., Idris, M.Y.B. and Budiarto, R. (2024) 'Automated threat intelligence correlation: challenges and opportunities', </w:t>
      </w:r>
      <w:r>
        <w:rPr>
          <w:rFonts w:ascii="Times New Roman" w:cs="Times New Roman" w:eastAsia="Times New Roman" w:hAnsi="Times New Roman"/>
          <w:i/>
          <w:iCs/>
          <w:sz w:val="24"/>
          <w:szCs w:val="24"/>
        </w:rPr>
        <w:t xml:space="preserve">Computers &amp; Security</w:t>
      </w:r>
      <w:r>
        <w:rPr>
          <w:rFonts w:ascii="Times New Roman" w:cs="Times New Roman" w:eastAsia="Times New Roman" w:hAnsi="Times New Roman"/>
          <w:i w:val="false"/>
          <w:iCs w:val="false"/>
          <w:sz w:val="24"/>
          <w:szCs w:val="24"/>
        </w:rPr>
        <w:t xml:space="preserve">, 137, p. 103615.</w:t>
      </w:r>
    </w:p>
    <w:p>
      <w:pPr>
        <w:spacing w:before="0" w:after="160" w:line="480"/>
        <w:ind w:left="720" w:hanging="720"/>
        <w:jc w:val="left"/>
      </w:pPr>
      <w:r>
        <w:rPr>
          <w:rFonts w:ascii="Times New Roman" w:cs="Times New Roman" w:eastAsia="Times New Roman" w:hAnsi="Times New Roman"/>
          <w:i w:val="false"/>
          <w:iCs w:val="false"/>
          <w:sz w:val="24"/>
          <w:szCs w:val="24"/>
        </w:rPr>
        <w:t xml:space="preserve">OWASP (2023) </w:t>
      </w:r>
      <w:r>
        <w:rPr>
          <w:rFonts w:ascii="Times New Roman" w:cs="Times New Roman" w:eastAsia="Times New Roman" w:hAnsi="Times New Roman"/>
          <w:i/>
          <w:iCs/>
          <w:sz w:val="24"/>
          <w:szCs w:val="24"/>
        </w:rPr>
        <w:t xml:space="preserve">Secrets management cheat sheet</w:t>
      </w:r>
      <w:r>
        <w:rPr>
          <w:rFonts w:ascii="Times New Roman" w:cs="Times New Roman" w:eastAsia="Times New Roman" w:hAnsi="Times New Roman"/>
          <w:i w:val="false"/>
          <w:iCs w:val="false"/>
          <w:sz w:val="24"/>
          <w:szCs w:val="24"/>
        </w:rPr>
        <w:t xml:space="preserve"> [Online]. Available at: https://cheatsheetseries.owasp.org/cheatsheets/Secrets_Management_Cheat_Sheet.html (Accessed: 15 March 2026).</w:t>
      </w:r>
    </w:p>
    <w:p>
      <w:pPr>
        <w:spacing w:before="0" w:after="160" w:line="480"/>
        <w:ind w:left="720" w:hanging="720"/>
        <w:jc w:val="left"/>
      </w:pPr>
      <w:r>
        <w:rPr>
          <w:rFonts w:ascii="Times New Roman" w:cs="Times New Roman" w:eastAsia="Times New Roman" w:hAnsi="Times New Roman"/>
          <w:i w:val="false"/>
          <w:iCs w:val="false"/>
          <w:sz w:val="24"/>
          <w:szCs w:val="24"/>
        </w:rPr>
        <w:t xml:space="preserve">VirusTotal (2024) </w:t>
      </w:r>
      <w:r>
        <w:rPr>
          <w:rFonts w:ascii="Times New Roman" w:cs="Times New Roman" w:eastAsia="Times New Roman" w:hAnsi="Times New Roman"/>
          <w:i/>
          <w:iCs/>
          <w:sz w:val="24"/>
          <w:szCs w:val="24"/>
        </w:rPr>
        <w:t xml:space="preserve">VirusTotal API v3 documentation</w:t>
      </w:r>
      <w:r>
        <w:rPr>
          <w:rFonts w:ascii="Times New Roman" w:cs="Times New Roman" w:eastAsia="Times New Roman" w:hAnsi="Times New Roman"/>
          <w:i w:val="false"/>
          <w:iCs w:val="false"/>
          <w:sz w:val="24"/>
          <w:szCs w:val="24"/>
        </w:rPr>
        <w:t xml:space="preserve"> [Online]. Available at: https://developers.virustotal.com/reference/overview (Accessed: 15 March 2026).</w:t>
      </w:r>
    </w:p>
    <w:p>
      <w:pPr>
        <w:spacing w:before="0" w:after="160" w:line="480"/>
        <w:ind w:left="720" w:hanging="720"/>
        <w:jc w:val="left"/>
      </w:pPr>
      <w:r>
        <w:rPr>
          <w:rFonts w:ascii="Times New Roman" w:cs="Times New Roman" w:eastAsia="Times New Roman" w:hAnsi="Times New Roman"/>
          <w:i w:val="false"/>
          <w:iCs w:val="false"/>
          <w:sz w:val="24"/>
          <w:szCs w:val="24"/>
        </w:rPr>
        <w:t xml:space="preserve">Wagner, C., Dulaunoy, A., Wagener, G. and Iklody, A. (2022) 'MISP: the design and implementation of a collaborative threat intelligence sharing platform', in </w:t>
      </w:r>
      <w:r>
        <w:rPr>
          <w:rFonts w:ascii="Times New Roman" w:cs="Times New Roman" w:eastAsia="Times New Roman" w:hAnsi="Times New Roman"/>
          <w:i/>
          <w:iCs/>
          <w:sz w:val="24"/>
          <w:szCs w:val="24"/>
        </w:rPr>
        <w:t xml:space="preserve">Proceedings of Detection of Intrusions and Malware, and Vulnerability Assessment (DIMVA 2022)</w:t>
      </w:r>
      <w:r>
        <w:rPr>
          <w:rFonts w:ascii="Times New Roman" w:cs="Times New Roman" w:eastAsia="Times New Roman" w:hAnsi="Times New Roman"/>
          <w:i w:val="false"/>
          <w:iCs w:val="false"/>
          <w:sz w:val="24"/>
          <w:szCs w:val="24"/>
        </w:rPr>
        <w:t xml:space="preserve">, Caen, France, 29 June–1 July 2022, pp. 49–69.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666666"/>
        <w:sz w:val="18"/>
        <w:szCs w:val="18"/>
      </w:rPr>
      <w:t xml:space="preserve">Chidera Progress Nwaokwa  |  240054490  |  MSc Applied Computing  |  University of Sunderland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Times New Roman" w:cs="Times New Roman" w:eastAsia="Times New Roman" w:hAnsi="Times New Roman"/>
        <w:color w:val="666666"/>
        <w:sz w:val="18"/>
        <w:szCs w:val="18"/>
      </w:rPr>
      <w:t xml:space="preserve">D1.3 — API Integration Module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20" w:after="1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20" w:after="1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2026-03-15T16:20:46.059Z</dcterms:created>
  <dcterms:modified xsi:type="dcterms:W3CDTF">2026-03-15T16:20:46.060Z</dcterms:modified>
</cp:coreProperties>
</file>

<file path=docProps/custom.xml><?xml version="1.0" encoding="utf-8"?>
<Properties xmlns="http://schemas.openxmlformats.org/officeDocument/2006/custom-properties" xmlns:vt="http://schemas.openxmlformats.org/officeDocument/2006/docPropsVTypes"/>
</file>