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3D672F69" w14:textId="4CA95598"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Pr="0011382F"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568D3F7C" w14:textId="419392F7" w:rsidR="00EB5FDE" w:rsidRPr="0011382F"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Pr="00FA2204"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5D0F770F" w14:textId="09ADD0A9" w:rsidR="00EB5FDE" w:rsidRPr="00FA2204"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3C29754F" w14:textId="5884E9E1"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w:t>
      </w:r>
      <w:r w:rsidRPr="00FA2204">
        <w:rPr>
          <w:rFonts w:ascii="Times New Roman" w:hAnsi="Times New Roman" w:cs="Times New Roman"/>
        </w:rPr>
        <w:t xml:space="preserve"> </w:t>
      </w:r>
      <w:r w:rsidRPr="00FA2204">
        <w:rPr>
          <w:rFonts w:ascii="Times New Roman" w:hAnsi="Times New Roman" w:cs="Times New Roman"/>
        </w:rPr>
        <w:t xml:space="preserve">accounted for? If city boundary changes are measured, how are they incorporated </w:t>
      </w:r>
      <w:r w:rsidRPr="00FA2204">
        <w:rPr>
          <w:rFonts w:ascii="Times New Roman" w:hAnsi="Times New Roman" w:cs="Times New Roman"/>
        </w:rPr>
        <w:lastRenderedPageBreak/>
        <w:t>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31F4EA4D" w14:textId="2E712F7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1BCD4944" w14:textId="159A4F9F"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proofErr w:type="gramStart"/>
      <w:r w:rsidRPr="0011382F">
        <w:rPr>
          <w:rFonts w:ascii="Times New Roman" w:hAnsi="Times New Roman" w:cs="Times New Roman"/>
        </w:rPr>
        <w:t>An</w:t>
      </w:r>
      <w:proofErr w:type="gramEnd"/>
      <w:r w:rsidRPr="0011382F">
        <w:rPr>
          <w:rFonts w:ascii="Times New Roman" w:hAnsi="Times New Roman" w:cs="Times New Roman"/>
        </w:rPr>
        <w:t xml:space="preserve">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2D807F82" w14:textId="3764EDA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5A874D8" w14:textId="3C63450B"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1A975B69" w14:textId="5BED4E0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proofErr w:type="gramStart"/>
      <w:r w:rsidRPr="0011382F">
        <w:rPr>
          <w:rFonts w:ascii="Times New Roman" w:hAnsi="Times New Roman" w:cs="Times New Roman"/>
        </w:rPr>
        <w:t>Also</w:t>
      </w:r>
      <w:proofErr w:type="gramEnd"/>
      <w:r w:rsidRPr="0011382F">
        <w:rPr>
          <w:rFonts w:ascii="Times New Roman" w:hAnsi="Times New Roman" w:cs="Times New Roman"/>
        </w:rPr>
        <w:t>,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3B9A95EC" w14:textId="6361409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4766337" w14:textId="454FEF2D"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3CC8FEB6" w14:textId="727483A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05E05BC5" w14:textId="2EAAC73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1E066F01" w14:textId="4EE08FE3" w:rsidR="00C351E5" w:rsidRPr="00FA2204"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r w:rsidRPr="00FA2204">
        <w:rPr>
          <w:rFonts w:ascii="Times New Roman" w:hAnsi="Times New Roman" w:cs="Times New Roman"/>
        </w:rPr>
        <w:br/>
      </w:r>
      <w:r w:rsidRPr="00FA2204">
        <w:rPr>
          <w:rFonts w:ascii="Times New Roman" w:hAnsi="Times New Roman" w:cs="Times New Roman"/>
        </w:rPr>
        <w:br/>
        <w:t xml:space="preserve">In this study, temporal changes in NDVI (i.e., the difference between 2014-2018 and 2019-2023) are translated to the differences in mortality. Temporal changes should be discriminated against </w:t>
      </w:r>
      <w:r w:rsidRPr="00FA2204">
        <w:rPr>
          <w:rFonts w:ascii="Times New Roman" w:hAnsi="Times New Roman" w:cs="Times New Roman"/>
        </w:rPr>
        <w:lastRenderedPageBreak/>
        <w:t>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Pr="00FA2204">
        <w:rPr>
          <w:rFonts w:ascii="Times New Roman" w:hAnsi="Times New Roman" w:cs="Times New Roman"/>
        </w:rPr>
        <w:br/>
      </w: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r w:rsidRPr="00FA2204">
        <w:rPr>
          <w:rFonts w:ascii="Times New Roman" w:hAnsi="Times New Roman" w:cs="Times New Roman"/>
        </w:rPr>
        <w:br/>
      </w: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r w:rsidRPr="00FA2204">
        <w:rPr>
          <w:rFonts w:ascii="Times New Roman" w:hAnsi="Times New Roman" w:cs="Times New Roman"/>
        </w:rPr>
        <w:br/>
        <w:t>- I cannot find any mention of "greenest season" NDVI in the meta-analysis of Rojas-Rueda et al. (2019) and was wondering to which extent it could change the picture here.</w:t>
      </w: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lastRenderedPageBreak/>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r w:rsidRPr="00FA2204">
        <w:rPr>
          <w:rFonts w:ascii="Times New Roman" w:hAnsi="Times New Roman" w:cs="Times New Roman"/>
        </w:rPr>
        <w:br/>
      </w: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r w:rsidRPr="00FA2204">
        <w:rPr>
          <w:rFonts w:ascii="Times New Roman" w:hAnsi="Times New Roman" w:cs="Times New Roman"/>
        </w:rPr>
        <w:br/>
        <w:t xml:space="preserve">- The figures are a bit difficult to read and I suspect they would be difficult to </w:t>
      </w:r>
      <w:proofErr w:type="spellStart"/>
      <w:r w:rsidRPr="00FA2204">
        <w:rPr>
          <w:rFonts w:ascii="Times New Roman" w:hAnsi="Times New Roman" w:cs="Times New Roman"/>
        </w:rPr>
        <w:t>analyse</w:t>
      </w:r>
      <w:proofErr w:type="spellEnd"/>
      <w:r w:rsidRPr="00FA2204">
        <w:rPr>
          <w:rFonts w:ascii="Times New Roman" w:hAnsi="Times New Roman" w:cs="Times New Roman"/>
        </w:rPr>
        <w:t xml:space="preserve"> for someone with </w:t>
      </w:r>
      <w:proofErr w:type="spellStart"/>
      <w:r w:rsidRPr="00FA2204">
        <w:rPr>
          <w:rFonts w:ascii="Times New Roman" w:hAnsi="Times New Roman" w:cs="Times New Roman"/>
        </w:rPr>
        <w:t>colour</w:t>
      </w:r>
      <w:proofErr w:type="spellEnd"/>
      <w:r w:rsidRPr="00FA2204">
        <w:rPr>
          <w:rFonts w:ascii="Times New Roman" w:hAnsi="Times New Roman" w:cs="Times New Roman"/>
        </w:rPr>
        <w:t>-blindness. I would suggest thinner and fainter lines for border in Figure 2 and boxplots in figure 3, with perhaps slightly enhanced points.</w:t>
      </w:r>
      <w:r w:rsidRPr="00FA2204">
        <w:rPr>
          <w:rFonts w:ascii="Times New Roman" w:hAnsi="Times New Roman" w:cs="Times New Roman"/>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11382F"/>
    <w:rsid w:val="0017376A"/>
    <w:rsid w:val="0020576C"/>
    <w:rsid w:val="00C351E5"/>
    <w:rsid w:val="00E9089E"/>
    <w:rsid w:val="00EB5FDE"/>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3</cp:revision>
  <dcterms:created xsi:type="dcterms:W3CDTF">2025-03-25T13:36:00Z</dcterms:created>
  <dcterms:modified xsi:type="dcterms:W3CDTF">2025-03-25T13:49:00Z</dcterms:modified>
</cp:coreProperties>
</file>