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418B8A52"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r w:rsidR="00A460F7">
        <w:rPr>
          <w:rFonts w:ascii="Times New Roman" w:hAnsi="Times New Roman" w:cs="Times New Roman"/>
          <w:color w:val="156082" w:themeColor="accent1"/>
        </w:rPr>
        <w:t>, lines 71-74.</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06CA2416"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r w:rsidR="00A460F7">
        <w:rPr>
          <w:rFonts w:ascii="Times New Roman" w:hAnsi="Times New Roman" w:cs="Times New Roman"/>
          <w:color w:val="156082" w:themeColor="accent1"/>
        </w:rPr>
        <w:t>, lines 78-83.</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5861A575"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r w:rsidR="00AD5B01">
        <w:rPr>
          <w:rFonts w:ascii="Times New Roman" w:hAnsi="Times New Roman" w:cs="Times New Roman"/>
          <w:color w:val="156082" w:themeColor="accent1"/>
        </w:rPr>
        <w:t>, lines 160-167.</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185684A4"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r w:rsidR="00457AAA">
        <w:rPr>
          <w:rFonts w:ascii="Times New Roman" w:hAnsi="Times New Roman" w:cs="Times New Roman"/>
          <w:color w:val="156082" w:themeColor="accent1"/>
        </w:rPr>
        <w:t>, lines 546-552.</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 xml:space="preserve">Since the analysis focuses on the peak season, the contribution of individual years may be highly relevant. Wouldn't it be more appropriate to analyze individual years rather than </w:t>
      </w:r>
      <w:r w:rsidRPr="0011382F">
        <w:rPr>
          <w:rFonts w:ascii="Times New Roman" w:hAnsi="Times New Roman" w:cs="Times New Roman"/>
        </w:rPr>
        <w:lastRenderedPageBreak/>
        <w:t>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61DE77D2"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r w:rsidR="007E4D69">
        <w:rPr>
          <w:rFonts w:ascii="Times New Roman" w:hAnsi="Times New Roman" w:cs="Times New Roman"/>
          <w:color w:val="156082" w:themeColor="accent1"/>
          <w:shd w:val="clear" w:color="auto" w:fill="FFFFFF"/>
        </w:rPr>
        <w:t>, lines 130-132.</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4103154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r w:rsidR="00EA417A">
        <w:rPr>
          <w:rFonts w:ascii="Times New Roman" w:hAnsi="Times New Roman" w:cs="Times New Roman"/>
          <w:color w:val="156082" w:themeColor="accent1"/>
        </w:rPr>
        <w:t>, lines 552-556.</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076CE9B7" w:rsidR="00C17745" w:rsidRPr="001D4A41" w:rsidRDefault="00C17745" w:rsidP="004F6CB8">
      <w:pPr>
        <w:ind w:left="1440"/>
        <w:rPr>
          <w:rFonts w:ascii="Times New Roman" w:hAnsi="Times New Roman" w:cs="Times New Roman"/>
          <w:color w:val="156082" w:themeColor="accent1"/>
        </w:rPr>
      </w:pPr>
      <w:r w:rsidRPr="001D4A41">
        <w:rPr>
          <w:rFonts w:ascii="Times New Roman" w:hAnsi="Times New Roman" w:cs="Times New Roman"/>
          <w:color w:val="156082" w:themeColor="accent1"/>
        </w:rPr>
        <w:t>“</w:t>
      </w:r>
      <w:r w:rsidR="001D4A41" w:rsidRPr="001D4A41">
        <w:rPr>
          <w:rFonts w:ascii="Times New Roman" w:hAnsi="Times New Roman" w:cs="Times New Roman"/>
          <w:color w:val="156082" w:themeColor="accent1"/>
        </w:rPr>
        <w:t>While the Rojas-Rueda et al. meta-analysis restricted to adults aged 18 and over, we used the total population because that was the gridded population data available from JRC at the 100m pixel resolution. Though children were not included in the Rojas-Rueda et al. study, systematic reviews have linked increased NDVI to higher birth weights</w:t>
      </w:r>
      <w:r w:rsidR="001D4A41" w:rsidRPr="001D4A41">
        <w:rPr>
          <w:color w:val="156082" w:themeColor="accent1"/>
        </w:rPr>
        <w:fldChar w:fldCharType="begin"/>
      </w:r>
      <w:r w:rsidR="001D4A41" w:rsidRPr="001D4A41">
        <w:rPr>
          <w:color w:val="156082" w:themeColor="accent1"/>
        </w:rPr>
        <w:instrText xml:space="preserve"> ADDIN ZOTERO_ITEM CSL_CITATION {"citationID":"5VoF50BI","properties":{"formattedCitation":"\\super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6</w:t>
      </w:r>
      <w:r w:rsidR="001D4A41" w:rsidRPr="001D4A41">
        <w:rPr>
          <w:color w:val="156082" w:themeColor="accent1"/>
        </w:rPr>
        <w:fldChar w:fldCharType="end"/>
      </w:r>
      <w:r w:rsidR="001D4A41" w:rsidRPr="001D4A41">
        <w:rPr>
          <w:rFonts w:ascii="Times New Roman" w:hAnsi="Times New Roman" w:cs="Times New Roman"/>
          <w:color w:val="156082" w:themeColor="accent1"/>
        </w:rPr>
        <w:t xml:space="preserve"> and increased physical activity among children and adolescents</w:t>
      </w:r>
      <w:r w:rsidR="001D4A41" w:rsidRPr="001D4A41">
        <w:rPr>
          <w:color w:val="156082" w:themeColor="accent1"/>
        </w:rPr>
        <w:fldChar w:fldCharType="begin"/>
      </w:r>
      <w:r w:rsidR="001D4A41" w:rsidRPr="001D4A41">
        <w:rPr>
          <w:color w:val="156082" w:themeColor="accent1"/>
        </w:rPr>
        <w:instrText xml:space="preserve"> ADDIN ZOTERO_ITEM CSL_CITATION {"citationID":"fVNQwBBO","properties":{"formattedCitation":"\\super 36\\nosupersub{}","plainCitation":"36","noteIndex":0},"citationItems":[{"id":824,"uris":["http://zotero.org/users/10202395/items/27RP958R"],"itemData":{"id":824,"type":"article-journal","abstract":"Outdoor play has been associated with children’s and adolescents’ healthy development and physical activity. Attributes of the neighbourhood built environment can influence play behaviours. This systematic review examined the relationship between attributes of the neighbourhood built environment and the time children and adolescents (0–18 years) spend in self-directed outdoor play. We identified and evaluated 18 relevant papers using the Mixed Methods Appraisal Tool and developed a narrative synthesis of study results. We found moderate evidence that lower traffic volumes (ages 6–11), yard access (ages 3–10), and increased neighbourhood greenness (ages 2–15) were positively associated with time spent in outdoor play, as well as limited evidence that specific traffic-calming street features such as fewer intersections, low traffic speeds, neighbourhood disorder, and low residential density were positively associated with time spent in outdoor play. To our knowledge, this is the first systematic review on this topic. The limited number of “good quality” studies identified highlights the need for additional research on the topic.","container-title":"International Journal of Environmental Research and Public Health","DOI":"10.3390/ijerph16203840","ISSN":"1660-4601","issue":"20","language":"en","license":"http://creativecommons.org/licenses/by/3.0/","note":"number: 20\npublisher: Multidisciplinary Digital Publishing Institute","page":"3840","source":"www.mdpi.com","title":"What Is the Relationship between the Neighbourhood Built Environment and Time Spent in Outdoor Play? A Systematic Review","title-short":"What Is the Relationship between the Neighbourhood Built Environment and Time Spent in Outdoor Play?","volume":"16","author":[{"family":"Lambert","given":"Amalie"},{"family":"Vlaar","given":"Janae"},{"family":"Herrington","given":"Susan"},{"family":"Brussoni","given":"Mariana"}],"issued":{"date-parts":[["2019",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36</w:t>
      </w:r>
      <w:r w:rsidR="001D4A41" w:rsidRPr="001D4A41">
        <w:rPr>
          <w:color w:val="156082" w:themeColor="accent1"/>
        </w:rPr>
        <w:fldChar w:fldCharType="end"/>
      </w:r>
      <w:r w:rsidR="001D4A41" w:rsidRPr="001D4A41">
        <w:rPr>
          <w:rFonts w:ascii="Times New Roman" w:hAnsi="Times New Roman" w:cs="Times New Roman"/>
          <w:color w:val="156082" w:themeColor="accent1"/>
        </w:rPr>
        <w:t xml:space="preserve">, and a large </w:t>
      </w:r>
      <w:r w:rsidR="001D4A41" w:rsidRPr="005F4E9F">
        <w:rPr>
          <w:rFonts w:ascii="Times New Roman" w:hAnsi="Times New Roman" w:cs="Times New Roman"/>
          <w:color w:val="156082" w:themeColor="accent1"/>
        </w:rPr>
        <w:t>national study found that higher NDVI was associated with decreased risk of infant and under-5 mortality.</w:t>
      </w:r>
      <w:r w:rsidR="001D4A41" w:rsidRPr="005F4E9F">
        <w:rPr>
          <w:rFonts w:ascii="Times New Roman" w:hAnsi="Times New Roman" w:cs="Times New Roman"/>
          <w:color w:val="156082" w:themeColor="accent1"/>
        </w:rPr>
        <w:fldChar w:fldCharType="begin"/>
      </w:r>
      <w:r w:rsidR="001D4A41" w:rsidRPr="005F4E9F">
        <w:rPr>
          <w:rFonts w:ascii="Times New Roman" w:hAnsi="Times New Roman" w:cs="Times New Roman"/>
          <w:color w:val="156082" w:themeColor="accent1"/>
        </w:rPr>
        <w:instrText xml:space="preserve"> ADDIN ZOTERO_ITEM CSL_CITATION {"citationID":"mOl3w34O","properties":{"formattedCitation":"\\super 37\\nosupersub{}","plainCitation":"37","noteIndex":0},"citationItems":[{"id":828,"uris":["http://zotero.org/users/10202395/items/LAKXMLV7"],"itemData":{"id":828,"type":"article-journal","abstract":"Background\nHigher greenness was associated with a lower risk of adult mortality. However, the effects of greenness on the mortality of infant and child under-5 have not been fully examined.\nObjectives\nThe association of greenness on the infant mortality rate (IMR) and child under-5 mortality rate (U5MR) in 147 Chinese cities from 2009 to 2020 was evaluated.\nMethods\nAverage and maximum annual population-weighted greenness, IMR (per 1000 live births), and U5MR (per 1000 live births) in 147 cities from 2009 to 2020 were collected, and a longitudinal panel study was conducted. Greenness exposure was evaluated using satellite-derived data at a spatial resolution of 250 m ×250 m in urban regions, and linear mixed-effect models were applied to assess the associations between greenness and IMR or U5MR in China.\nResults\nThis national study showed that long-term exposure to greenness was associated with lower IMR and U5MR, respectively. Specifically, a 0.1 increase of Normalized Difference Vegetation Index (NDVI) in greenness was statistically significant with a decrease in IMR (-1.05 ‰, 95 % CI: −1.48, −0.63 ‰) and U5MR (-1.82 ‰, 95 % CI: −2.39, −1.25 ‰) in fully-adjusted model, respectively. In the stratified analyses, greenness effects on U5MR in the western (-2.33 ‰, 95 % CI: −3.43, −1.23 ‰) and central regions (-2.06 ‰, 95 % CI: −3.01, −1.10 ‰) were stronger than that in the eastern region (-0.86 ‰, 95 % CI: −1.66, −0.07 ‰).\nConclusions\nThis nationwide study indicated that exposure to higher greenness was associated with lower mortality rates in infant and child under-5 in China.","container-title":"Ecotoxicology and Environmental Safety","DOI":"10.1016/j.ecoenv.2024.117184","ISSN":"0147-6513","journalAbbreviation":"Ecotoxicology and Environmental Safety","page":"117184","source":"ScienceDirect","title":"Greenness on mortality of infant and under-5 child: A nationwide study in 147 Chinese cities","title-short":"Greenness on mortality of infant and under-5 child","volume":"286","author":[{"family":"Zhang","given":"Lina"},{"family":"Wang","given":"Qingxian"},{"family":"Lei","given":"Renfeihao"},{"family":"Lin","given":"Jiayi"},{"family":"Gong","given":"Jiarui"},{"family":"Wang","given":"Lelin"},{"family":"Xie","given":"Keyu"},{"family":"Zheng","given":"Xueer"},{"family":"Xu","given":"Kaiheng"},{"family":"Zhang","given":"Peidong"},{"family":"Wu","given":"Yue"},{"family":"Zeng","given":"Xiang"},{"family":"Meng","given":"Xia"},{"family":"Kan","given":"Haidong"}],"issued":{"date-parts":[["2024",11,1]]}}}],"schema":"https://github.com/citation-style-language/schema/raw/master/csl-citation.json"} </w:instrText>
      </w:r>
      <w:r w:rsidR="001D4A41" w:rsidRPr="005F4E9F">
        <w:rPr>
          <w:rFonts w:ascii="Times New Roman" w:hAnsi="Times New Roman" w:cs="Times New Roman"/>
          <w:color w:val="156082" w:themeColor="accent1"/>
        </w:rPr>
        <w:fldChar w:fldCharType="separate"/>
      </w:r>
      <w:r w:rsidR="001D4A41" w:rsidRPr="005F4E9F">
        <w:rPr>
          <w:rFonts w:ascii="Times New Roman" w:hAnsi="Times New Roman" w:cs="Times New Roman"/>
          <w:color w:val="156082" w:themeColor="accent1"/>
          <w:vertAlign w:val="superscript"/>
        </w:rPr>
        <w:t>37</w:t>
      </w:r>
      <w:r w:rsidR="001D4A41" w:rsidRPr="005F4E9F">
        <w:rPr>
          <w:rFonts w:ascii="Times New Roman" w:hAnsi="Times New Roman" w:cs="Times New Roman"/>
          <w:color w:val="156082" w:themeColor="accent1"/>
        </w:rPr>
        <w:fldChar w:fldCharType="end"/>
      </w:r>
      <w:r w:rsidR="001D4A41" w:rsidRPr="005F4E9F">
        <w:rPr>
          <w:rFonts w:ascii="Times New Roman" w:hAnsi="Times New Roman" w:cs="Times New Roman"/>
          <w:color w:val="156082" w:themeColor="accent1"/>
        </w:rPr>
        <w:t>"</w:t>
      </w:r>
      <w:r w:rsidR="005F4E9F" w:rsidRPr="005F4E9F">
        <w:rPr>
          <w:rFonts w:ascii="Times New Roman" w:hAnsi="Times New Roman" w:cs="Times New Roman"/>
          <w:color w:val="156082" w:themeColor="accent1"/>
        </w:rPr>
        <w:t>, lines 212-217.</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22AD57CE" w:rsid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 xml:space="preserve">inclusive of 57 cities including 8 Canadian cities. For these reasons, the magnitude of the results </w:t>
      </w:r>
      <w:r w:rsidRPr="00D9171F">
        <w:rPr>
          <w:rFonts w:ascii="Times New Roman" w:hAnsi="Times New Roman" w:cs="Times New Roman"/>
          <w:color w:val="156082" w:themeColor="accent1"/>
        </w:rPr>
        <w:lastRenderedPageBreak/>
        <w:t>is not directly comparable. Furthermore, we found that NDVI decreased over our study period, explaining the difference in sign of our results.</w:t>
      </w:r>
      <w:r w:rsidR="00DE4072">
        <w:rPr>
          <w:rFonts w:ascii="Times New Roman" w:hAnsi="Times New Roman" w:cs="Times New Roman"/>
          <w:color w:val="156082" w:themeColor="accent1"/>
        </w:rPr>
        <w:t>”</w:t>
      </w:r>
      <w:r w:rsidR="008564B5">
        <w:rPr>
          <w:rFonts w:ascii="Times New Roman" w:hAnsi="Times New Roman" w:cs="Times New Roman"/>
          <w:color w:val="156082" w:themeColor="accent1"/>
        </w:rPr>
        <w:t>, lines 615-620.</w:t>
      </w:r>
    </w:p>
    <w:p w14:paraId="6BAA1173" w14:textId="77777777" w:rsidR="00D9171F" w:rsidRPr="00D9171F" w:rsidRDefault="00D9171F" w:rsidP="00DE4072">
      <w:pPr>
        <w:rPr>
          <w:rFonts w:ascii="Times New Roman" w:hAnsi="Times New Roman" w:cs="Times New Roman"/>
          <w:color w:val="156082" w:themeColor="accent1"/>
        </w:rPr>
      </w:pPr>
    </w:p>
    <w:p w14:paraId="37DBF8BE" w14:textId="6CE8026B"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w:t>
      </w:r>
      <w:r w:rsidR="006B0D4F" w:rsidRPr="006B0D4F">
        <w:rPr>
          <w:rFonts w:ascii="Times New Roman" w:hAnsi="Times New Roman" w:cs="Times New Roman"/>
          <w:color w:val="156082" w:themeColor="accent1"/>
        </w:rPr>
        <w:t>Though we included the total population rather than restricting to adults, European cities experienced both positive and negative changes in NDVI over the study period, resulting in health estimates that were smaller in magnitude than those found by Barboza et al.</w:t>
      </w:r>
      <w:r w:rsidR="00DE4072">
        <w:rPr>
          <w:rFonts w:ascii="Times New Roman" w:hAnsi="Times New Roman" w:cs="Times New Roman"/>
          <w:color w:val="156082" w:themeColor="accent1"/>
        </w:rPr>
        <w:t xml:space="preserve"> </w:t>
      </w:r>
      <w:r w:rsidR="00DE4072" w:rsidRPr="00DE4072">
        <w:rPr>
          <w:rFonts w:ascii="Times New Roman" w:hAnsi="Times New Roman" w:cs="Times New Roman"/>
          <w:color w:val="156082" w:themeColor="accent1"/>
        </w:rPr>
        <w:t>Our use of total population may overestimate the health benefits of increased greenspace and health losses from decreases.</w:t>
      </w:r>
      <w:r w:rsidR="006B0D4F">
        <w:rPr>
          <w:rFonts w:ascii="Times New Roman" w:hAnsi="Times New Roman" w:cs="Times New Roman"/>
          <w:color w:val="156082" w:themeColor="accent1"/>
        </w:rPr>
        <w:t>”</w:t>
      </w:r>
      <w:r w:rsidR="002E42D8">
        <w:rPr>
          <w:rFonts w:ascii="Times New Roman" w:hAnsi="Times New Roman" w:cs="Times New Roman"/>
          <w:color w:val="156082" w:themeColor="accent1"/>
        </w:rPr>
        <w:t>, lines 627-631.</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389EED98"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r w:rsidR="00857D7A">
        <w:rPr>
          <w:rFonts w:ascii="Times New Roman" w:hAnsi="Times New Roman" w:cs="Times New Roman"/>
          <w:color w:val="156082" w:themeColor="accent1"/>
        </w:rPr>
        <w:t>, lines 685-688.</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8C7D67" w:rsidRDefault="00EB5FDE" w:rsidP="00EB5FDE">
      <w:pPr>
        <w:pStyle w:val="ListParagraph"/>
        <w:numPr>
          <w:ilvl w:val="0"/>
          <w:numId w:val="1"/>
        </w:numPr>
        <w:rPr>
          <w:rFonts w:ascii="Times New Roman" w:hAnsi="Times New Roman" w:cs="Times New Roman"/>
        </w:rPr>
      </w:pPr>
      <w:r w:rsidRPr="008C7D67">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682232E0" w14:textId="77777777" w:rsidR="003E5C21"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3E5C21">
        <w:rPr>
          <w:rFonts w:ascii="Times New Roman" w:hAnsi="Times New Roman" w:cs="Times New Roman"/>
          <w:color w:val="156082" w:themeColor="accent1"/>
        </w:rPr>
        <w:t>In response to your comment, w</w:t>
      </w:r>
      <w:r>
        <w:rPr>
          <w:rFonts w:ascii="Times New Roman" w:hAnsi="Times New Roman" w:cs="Times New Roman"/>
          <w:color w:val="156082" w:themeColor="accent1"/>
        </w:rPr>
        <w:t xml:space="preserve">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w:t>
      </w:r>
      <w:r w:rsidR="003E5C21">
        <w:rPr>
          <w:rFonts w:ascii="Times New Roman" w:hAnsi="Times New Roman" w:cs="Times New Roman"/>
          <w:color w:val="156082" w:themeColor="accent1"/>
        </w:rPr>
        <w:t xml:space="preserve"> and </w:t>
      </w:r>
      <w:r>
        <w:rPr>
          <w:rFonts w:ascii="Times New Roman" w:hAnsi="Times New Roman" w:cs="Times New Roman"/>
          <w:color w:val="156082" w:themeColor="accent1"/>
        </w:rPr>
        <w:t>NDVI</w:t>
      </w:r>
      <w:r w:rsidR="003E5C21">
        <w:rPr>
          <w:rFonts w:ascii="Times New Roman" w:hAnsi="Times New Roman" w:cs="Times New Roman"/>
          <w:color w:val="156082" w:themeColor="accent1"/>
        </w:rPr>
        <w:t>:</w:t>
      </w:r>
    </w:p>
    <w:p w14:paraId="30FE54FA" w14:textId="77777777" w:rsidR="003E5C21" w:rsidRDefault="003E5C21" w:rsidP="002F0B55">
      <w:pPr>
        <w:ind w:left="720"/>
        <w:rPr>
          <w:rFonts w:ascii="Times New Roman" w:hAnsi="Times New Roman" w:cs="Times New Roman"/>
          <w:color w:val="156082" w:themeColor="accent1"/>
        </w:rPr>
      </w:pPr>
    </w:p>
    <w:p w14:paraId="25A685E0" w14:textId="1BCD04C6" w:rsidR="003E5C21" w:rsidRPr="003E5C21" w:rsidRDefault="003E5C21" w:rsidP="003E5C21">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E5C21">
        <w:rPr>
          <w:rFonts w:ascii="Times New Roman" w:hAnsi="Times New Roman" w:cs="Times New Roman"/>
          <w:color w:val="156082" w:themeColor="accent1"/>
        </w:rPr>
        <w:t xml:space="preserve">To explore the contribution of urbanization to changes in NDVI over time, we looked at the correlation between the proportion of a city that is urban or </w:t>
      </w:r>
      <w:r w:rsidR="00E45BD6" w:rsidRPr="003E5C21">
        <w:rPr>
          <w:rFonts w:ascii="Times New Roman" w:hAnsi="Times New Roman" w:cs="Times New Roman"/>
          <w:color w:val="156082" w:themeColor="accent1"/>
        </w:rPr>
        <w:t>built-up</w:t>
      </w:r>
      <w:r w:rsidRPr="003E5C21">
        <w:rPr>
          <w:rFonts w:ascii="Times New Roman" w:hAnsi="Times New Roman" w:cs="Times New Roman"/>
          <w:color w:val="156082" w:themeColor="accent1"/>
        </w:rPr>
        <w:t xml:space="preserve"> area and the corresponding NDVI value for each year in our study period (2014-2023)</w:t>
      </w:r>
      <w:r w:rsidR="00436B11">
        <w:rPr>
          <w:rFonts w:ascii="Times New Roman" w:hAnsi="Times New Roman" w:cs="Times New Roman"/>
          <w:color w:val="156082" w:themeColor="accent1"/>
        </w:rPr>
        <w:t xml:space="preserve"> (Fig. S7)</w:t>
      </w:r>
      <w:r w:rsidRPr="003E5C21">
        <w:rPr>
          <w:rFonts w:ascii="Times New Roman" w:hAnsi="Times New Roman" w:cs="Times New Roman"/>
          <w:color w:val="156082" w:themeColor="accent1"/>
        </w:rPr>
        <w:t xml:space="preserve">. We derived the urban fraction from NASA’s MODIS landcover dataset, available at a 500m resolution and accessed through Google Earth Engine. We used the University of Maryland’s classification system (‘LC_Type2’) and used pixels designated as “Urban and </w:t>
      </w:r>
      <w:r w:rsidRPr="003E5C21">
        <w:rPr>
          <w:rFonts w:ascii="Times New Roman" w:hAnsi="Times New Roman" w:cs="Times New Roman"/>
          <w:color w:val="156082" w:themeColor="accent1"/>
        </w:rPr>
        <w:lastRenderedPageBreak/>
        <w:t xml:space="preserve">Built-up Lands: at least 30% impervious surface area including building materials, asphalt and vehicles” to define the urban fraction. We found a weak negative correlation between NDVI and the urban fraction (-0.312), indicating that greener cities generally have smaller fractions of urban or built-up land. While NDVI and urban fraction were weakly correlated, we found no evidence of correlation between urban fraction and year (0.025), indicating that urbanization </w:t>
      </w:r>
      <w:r w:rsidR="003444B4">
        <w:rPr>
          <w:rFonts w:ascii="Times New Roman" w:hAnsi="Times New Roman" w:cs="Times New Roman"/>
          <w:color w:val="156082" w:themeColor="accent1"/>
        </w:rPr>
        <w:t xml:space="preserve">may </w:t>
      </w:r>
      <w:r w:rsidRPr="003E5C21">
        <w:rPr>
          <w:rFonts w:ascii="Times New Roman" w:hAnsi="Times New Roman" w:cs="Times New Roman"/>
          <w:color w:val="156082" w:themeColor="accent1"/>
        </w:rPr>
        <w:t>not</w:t>
      </w:r>
      <w:r w:rsidR="003444B4">
        <w:rPr>
          <w:rFonts w:ascii="Times New Roman" w:hAnsi="Times New Roman" w:cs="Times New Roman"/>
          <w:color w:val="156082" w:themeColor="accent1"/>
        </w:rPr>
        <w:t xml:space="preserve"> be</w:t>
      </w:r>
      <w:r w:rsidRPr="003E5C21">
        <w:rPr>
          <w:rFonts w:ascii="Times New Roman" w:hAnsi="Times New Roman" w:cs="Times New Roman"/>
          <w:color w:val="156082" w:themeColor="accent1"/>
        </w:rPr>
        <w:t xml:space="preserve"> a large contributor to changes in NDVI over the study period across </w:t>
      </w:r>
      <w:proofErr w:type="gramStart"/>
      <w:r w:rsidRPr="003E5C21">
        <w:rPr>
          <w:rFonts w:ascii="Times New Roman" w:hAnsi="Times New Roman" w:cs="Times New Roman"/>
          <w:color w:val="156082" w:themeColor="accent1"/>
        </w:rPr>
        <w:t>cities as a whole</w:t>
      </w:r>
      <w:proofErr w:type="gramEnd"/>
      <w:r w:rsidR="00436B11">
        <w:rPr>
          <w:rFonts w:ascii="Times New Roman" w:hAnsi="Times New Roman" w:cs="Times New Roman"/>
          <w:color w:val="156082" w:themeColor="accent1"/>
        </w:rPr>
        <w:t xml:space="preserve"> (Fig. S8)</w:t>
      </w:r>
      <w:r w:rsidRPr="003E5C21">
        <w:rPr>
          <w:rFonts w:ascii="Times New Roman" w:hAnsi="Times New Roman" w:cs="Times New Roman"/>
          <w:color w:val="156082" w:themeColor="accent1"/>
        </w:rPr>
        <w:t>. There is a mismatch in the spatial scale between our measurement of NDVI (100m) and the urban fraction (500m), which could also be contributing to the weak correlation that we observed.</w:t>
      </w:r>
      <w:r>
        <w:rPr>
          <w:rFonts w:ascii="Times New Roman" w:hAnsi="Times New Roman" w:cs="Times New Roman"/>
          <w:color w:val="156082" w:themeColor="accent1"/>
        </w:rPr>
        <w:t>”</w:t>
      </w:r>
      <w:r w:rsidR="00E45BD6">
        <w:rPr>
          <w:rFonts w:ascii="Times New Roman" w:hAnsi="Times New Roman" w:cs="Times New Roman"/>
          <w:color w:val="156082" w:themeColor="accent1"/>
        </w:rPr>
        <w:t>, appendix.</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2E38DB2D"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r w:rsidR="00E32DA6">
        <w:rPr>
          <w:rFonts w:ascii="Times New Roman" w:hAnsi="Times New Roman" w:cs="Times New Roman"/>
          <w:color w:val="156082" w:themeColor="accent1"/>
        </w:rPr>
        <w:t>, lines 668-670.</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0BE9B9CA"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r w:rsidR="00BE4B56">
        <w:rPr>
          <w:rFonts w:ascii="Times New Roman" w:hAnsi="Times New Roman" w:cs="Times New Roman"/>
          <w:color w:val="156082" w:themeColor="accent1"/>
        </w:rPr>
        <w:t>, line 206.</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3733C16B"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t>“Health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w:t>
      </w:r>
      <w:r w:rsidR="0004242D">
        <w:rPr>
          <w:rFonts w:ascii="Times New Roman" w:hAnsi="Times New Roman" w:cs="Times New Roman"/>
          <w:color w:val="156082" w:themeColor="accent1"/>
        </w:rPr>
        <w:t>, lines 32-36.</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49392A81" w:rsidR="00D76458" w:rsidRDefault="00D76458" w:rsidP="00D76458">
      <w:pPr>
        <w:pStyle w:val="ListParagraph"/>
        <w:ind w:left="1440"/>
        <w:rPr>
          <w:rFonts w:ascii="Times New Roman" w:hAnsi="Times New Roman" w:cs="Times New Roman"/>
          <w:color w:val="156082" w:themeColor="accent1"/>
          <w:shd w:val="clear" w:color="auto" w:fill="FFFFFF"/>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r w:rsidR="00911F9D">
        <w:rPr>
          <w:rFonts w:ascii="Times New Roman" w:hAnsi="Times New Roman" w:cs="Times New Roman"/>
          <w:color w:val="156082" w:themeColor="accent1"/>
          <w:shd w:val="clear" w:color="auto" w:fill="FFFFFF"/>
        </w:rPr>
        <w:t>, lines 61-64.</w:t>
      </w:r>
    </w:p>
    <w:p w14:paraId="22E966CA" w14:textId="77777777" w:rsidR="0036291E" w:rsidRPr="0011382F" w:rsidRDefault="0036291E" w:rsidP="00D76458">
      <w:pPr>
        <w:pStyle w:val="ListParagraph"/>
        <w:ind w:left="1440"/>
        <w:rPr>
          <w:rFonts w:ascii="Times New Roman" w:hAnsi="Times New Roman" w:cs="Times New Roman"/>
        </w:rPr>
      </w:pP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An explicit expression for that should be provided. Also, it is not clear which spatial resolution NDVI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0170BB05"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r w:rsidR="00D719C0">
        <w:rPr>
          <w:rFonts w:ascii="Times New Roman" w:hAnsi="Times New Roman" w:cs="Times New Roman"/>
          <w:color w:val="156082" w:themeColor="accent1"/>
        </w:rPr>
        <w:t>, lines 202-205.</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346150A"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r w:rsidR="00F300FE">
        <w:rPr>
          <w:rFonts w:ascii="Times New Roman" w:hAnsi="Times New Roman" w:cs="Times New Roman"/>
          <w:color w:val="156082" w:themeColor="accent1"/>
        </w:rPr>
        <w:t>, lines 198-200.</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68F36DB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r w:rsidR="003B66CF">
        <w:rPr>
          <w:rFonts w:ascii="Times New Roman" w:hAnsi="Times New Roman" w:cs="Times New Roman"/>
          <w:color w:val="156082" w:themeColor="accent1"/>
        </w:rPr>
        <w:t>, lines 157-158.</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6864B50F" w:rsidR="00C402D7" w:rsidRDefault="00C402D7" w:rsidP="00C402D7">
      <w:pPr>
        <w:pStyle w:val="ListParagraph"/>
        <w:rPr>
          <w:rFonts w:ascii="Times New Roman" w:hAnsi="Times New Roman" w:cs="Times New Roman"/>
          <w:i/>
          <w:iCs/>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r w:rsidR="00FA4613">
        <w:rPr>
          <w:rFonts w:ascii="Times New Roman" w:hAnsi="Times New Roman" w:cs="Times New Roman"/>
          <w:i/>
          <w:iCs/>
          <w:color w:val="156082" w:themeColor="accent1"/>
        </w:rPr>
        <w:t>, lines 369-370.</w:t>
      </w:r>
    </w:p>
    <w:p w14:paraId="09701563" w14:textId="77777777" w:rsidR="00FA4613" w:rsidRPr="00D11967" w:rsidRDefault="00FA4613" w:rsidP="00C402D7">
      <w:pPr>
        <w:pStyle w:val="ListParagraph"/>
        <w:rPr>
          <w:rFonts w:ascii="Times New Roman" w:hAnsi="Times New Roman" w:cs="Times New Roman"/>
          <w:color w:val="156082" w:themeColor="accent1"/>
        </w:rPr>
      </w:pPr>
    </w:p>
    <w:p w14:paraId="2653CC2A" w14:textId="3209F2A3"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climate classification.”</w:t>
      </w:r>
      <w:r w:rsidR="00C800B7">
        <w:rPr>
          <w:rFonts w:ascii="Times New Roman" w:hAnsi="Times New Roman" w:cs="Times New Roman"/>
          <w:i/>
          <w:iCs/>
          <w:color w:val="156082" w:themeColor="accent1"/>
        </w:rPr>
        <w:t>, lines 413-414.</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37275842"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 xml:space="preserve">Because this was reporting fewer deaths, we had arranged the IQR from 8.5-0.13. In response to </w:t>
      </w:r>
      <w:r w:rsidR="00474107">
        <w:rPr>
          <w:rFonts w:ascii="Times New Roman" w:hAnsi="Times New Roman" w:cs="Times New Roman"/>
          <w:color w:val="156082" w:themeColor="accent1"/>
        </w:rPr>
        <w:t>another</w:t>
      </w:r>
      <w:r w:rsidRPr="00E733C0">
        <w:rPr>
          <w:rFonts w:ascii="Times New Roman" w:hAnsi="Times New Roman" w:cs="Times New Roman"/>
          <w:color w:val="156082" w:themeColor="accent1"/>
        </w:rPr>
        <w:t xml:space="preserve"> comment, we have </w:t>
      </w:r>
      <w:r w:rsidR="00474107">
        <w:rPr>
          <w:rFonts w:ascii="Times New Roman" w:hAnsi="Times New Roman" w:cs="Times New Roman"/>
          <w:color w:val="156082" w:themeColor="accent1"/>
        </w:rPr>
        <w:t xml:space="preserve">instead reported the mean and 95% CI. </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4AC1D84C"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w:t>
      </w:r>
      <w:r w:rsidR="00474107" w:rsidRPr="00474107">
        <w:rPr>
          <w:rFonts w:ascii="Times New Roman" w:hAnsi="Times New Roman" w:cs="Times New Roman"/>
          <w:color w:val="156082" w:themeColor="accent1"/>
        </w:rPr>
        <w:t>Eastern Asia had a mean reduction of 4.18 (95% CI: 2.70, 7.33) annual premature deaths per 100,000 population</w:t>
      </w:r>
      <w:r w:rsidR="00474107">
        <w:rPr>
          <w:rFonts w:ascii="Times New Roman" w:hAnsi="Times New Roman" w:cs="Times New Roman"/>
          <w:color w:val="156082" w:themeColor="accent1"/>
        </w:rPr>
        <w:t>…”, lines 427-428.</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Line 319: this section is confusing. What does a median change in mortality of 0.01 fewer means?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7EFC87B9"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t>
      </w:r>
      <w:r w:rsidR="003E33BB" w:rsidRPr="003E33BB">
        <w:rPr>
          <w:rFonts w:ascii="Times New Roman" w:hAnsi="Times New Roman" w:cs="Times New Roman"/>
          <w:color w:val="156082" w:themeColor="accent1"/>
        </w:rPr>
        <w:t>We also considered NDVI-associated mortality changes by climate classification (Fig. 5C &amp;5D). Arid cities had stable NDVI values over time, and this was reflected in the average associated changes in mortality, which was very close to zero at 0.09 (95% CI: 0.60, 1.55) fewer deaths per 100,000 (range: 12.90 fewer to 12.14 more).</w:t>
      </w:r>
      <w:r w:rsidR="003E33BB">
        <w:rPr>
          <w:rFonts w:ascii="Times New Roman" w:hAnsi="Times New Roman" w:cs="Times New Roman"/>
          <w:color w:val="156082" w:themeColor="accent1"/>
        </w:rPr>
        <w:t>”, lines 441-444.</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and also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D8FF49D"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w:t>
      </w:r>
      <w:r w:rsidR="00C6517A" w:rsidRPr="00C6517A">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experienced increases in NDVI across the time periods and more associated </w:t>
      </w:r>
      <w:r w:rsidR="00C6517A" w:rsidRPr="00C6517A">
        <w:rPr>
          <w:rFonts w:ascii="Times New Roman" w:hAnsi="Times New Roman" w:cs="Times New Roman"/>
          <w:color w:val="156082" w:themeColor="accent1"/>
        </w:rPr>
        <w:lastRenderedPageBreak/>
        <w:t>deaths in areas where NDVI decreased (Fig. 5A &amp; 5B). The range in associated mortality from greenspace changes spanned fewer to more deaths, reflecting that there were cities across all regions that experienced both increases and decreases in NDVI.</w:t>
      </w:r>
      <w:r w:rsidR="00C6517A">
        <w:rPr>
          <w:rFonts w:ascii="Times New Roman" w:hAnsi="Times New Roman" w:cs="Times New Roman"/>
          <w:color w:val="156082" w:themeColor="accent1"/>
        </w:rPr>
        <w:t>”, lines 419-424.</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2EFE42EF"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w:t>
      </w:r>
      <w:r w:rsidR="00A01DB3" w:rsidRPr="00A01DB3">
        <w:rPr>
          <w:rFonts w:ascii="Times New Roman" w:hAnsi="Times New Roman" w:cs="Times New Roman"/>
          <w:i/>
          <w:iCs/>
          <w:color w:val="156082" w:themeColor="accent1"/>
        </w:rPr>
        <w:t>Changes in city-level mortality per 100,000 population (panels A &amp;C) and in absolute terms (panels B &amp; D) associated with changes in average population-weighted peak season Normalized Difference Vegetation Index (NDVI) from 2014-2018 to 2019-2023 to the 2020 population, by geographical region (panel A) and climate classification (panel B).</w:t>
      </w:r>
      <w:r w:rsidR="00A01DB3">
        <w:rPr>
          <w:rFonts w:ascii="Times New Roman" w:hAnsi="Times New Roman" w:cs="Times New Roman"/>
          <w:i/>
          <w:iCs/>
          <w:color w:val="156082" w:themeColor="accent1"/>
        </w:rPr>
        <w:t>”, lines 557-562.</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FD3172" w:rsidRDefault="00EB5FDE" w:rsidP="004567F1">
      <w:pPr>
        <w:pStyle w:val="ListParagraph"/>
        <w:numPr>
          <w:ilvl w:val="1"/>
          <w:numId w:val="5"/>
        </w:numPr>
        <w:rPr>
          <w:rFonts w:ascii="Times New Roman" w:hAnsi="Times New Roman" w:cs="Times New Roman"/>
        </w:rPr>
      </w:pPr>
      <w:r w:rsidRPr="00FD3172">
        <w:rPr>
          <w:rFonts w:ascii="Times New Roman" w:hAnsi="Times New Roman" w:cs="Times New Roman"/>
        </w:rPr>
        <w:t>Line 385: the impact on individual cities would be very relevant to be discussed and possibly compared with cities in the same region that do not experience such changes.</w:t>
      </w:r>
    </w:p>
    <w:p w14:paraId="156D6229" w14:textId="77777777" w:rsidR="00150438" w:rsidRDefault="00150438" w:rsidP="00150438">
      <w:pPr>
        <w:pStyle w:val="ListParagraph"/>
        <w:rPr>
          <w:rFonts w:ascii="Times New Roman" w:hAnsi="Times New Roman" w:cs="Times New Roman"/>
        </w:rPr>
      </w:pPr>
    </w:p>
    <w:p w14:paraId="6DDDE817" w14:textId="3D70CDC1" w:rsidR="00150438" w:rsidRPr="00150438" w:rsidRDefault="00150438" w:rsidP="00150438">
      <w:pPr>
        <w:pStyle w:val="ListParagraph"/>
        <w:rPr>
          <w:rFonts w:ascii="Times New Roman" w:hAnsi="Times New Roman" w:cs="Times New Roman"/>
          <w:color w:val="156082" w:themeColor="accent1"/>
        </w:rPr>
      </w:pPr>
      <w:r w:rsidRPr="00150438">
        <w:rPr>
          <w:rFonts w:ascii="Times New Roman" w:hAnsi="Times New Roman" w:cs="Times New Roman"/>
          <w:color w:val="156082" w:themeColor="accent1"/>
        </w:rPr>
        <w:t>Thank you for your comment. In response to your suggestion, we have added text to the results section, highlighting regional outliers in greenspace change:</w:t>
      </w:r>
    </w:p>
    <w:p w14:paraId="220D84C4" w14:textId="77777777" w:rsidR="00150438" w:rsidRPr="00150438" w:rsidRDefault="00150438" w:rsidP="00150438">
      <w:pPr>
        <w:pStyle w:val="ListParagraph"/>
        <w:rPr>
          <w:rFonts w:ascii="Times New Roman" w:hAnsi="Times New Roman" w:cs="Times New Roman"/>
          <w:color w:val="156082" w:themeColor="accent1"/>
        </w:rPr>
      </w:pPr>
    </w:p>
    <w:p w14:paraId="41157E38" w14:textId="34426769" w:rsidR="003933D2" w:rsidRPr="00150438" w:rsidRDefault="00150438" w:rsidP="00150438">
      <w:pPr>
        <w:pStyle w:val="ListParagraph"/>
        <w:ind w:left="1440"/>
        <w:rPr>
          <w:rFonts w:ascii="Times New Roman" w:hAnsi="Times New Roman" w:cs="Times New Roman"/>
          <w:color w:val="156082" w:themeColor="accent1"/>
        </w:rPr>
      </w:pPr>
      <w:r w:rsidRPr="00150438">
        <w:rPr>
          <w:rFonts w:ascii="Times New Roman" w:hAnsi="Times New Roman" w:cs="Times New Roman"/>
          <w:color w:val="156082" w:themeColor="accent1"/>
        </w:rPr>
        <w:t>“</w:t>
      </w:r>
      <w:r w:rsidR="008D50C0" w:rsidRPr="008D50C0">
        <w:rPr>
          <w:rFonts w:ascii="Times New Roman" w:hAnsi="Times New Roman" w:cs="Times New Roman"/>
          <w:color w:val="156082" w:themeColor="accent1"/>
        </w:rPr>
        <w:t xml:space="preserve">There were many outlier cities across several regions. For example, five Venezuelan cities: Barcelona, Maturin, Barquisimeto, Maracay, and Valencia had increases in NDVI across the two periods despite a general decline in urban greenspace across Latin America and the Caribbean. </w:t>
      </w:r>
      <w:proofErr w:type="spellStart"/>
      <w:r w:rsidR="008D50C0" w:rsidRPr="008D50C0">
        <w:rPr>
          <w:rFonts w:ascii="Times New Roman" w:hAnsi="Times New Roman" w:cs="Times New Roman"/>
          <w:color w:val="156082" w:themeColor="accent1"/>
        </w:rPr>
        <w:t>Buram</w:t>
      </w:r>
      <w:proofErr w:type="spellEnd"/>
      <w:r w:rsidR="008D50C0" w:rsidRPr="008D50C0">
        <w:rPr>
          <w:rFonts w:ascii="Times New Roman" w:hAnsi="Times New Roman" w:cs="Times New Roman"/>
          <w:color w:val="156082" w:themeColor="accent1"/>
        </w:rPr>
        <w:t xml:space="preserve">, Sudan in Northern Africa and Gonda, India in Southern Asia were also positive greenspace outliers. In contrast, many cities were negative greenspace outliers in their regions including Auckland, New Zealand; San Antonio and Providence, United States;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Indonesia; Lakhimpur, India;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Macedonia; and Dortmund and Wuppertal, Germany. There is likely a mix of driving factors contributing to each of these cities’ greenspace changes. Some of the negative outliers such as Auckland, San Antonio,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w:t>
      </w:r>
      <w:proofErr w:type="spellStart"/>
      <w:r w:rsidR="008D50C0" w:rsidRPr="008D50C0">
        <w:rPr>
          <w:rFonts w:ascii="Times New Roman" w:hAnsi="Times New Roman" w:cs="Times New Roman"/>
          <w:color w:val="156082" w:themeColor="accent1"/>
        </w:rPr>
        <w:t>Lakhimpu</w:t>
      </w:r>
      <w:proofErr w:type="spellEnd"/>
      <w:r w:rsidR="008D50C0" w:rsidRPr="008D50C0">
        <w:rPr>
          <w:rFonts w:ascii="Times New Roman" w:hAnsi="Times New Roman" w:cs="Times New Roman"/>
          <w:color w:val="156082" w:themeColor="accent1"/>
        </w:rPr>
        <w:t xml:space="preserve">, and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have experienced urbanization over the past decade that may be contributing to their decline in greenspaces. Other cities situated near one another such as the five cities of northern Venezuela and the two German cities likely have experienced similar temperature and rainfall changes due to weather and climate change.</w:t>
      </w:r>
      <w:r w:rsidR="008D50C0">
        <w:rPr>
          <w:rFonts w:ascii="Times New Roman" w:hAnsi="Times New Roman" w:cs="Times New Roman"/>
          <w:color w:val="156082" w:themeColor="accent1"/>
        </w:rPr>
        <w:t>”</w:t>
      </w:r>
      <w:r w:rsidR="00F83097">
        <w:rPr>
          <w:rFonts w:ascii="Times New Roman" w:hAnsi="Times New Roman" w:cs="Times New Roman"/>
          <w:color w:val="156082" w:themeColor="accent1"/>
        </w:rPr>
        <w:t>, lines 324-336.</w:t>
      </w:r>
      <w:r w:rsidR="008D50C0" w:rsidRPr="008D50C0">
        <w:rPr>
          <w:rFonts w:ascii="Times New Roman" w:hAnsi="Times New Roman" w:cs="Times New Roman"/>
          <w:color w:val="156082" w:themeColor="accent1"/>
        </w:rPr>
        <w:t xml:space="preserve"> </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5F6A113B"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lastRenderedPageBreak/>
        <w:t>“Furthermore, we found that NDVI decreased in North American cities over our study period, explaining the difference in sign of our results”</w:t>
      </w:r>
      <w:r w:rsidR="000A1944">
        <w:rPr>
          <w:rFonts w:ascii="Times New Roman" w:hAnsi="Times New Roman" w:cs="Times New Roman"/>
          <w:color w:val="156082" w:themeColor="accent1"/>
        </w:rPr>
        <w:t>, lines 619-620.</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45934BCD" w:rsidR="009049F5" w:rsidRPr="00372164" w:rsidRDefault="004F111A">
      <w:pPr>
        <w:rPr>
          <w:rFonts w:ascii="Times New Roman" w:hAnsi="Times New Roman" w:cs="Times New Roman"/>
          <w:color w:val="156082" w:themeColor="accent1"/>
          <w:vertAlign w:val="superscript"/>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r w:rsidR="005E5CAD">
        <w:rPr>
          <w:rFonts w:ascii="Times New Roman" w:hAnsi="Times New Roman" w:cs="Times New Roman"/>
          <w:color w:val="156082" w:themeColor="accent1"/>
        </w:rPr>
        <w:t xml:space="preserve"> Additionally, health impact</w:t>
      </w:r>
      <w:r w:rsidR="004055A4">
        <w:rPr>
          <w:rFonts w:ascii="Times New Roman" w:hAnsi="Times New Roman" w:cs="Times New Roman"/>
          <w:color w:val="156082" w:themeColor="accent1"/>
        </w:rPr>
        <w:t xml:space="preserve"> assessments</w:t>
      </w:r>
      <w:r w:rsidR="005E5CAD">
        <w:rPr>
          <w:rFonts w:ascii="Times New Roman" w:hAnsi="Times New Roman" w:cs="Times New Roman"/>
          <w:color w:val="156082" w:themeColor="accent1"/>
        </w:rPr>
        <w:t xml:space="preserve"> of other environmental exposures, such as PM2.5, </w:t>
      </w:r>
      <w:r w:rsidR="00CF1818">
        <w:rPr>
          <w:rFonts w:ascii="Times New Roman" w:hAnsi="Times New Roman" w:cs="Times New Roman"/>
          <w:color w:val="156082" w:themeColor="accent1"/>
        </w:rPr>
        <w:t>commonly assume that it is appropriate to apply a spatial exposure-response function to temporal changes in exposure</w:t>
      </w:r>
      <w:r w:rsidR="005E5CAD">
        <w:rPr>
          <w:rFonts w:ascii="Times New Roman" w:hAnsi="Times New Roman" w:cs="Times New Roman"/>
          <w:color w:val="156082" w:themeColor="accent1"/>
        </w:rPr>
        <w:t>.</w:t>
      </w:r>
      <w:r w:rsidR="00372164">
        <w:rPr>
          <w:rFonts w:ascii="Times New Roman" w:hAnsi="Times New Roman" w:cs="Times New Roman"/>
          <w:color w:val="156082" w:themeColor="accent1"/>
          <w:vertAlign w:val="superscript"/>
        </w:rPr>
        <w:t>1</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714B2D1B"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 xml:space="preserve">“The nine longitudinal studies included in this meta-analysis had follow-up periods ranging from four to 18 years and measured urban greenspace using NDVI. Three studies </w:t>
      </w:r>
      <w:r w:rsidRPr="008F30E2">
        <w:rPr>
          <w:rFonts w:ascii="Times New Roman" w:hAnsi="Times New Roman" w:cs="Times New Roman"/>
          <w:color w:val="156082" w:themeColor="accent1"/>
        </w:rPr>
        <w:lastRenderedPageBreak/>
        <w:t>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r w:rsidR="00F6634B">
        <w:rPr>
          <w:rFonts w:ascii="Times New Roman" w:hAnsi="Times New Roman" w:cs="Times New Roman"/>
          <w:color w:val="156082" w:themeColor="accent1"/>
        </w:rPr>
        <w:t>, lines 161-165.</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6614A559"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r w:rsidR="000F39CE">
        <w:rPr>
          <w:rFonts w:ascii="Times New Roman" w:hAnsi="Times New Roman" w:cs="Times New Roman"/>
          <w:color w:val="156082" w:themeColor="accent1"/>
        </w:rPr>
        <w:t>, lines 552-556.</w:t>
      </w: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18C5B04F"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and nitrogen dioxide.</w:t>
      </w:r>
      <w:r w:rsidR="00372164">
        <w:rPr>
          <w:rFonts w:ascii="Times New Roman" w:hAnsi="Times New Roman" w:cs="Times New Roman"/>
          <w:color w:val="156082" w:themeColor="accent1"/>
          <w:vertAlign w:val="superscript"/>
        </w:rPr>
        <w:t>3</w:t>
      </w:r>
      <w:r w:rsidRPr="00292FF9">
        <w:rPr>
          <w:rFonts w:ascii="Times New Roman" w:hAnsi="Times New Roman" w:cs="Times New Roman"/>
          <w:color w:val="156082" w:themeColor="accent1"/>
        </w:rPr>
        <w:t xml:space="preserve"> Additionally, many health impact assessments from the past five years of greenspace</w:t>
      </w:r>
      <w:r w:rsidR="00372164">
        <w:rPr>
          <w:rFonts w:ascii="Times New Roman" w:hAnsi="Times New Roman" w:cs="Times New Roman"/>
          <w:color w:val="156082" w:themeColor="accent1"/>
          <w:vertAlign w:val="superscript"/>
        </w:rPr>
        <w:t>4</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air pollution</w:t>
      </w:r>
      <w:r w:rsidR="00372164">
        <w:rPr>
          <w:rFonts w:ascii="Times New Roman" w:hAnsi="Times New Roman" w:cs="Times New Roman"/>
          <w:color w:val="156082" w:themeColor="accent1"/>
          <w:vertAlign w:val="superscript"/>
        </w:rPr>
        <w:t>9</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9</w:t>
      </w:r>
      <w:r w:rsidR="00372164">
        <w:rPr>
          <w:rFonts w:ascii="Times New Roman" w:hAnsi="Times New Roman" w:cs="Times New Roman"/>
          <w:color w:val="156082" w:themeColor="accent1"/>
          <w:vertAlign w:val="superscript"/>
        </w:rPr>
        <w:t>-10</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10</w:t>
      </w:r>
      <w:r w:rsidR="00372164">
        <w:rPr>
          <w:rFonts w:ascii="Times New Roman" w:hAnsi="Times New Roman" w:cs="Times New Roman"/>
          <w:color w:val="156082" w:themeColor="accent1"/>
          <w:vertAlign w:val="superscript"/>
        </w:rPr>
        <w:t>-11</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5E4B994D" w14:textId="6A77E0CA" w:rsidR="001E4496" w:rsidRPr="001E4496" w:rsidRDefault="001E4496">
      <w:pPr>
        <w:rPr>
          <w:rFonts w:ascii="Times New Roman" w:hAnsi="Times New Roman" w:cs="Times New Roman"/>
          <w:color w:val="156082" w:themeColor="accent1"/>
        </w:rPr>
      </w:pPr>
      <w:r w:rsidRPr="001E4496">
        <w:rPr>
          <w:rFonts w:ascii="Times New Roman" w:hAnsi="Times New Roman" w:cs="Times New Roman"/>
          <w:color w:val="156082" w:themeColor="accent1"/>
        </w:rPr>
        <w:t>To address your comment, we have added text to the discussion to address this choice:</w:t>
      </w:r>
    </w:p>
    <w:p w14:paraId="40C6B573" w14:textId="77777777" w:rsidR="001E4496" w:rsidRDefault="001E4496">
      <w:pPr>
        <w:rPr>
          <w:rFonts w:ascii="Times New Roman" w:hAnsi="Times New Roman" w:cs="Times New Roman"/>
        </w:rPr>
      </w:pPr>
    </w:p>
    <w:p w14:paraId="073418CE" w14:textId="2E0919BA" w:rsidR="001E4496" w:rsidRDefault="001E4496" w:rsidP="001E4496">
      <w:pPr>
        <w:ind w:left="720"/>
        <w:rPr>
          <w:rFonts w:ascii="Times New Roman" w:hAnsi="Times New Roman" w:cs="Times New Roman"/>
          <w:color w:val="156082" w:themeColor="accent1"/>
        </w:rPr>
      </w:pPr>
      <w:r w:rsidRPr="001E4496">
        <w:rPr>
          <w:rFonts w:ascii="Times New Roman" w:hAnsi="Times New Roman" w:cs="Times New Roman"/>
          <w:color w:val="156082" w:themeColor="accent1"/>
        </w:rPr>
        <w:t xml:space="preserve">“To address this, we chose a large-scale meta-analysis to be as generalizable as possible. While the current evidence base linking greenspace and all-cause mortality does not support a city-specific approach, there are many city-level factors that would theoretically influence the relationship    between greenspace and mortality such as city walkability (safety, pedestrian infrastructure, traffic, etc.), time spent at home where we have measured their exposure (employment type, leisure time, etc.), and other environmental hazards (heat, air pollution, noise, </w:t>
      </w:r>
      <w:proofErr w:type="spellStart"/>
      <w:r w:rsidRPr="001E4496">
        <w:rPr>
          <w:rFonts w:ascii="Times New Roman" w:hAnsi="Times New Roman" w:cs="Times New Roman"/>
          <w:color w:val="156082" w:themeColor="accent1"/>
        </w:rPr>
        <w:t>etc</w:t>
      </w:r>
      <w:proofErr w:type="spellEnd"/>
      <w:r w:rsidRPr="001E4496">
        <w:rPr>
          <w:rFonts w:ascii="Times New Roman" w:hAnsi="Times New Roman" w:cs="Times New Roman"/>
          <w:color w:val="156082" w:themeColor="accent1"/>
        </w:rPr>
        <w:t>).”</w:t>
      </w:r>
      <w:r w:rsidR="00BC6525">
        <w:rPr>
          <w:rFonts w:ascii="Times New Roman" w:hAnsi="Times New Roman" w:cs="Times New Roman"/>
          <w:color w:val="156082" w:themeColor="accent1"/>
        </w:rPr>
        <w:t>, lines 535-541.</w:t>
      </w:r>
    </w:p>
    <w:p w14:paraId="1E25E116" w14:textId="77777777" w:rsidR="001E4496" w:rsidRPr="001E4496" w:rsidRDefault="001E4496" w:rsidP="001E4496">
      <w:pPr>
        <w:ind w:left="720"/>
        <w:rPr>
          <w:rFonts w:ascii="Times New Roman" w:hAnsi="Times New Roman" w:cs="Times New Roman"/>
          <w:color w:val="156082" w:themeColor="accent1"/>
        </w:rPr>
      </w:pPr>
    </w:p>
    <w:p w14:paraId="49B25086" w14:textId="58C80376" w:rsidR="001E4496"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50AEBED8" w14:textId="0BCC75BD" w:rsidR="00372164" w:rsidRPr="00372164" w:rsidRDefault="00372164" w:rsidP="00292FF9">
      <w:pPr>
        <w:numPr>
          <w:ilvl w:val="0"/>
          <w:numId w:val="6"/>
        </w:numPr>
        <w:rPr>
          <w:rFonts w:ascii="Times New Roman" w:hAnsi="Times New Roman" w:cs="Times New Roman"/>
          <w:color w:val="156082" w:themeColor="accent1"/>
        </w:rPr>
      </w:pPr>
      <w:r w:rsidRPr="00372164">
        <w:rPr>
          <w:rFonts w:ascii="Times New Roman" w:hAnsi="Times New Roman" w:cs="Times New Roman"/>
          <w:color w:val="156082" w:themeColor="accent1"/>
        </w:rPr>
        <w:lastRenderedPageBreak/>
        <w:t xml:space="preserve">Dockery DW, Pope CA, Xu X, et al. An Association between Air Pollution and Mortality in Six U.S. Cities. </w:t>
      </w:r>
      <w:r w:rsidRPr="00372164">
        <w:rPr>
          <w:rFonts w:ascii="Times New Roman" w:hAnsi="Times New Roman" w:cs="Times New Roman"/>
          <w:i/>
          <w:iCs/>
          <w:color w:val="156082" w:themeColor="accent1"/>
        </w:rPr>
        <w:t>New England Journal of Medicine</w:t>
      </w:r>
      <w:r w:rsidRPr="00372164">
        <w:rPr>
          <w:rFonts w:ascii="Times New Roman" w:hAnsi="Times New Roman" w:cs="Times New Roman"/>
          <w:color w:val="156082" w:themeColor="accent1"/>
        </w:rPr>
        <w:t>. 1993;329(24):1753-1759. doi:10.1056/NEJM199312093292401</w:t>
      </w:r>
    </w:p>
    <w:p w14:paraId="21387BF7" w14:textId="73098E8D"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7"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 xml:space="preserve">This paper performs a health impact assessment of changes in urban NDVI in more than 1000 </w:t>
      </w:r>
      <w:r w:rsidRPr="00FA2204">
        <w:rPr>
          <w:rFonts w:ascii="Times New Roman" w:hAnsi="Times New Roman" w:cs="Times New Roman"/>
        </w:rPr>
        <w:lastRenderedPageBreak/>
        <w:t>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4E3829AB"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w:t>
      </w:r>
      <w:r w:rsidR="00A22F42">
        <w:rPr>
          <w:rFonts w:ascii="Times New Roman" w:hAnsi="Times New Roman" w:cs="Times New Roman"/>
          <w:color w:val="156082" w:themeColor="accent1"/>
        </w:rPr>
        <w:t>report</w:t>
      </w:r>
      <w:r w:rsidR="00F5507D">
        <w:rPr>
          <w:rFonts w:ascii="Times New Roman" w:hAnsi="Times New Roman" w:cs="Times New Roman"/>
          <w:color w:val="156082" w:themeColor="accent1"/>
        </w:rPr>
        <w:t xml:space="preserve">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04C63935"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w:t>
      </w:r>
      <w:r w:rsidR="00FF7A7A" w:rsidRPr="00FF7A7A">
        <w:rPr>
          <w:rFonts w:ascii="Times New Roman" w:hAnsi="Times New Roman" w:cs="Times New Roman"/>
          <w:color w:val="156082" w:themeColor="accent1"/>
        </w:rPr>
        <w:t>exposure response function</w:t>
      </w:r>
      <w:r w:rsidRPr="00F5507D">
        <w:rPr>
          <w:rFonts w:ascii="Times New Roman" w:hAnsi="Times New Roman" w:cs="Times New Roman"/>
          <w:color w:val="156082" w:themeColor="accent1"/>
        </w:rPr>
        <w:t>, we removed pixels representing water and clouds.”</w:t>
      </w:r>
      <w:r w:rsidR="00C87FA7">
        <w:rPr>
          <w:rFonts w:ascii="Times New Roman" w:hAnsi="Times New Roman" w:cs="Times New Roman"/>
          <w:color w:val="156082" w:themeColor="accent1"/>
        </w:rPr>
        <w:t>, lines 151-153.</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7EDEE296"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r w:rsidR="00E10CB2">
        <w:rPr>
          <w:rFonts w:ascii="Times New Roman" w:hAnsi="Times New Roman" w:cs="Times New Roman"/>
          <w:color w:val="156082" w:themeColor="accent1"/>
        </w:rPr>
        <w:t>, lines 163-167.</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lot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43E139F0"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4012AE31"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r w:rsidR="002002EC">
        <w:rPr>
          <w:rFonts w:ascii="Times New Roman" w:hAnsi="Times New Roman" w:cs="Times New Roman"/>
          <w:color w:val="156082" w:themeColor="accent1"/>
        </w:rPr>
        <w:t>, lines 141-143.</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4. It would be a nice addition to provide absolute figures in the results, i.e. in this set of cities, how many deaths have been lost/averted due to NDVI changes? At the moment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63F3392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Sub-Saharan Africa has the greatest</w:t>
      </w:r>
      <w:r w:rsidR="00465948">
        <w:rPr>
          <w:rFonts w:ascii="Times New Roman" w:hAnsi="Times New Roman" w:cs="Times New Roman"/>
          <w:color w:val="156082" w:themeColor="accent1"/>
        </w:rPr>
        <w:t xml:space="preserve"> absolute</w:t>
      </w:r>
      <w:r w:rsidRPr="003839D4">
        <w:rPr>
          <w:rFonts w:ascii="Times New Roman" w:hAnsi="Times New Roman" w:cs="Times New Roman"/>
          <w:color w:val="156082" w:themeColor="accent1"/>
        </w:rPr>
        <w:t xml:space="preserve">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r w:rsidR="00A54997">
        <w:rPr>
          <w:rFonts w:ascii="Times New Roman" w:hAnsi="Times New Roman" w:cs="Times New Roman"/>
          <w:color w:val="156082" w:themeColor="accent1"/>
        </w:rPr>
        <w:t>, lines 435-339.</w:t>
      </w:r>
    </w:p>
    <w:p w14:paraId="2EB18978" w14:textId="77777777" w:rsidR="007F194C" w:rsidRDefault="007F194C" w:rsidP="003839D4">
      <w:pPr>
        <w:ind w:left="720"/>
        <w:rPr>
          <w:rFonts w:ascii="Times New Roman" w:hAnsi="Times New Roman" w:cs="Times New Roman"/>
          <w:color w:val="156082" w:themeColor="accent1"/>
        </w:rPr>
      </w:pPr>
    </w:p>
    <w:p w14:paraId="583C5C84" w14:textId="523041EF"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r w:rsidR="00525C49">
        <w:rPr>
          <w:rFonts w:ascii="Times New Roman" w:hAnsi="Times New Roman" w:cs="Times New Roman"/>
          <w:color w:val="156082" w:themeColor="accent1"/>
        </w:rPr>
        <w:t>, lines 452-455.</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xml:space="preserve">- 112: "Joint Research Commission" is </w:t>
      </w:r>
      <w:proofErr w:type="gramStart"/>
      <w:r w:rsidRPr="00FA2204">
        <w:rPr>
          <w:rFonts w:ascii="Times New Roman" w:hAnsi="Times New Roman" w:cs="Times New Roman"/>
        </w:rPr>
        <w:t>actually the</w:t>
      </w:r>
      <w:proofErr w:type="gramEnd"/>
      <w:r w:rsidRPr="00FA2204">
        <w:rPr>
          <w:rFonts w:ascii="Times New Roman" w:hAnsi="Times New Roman" w:cs="Times New Roman"/>
        </w:rPr>
        <w:t xml:space="preserv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lastRenderedPageBreak/>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42670" w14:textId="77777777" w:rsidR="00DA0347" w:rsidRDefault="00DA0347" w:rsidP="003E5C21">
      <w:r>
        <w:separator/>
      </w:r>
    </w:p>
  </w:endnote>
  <w:endnote w:type="continuationSeparator" w:id="0">
    <w:p w14:paraId="026ACB64" w14:textId="77777777" w:rsidR="00DA0347" w:rsidRDefault="00DA0347" w:rsidP="003E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EFD14" w14:textId="77777777" w:rsidR="00DA0347" w:rsidRDefault="00DA0347" w:rsidP="003E5C21">
      <w:r>
        <w:separator/>
      </w:r>
    </w:p>
  </w:footnote>
  <w:footnote w:type="continuationSeparator" w:id="0">
    <w:p w14:paraId="73C594DB" w14:textId="77777777" w:rsidR="00DA0347" w:rsidRDefault="00DA0347" w:rsidP="003E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85494">
    <w:abstractNumId w:val="1"/>
  </w:num>
  <w:num w:numId="2" w16cid:durableId="1692494193">
    <w:abstractNumId w:val="2"/>
  </w:num>
  <w:num w:numId="3" w16cid:durableId="2131892467">
    <w:abstractNumId w:val="4"/>
  </w:num>
  <w:num w:numId="4" w16cid:durableId="2069306929">
    <w:abstractNumId w:val="3"/>
  </w:num>
  <w:num w:numId="5" w16cid:durableId="248542458">
    <w:abstractNumId w:val="0"/>
  </w:num>
  <w:num w:numId="6" w16cid:durableId="91127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4242D"/>
    <w:rsid w:val="00061B68"/>
    <w:rsid w:val="00075A9B"/>
    <w:rsid w:val="00092AEA"/>
    <w:rsid w:val="000A1944"/>
    <w:rsid w:val="000B3A77"/>
    <w:rsid w:val="000B6786"/>
    <w:rsid w:val="000D1BCB"/>
    <w:rsid w:val="000D4B2C"/>
    <w:rsid w:val="000F39CE"/>
    <w:rsid w:val="0011382F"/>
    <w:rsid w:val="00120DE0"/>
    <w:rsid w:val="00127E40"/>
    <w:rsid w:val="00137756"/>
    <w:rsid w:val="001412AD"/>
    <w:rsid w:val="00147428"/>
    <w:rsid w:val="00150438"/>
    <w:rsid w:val="0017376A"/>
    <w:rsid w:val="001D4A41"/>
    <w:rsid w:val="001E4496"/>
    <w:rsid w:val="002002EC"/>
    <w:rsid w:val="0020576C"/>
    <w:rsid w:val="00207DC2"/>
    <w:rsid w:val="00207E13"/>
    <w:rsid w:val="00213314"/>
    <w:rsid w:val="00215A8E"/>
    <w:rsid w:val="00235FB4"/>
    <w:rsid w:val="00254588"/>
    <w:rsid w:val="00264DD6"/>
    <w:rsid w:val="00265C6D"/>
    <w:rsid w:val="00291490"/>
    <w:rsid w:val="00292FF9"/>
    <w:rsid w:val="002957F2"/>
    <w:rsid w:val="00297B81"/>
    <w:rsid w:val="002C674F"/>
    <w:rsid w:val="002D2B78"/>
    <w:rsid w:val="002E42D8"/>
    <w:rsid w:val="002F0B55"/>
    <w:rsid w:val="002F6FA7"/>
    <w:rsid w:val="0031287B"/>
    <w:rsid w:val="00331E89"/>
    <w:rsid w:val="00342FBA"/>
    <w:rsid w:val="003444B4"/>
    <w:rsid w:val="00345FB5"/>
    <w:rsid w:val="003573E7"/>
    <w:rsid w:val="0036291E"/>
    <w:rsid w:val="00364E74"/>
    <w:rsid w:val="00372164"/>
    <w:rsid w:val="003769B8"/>
    <w:rsid w:val="00381F18"/>
    <w:rsid w:val="003839D4"/>
    <w:rsid w:val="003933D2"/>
    <w:rsid w:val="003955E0"/>
    <w:rsid w:val="003B32CD"/>
    <w:rsid w:val="003B66CF"/>
    <w:rsid w:val="003D60F5"/>
    <w:rsid w:val="003E33BB"/>
    <w:rsid w:val="003E586B"/>
    <w:rsid w:val="003E5C21"/>
    <w:rsid w:val="003E6F43"/>
    <w:rsid w:val="003F45D6"/>
    <w:rsid w:val="004016F1"/>
    <w:rsid w:val="004055A4"/>
    <w:rsid w:val="00411781"/>
    <w:rsid w:val="00420118"/>
    <w:rsid w:val="00434E40"/>
    <w:rsid w:val="00436B11"/>
    <w:rsid w:val="004567F1"/>
    <w:rsid w:val="00457AAA"/>
    <w:rsid w:val="00462D50"/>
    <w:rsid w:val="00465948"/>
    <w:rsid w:val="004715AB"/>
    <w:rsid w:val="00474107"/>
    <w:rsid w:val="004926D4"/>
    <w:rsid w:val="00497C9E"/>
    <w:rsid w:val="004C2D2B"/>
    <w:rsid w:val="004C6F1A"/>
    <w:rsid w:val="004F111A"/>
    <w:rsid w:val="004F6CB8"/>
    <w:rsid w:val="00525C49"/>
    <w:rsid w:val="00531B8C"/>
    <w:rsid w:val="005409FF"/>
    <w:rsid w:val="00572679"/>
    <w:rsid w:val="00577674"/>
    <w:rsid w:val="00585B84"/>
    <w:rsid w:val="005917AC"/>
    <w:rsid w:val="005A1336"/>
    <w:rsid w:val="005C7693"/>
    <w:rsid w:val="005D6127"/>
    <w:rsid w:val="005D757E"/>
    <w:rsid w:val="005E5CAD"/>
    <w:rsid w:val="005E6E36"/>
    <w:rsid w:val="005F4E9F"/>
    <w:rsid w:val="005F5839"/>
    <w:rsid w:val="0060740B"/>
    <w:rsid w:val="006104A1"/>
    <w:rsid w:val="006263C5"/>
    <w:rsid w:val="00631A4B"/>
    <w:rsid w:val="006777AE"/>
    <w:rsid w:val="00683741"/>
    <w:rsid w:val="0069779C"/>
    <w:rsid w:val="006B0D4F"/>
    <w:rsid w:val="006B1379"/>
    <w:rsid w:val="006C4BB0"/>
    <w:rsid w:val="006D2075"/>
    <w:rsid w:val="006E4AE7"/>
    <w:rsid w:val="006F1C8A"/>
    <w:rsid w:val="006F2886"/>
    <w:rsid w:val="0071262A"/>
    <w:rsid w:val="00717BDB"/>
    <w:rsid w:val="00747B7B"/>
    <w:rsid w:val="00751F29"/>
    <w:rsid w:val="00752059"/>
    <w:rsid w:val="00754AC6"/>
    <w:rsid w:val="007654FD"/>
    <w:rsid w:val="0076720C"/>
    <w:rsid w:val="007D1D74"/>
    <w:rsid w:val="007E4D69"/>
    <w:rsid w:val="007E5812"/>
    <w:rsid w:val="007F194C"/>
    <w:rsid w:val="00800376"/>
    <w:rsid w:val="0080532A"/>
    <w:rsid w:val="008235EC"/>
    <w:rsid w:val="008564B5"/>
    <w:rsid w:val="00857D7A"/>
    <w:rsid w:val="008603CC"/>
    <w:rsid w:val="00876BAE"/>
    <w:rsid w:val="00886838"/>
    <w:rsid w:val="0089332E"/>
    <w:rsid w:val="00893912"/>
    <w:rsid w:val="008B30C2"/>
    <w:rsid w:val="008C0EBA"/>
    <w:rsid w:val="008C7D67"/>
    <w:rsid w:val="008D4A14"/>
    <w:rsid w:val="008D50C0"/>
    <w:rsid w:val="008F30E2"/>
    <w:rsid w:val="008F73D6"/>
    <w:rsid w:val="009049F5"/>
    <w:rsid w:val="00911F9D"/>
    <w:rsid w:val="009229EC"/>
    <w:rsid w:val="00935FF5"/>
    <w:rsid w:val="0093766D"/>
    <w:rsid w:val="00944096"/>
    <w:rsid w:val="00961FAB"/>
    <w:rsid w:val="00962991"/>
    <w:rsid w:val="009737E9"/>
    <w:rsid w:val="00977B41"/>
    <w:rsid w:val="00985C7A"/>
    <w:rsid w:val="009863C8"/>
    <w:rsid w:val="00994F5A"/>
    <w:rsid w:val="009C309C"/>
    <w:rsid w:val="009C35DC"/>
    <w:rsid w:val="009E7A76"/>
    <w:rsid w:val="00A000A3"/>
    <w:rsid w:val="00A0044B"/>
    <w:rsid w:val="00A01DB3"/>
    <w:rsid w:val="00A141AD"/>
    <w:rsid w:val="00A20E6E"/>
    <w:rsid w:val="00A22F42"/>
    <w:rsid w:val="00A239A7"/>
    <w:rsid w:val="00A30749"/>
    <w:rsid w:val="00A460F7"/>
    <w:rsid w:val="00A501A2"/>
    <w:rsid w:val="00A54997"/>
    <w:rsid w:val="00A56EFF"/>
    <w:rsid w:val="00A64264"/>
    <w:rsid w:val="00A76128"/>
    <w:rsid w:val="00A84835"/>
    <w:rsid w:val="00A84DCE"/>
    <w:rsid w:val="00A9109F"/>
    <w:rsid w:val="00AC14AD"/>
    <w:rsid w:val="00AC3932"/>
    <w:rsid w:val="00AD5B01"/>
    <w:rsid w:val="00AF406A"/>
    <w:rsid w:val="00B0510B"/>
    <w:rsid w:val="00B11538"/>
    <w:rsid w:val="00B32BB1"/>
    <w:rsid w:val="00B65877"/>
    <w:rsid w:val="00B66A9C"/>
    <w:rsid w:val="00B72B4B"/>
    <w:rsid w:val="00B741F8"/>
    <w:rsid w:val="00BA3DCC"/>
    <w:rsid w:val="00BB7C39"/>
    <w:rsid w:val="00BC2650"/>
    <w:rsid w:val="00BC6525"/>
    <w:rsid w:val="00BE09E6"/>
    <w:rsid w:val="00BE19BC"/>
    <w:rsid w:val="00BE4B56"/>
    <w:rsid w:val="00C17745"/>
    <w:rsid w:val="00C21B4C"/>
    <w:rsid w:val="00C25BBF"/>
    <w:rsid w:val="00C351E5"/>
    <w:rsid w:val="00C402D7"/>
    <w:rsid w:val="00C4046C"/>
    <w:rsid w:val="00C550DE"/>
    <w:rsid w:val="00C6517A"/>
    <w:rsid w:val="00C75B6B"/>
    <w:rsid w:val="00C800B7"/>
    <w:rsid w:val="00C87FA7"/>
    <w:rsid w:val="00C97CA0"/>
    <w:rsid w:val="00CB0A2C"/>
    <w:rsid w:val="00CC49A7"/>
    <w:rsid w:val="00CD6360"/>
    <w:rsid w:val="00CF1818"/>
    <w:rsid w:val="00CF3EB1"/>
    <w:rsid w:val="00D11967"/>
    <w:rsid w:val="00D15A3B"/>
    <w:rsid w:val="00D1788F"/>
    <w:rsid w:val="00D35DF9"/>
    <w:rsid w:val="00D545A5"/>
    <w:rsid w:val="00D673CF"/>
    <w:rsid w:val="00D719C0"/>
    <w:rsid w:val="00D75E67"/>
    <w:rsid w:val="00D76458"/>
    <w:rsid w:val="00D85701"/>
    <w:rsid w:val="00D9171F"/>
    <w:rsid w:val="00D91AC6"/>
    <w:rsid w:val="00DA0347"/>
    <w:rsid w:val="00DA39FB"/>
    <w:rsid w:val="00DE4072"/>
    <w:rsid w:val="00DE6BB0"/>
    <w:rsid w:val="00E0418F"/>
    <w:rsid w:val="00E10CB2"/>
    <w:rsid w:val="00E32DA6"/>
    <w:rsid w:val="00E40911"/>
    <w:rsid w:val="00E45BD6"/>
    <w:rsid w:val="00E52AB5"/>
    <w:rsid w:val="00E733C0"/>
    <w:rsid w:val="00E9089E"/>
    <w:rsid w:val="00EA2FEF"/>
    <w:rsid w:val="00EA417A"/>
    <w:rsid w:val="00EB5FDE"/>
    <w:rsid w:val="00ED4D07"/>
    <w:rsid w:val="00ED63E8"/>
    <w:rsid w:val="00EE269A"/>
    <w:rsid w:val="00F05286"/>
    <w:rsid w:val="00F16E11"/>
    <w:rsid w:val="00F2699E"/>
    <w:rsid w:val="00F300FE"/>
    <w:rsid w:val="00F32972"/>
    <w:rsid w:val="00F4087A"/>
    <w:rsid w:val="00F46C55"/>
    <w:rsid w:val="00F51A45"/>
    <w:rsid w:val="00F5507D"/>
    <w:rsid w:val="00F55C99"/>
    <w:rsid w:val="00F6634B"/>
    <w:rsid w:val="00F70606"/>
    <w:rsid w:val="00F72D42"/>
    <w:rsid w:val="00F83097"/>
    <w:rsid w:val="00F85465"/>
    <w:rsid w:val="00F85757"/>
    <w:rsid w:val="00F85E27"/>
    <w:rsid w:val="00FA2204"/>
    <w:rsid w:val="00FA4613"/>
    <w:rsid w:val="00FA64FB"/>
    <w:rsid w:val="00FB27B4"/>
    <w:rsid w:val="00FC39FF"/>
    <w:rsid w:val="00FD0291"/>
    <w:rsid w:val="00FD3172"/>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 w:type="paragraph" w:styleId="FootnoteText">
    <w:name w:val="footnote text"/>
    <w:basedOn w:val="Normal"/>
    <w:link w:val="FootnoteTextChar"/>
    <w:uiPriority w:val="99"/>
    <w:semiHidden/>
    <w:unhideWhenUsed/>
    <w:rsid w:val="003E5C2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E5C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E5C21"/>
    <w:rPr>
      <w:vertAlign w:val="superscript"/>
    </w:rPr>
  </w:style>
  <w:style w:type="paragraph" w:styleId="Header">
    <w:name w:val="header"/>
    <w:basedOn w:val="Normal"/>
    <w:link w:val="HeaderChar"/>
    <w:uiPriority w:val="99"/>
    <w:unhideWhenUsed/>
    <w:rsid w:val="006B0D4F"/>
    <w:pPr>
      <w:tabs>
        <w:tab w:val="center" w:pos="4680"/>
        <w:tab w:val="right" w:pos="9360"/>
      </w:tabs>
    </w:pPr>
  </w:style>
  <w:style w:type="character" w:customStyle="1" w:styleId="HeaderChar">
    <w:name w:val="Header Char"/>
    <w:basedOn w:val="DefaultParagraphFont"/>
    <w:link w:val="Header"/>
    <w:uiPriority w:val="99"/>
    <w:rsid w:val="006B0D4F"/>
  </w:style>
  <w:style w:type="paragraph" w:styleId="Footer">
    <w:name w:val="footer"/>
    <w:basedOn w:val="Normal"/>
    <w:link w:val="FooterChar"/>
    <w:uiPriority w:val="99"/>
    <w:unhideWhenUsed/>
    <w:rsid w:val="006B0D4F"/>
    <w:pPr>
      <w:tabs>
        <w:tab w:val="center" w:pos="4680"/>
        <w:tab w:val="right" w:pos="9360"/>
      </w:tabs>
    </w:pPr>
  </w:style>
  <w:style w:type="character" w:customStyle="1" w:styleId="FooterChar">
    <w:name w:val="Footer Char"/>
    <w:basedOn w:val="DefaultParagraphFont"/>
    <w:link w:val="Footer"/>
    <w:uiPriority w:val="99"/>
    <w:rsid w:val="006B0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971715544">
      <w:bodyDiv w:val="1"/>
      <w:marLeft w:val="0"/>
      <w:marRight w:val="0"/>
      <w:marTop w:val="0"/>
      <w:marBottom w:val="0"/>
      <w:divBdr>
        <w:top w:val="none" w:sz="0" w:space="0" w:color="auto"/>
        <w:left w:val="none" w:sz="0" w:space="0" w:color="auto"/>
        <w:bottom w:val="none" w:sz="0" w:space="0" w:color="auto"/>
        <w:right w:val="none" w:sz="0" w:space="0" w:color="auto"/>
      </w:divBdr>
      <w:divsChild>
        <w:div w:id="509149330">
          <w:marLeft w:val="0"/>
          <w:marRight w:val="0"/>
          <w:marTop w:val="0"/>
          <w:marBottom w:val="0"/>
          <w:divBdr>
            <w:top w:val="none" w:sz="0" w:space="0" w:color="auto"/>
            <w:left w:val="none" w:sz="0" w:space="0" w:color="auto"/>
            <w:bottom w:val="none" w:sz="0" w:space="0" w:color="auto"/>
            <w:right w:val="none" w:sz="0" w:space="0" w:color="auto"/>
          </w:divBdr>
        </w:div>
        <w:div w:id="1902209257">
          <w:marLeft w:val="0"/>
          <w:marRight w:val="0"/>
          <w:marTop w:val="0"/>
          <w:marBottom w:val="0"/>
          <w:divBdr>
            <w:top w:val="none" w:sz="0" w:space="0" w:color="auto"/>
            <w:left w:val="none" w:sz="0" w:space="0" w:color="auto"/>
            <w:bottom w:val="none" w:sz="0" w:space="0" w:color="auto"/>
            <w:right w:val="none" w:sz="0" w:space="0" w:color="auto"/>
          </w:divBdr>
        </w:div>
      </w:divsChild>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pb-assets/Lancet/gbd/summaries/risks/ambient-particulate-matter-pollu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18686</Words>
  <Characters>106516</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44</cp:revision>
  <dcterms:created xsi:type="dcterms:W3CDTF">2025-04-28T15:07:00Z</dcterms:created>
  <dcterms:modified xsi:type="dcterms:W3CDTF">2025-04-28T21:21:00Z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id="DPULJwwq"/&gt;&lt;style id="" hasBibliography="0" bibliographyStyleHasBeenSet="0"/&gt;&lt;prefs/&gt;&lt;/data&gt;</vt:lpwstr>
  </property>
</Properties>
</file>