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3A04497B"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78C3582E"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5E249989" w:rsidR="00C17745" w:rsidRPr="00F51A45" w:rsidRDefault="00C17745" w:rsidP="00C17745">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005409FF" w:rsidRPr="005409FF">
        <w:rPr>
          <w:rFonts w:ascii="Times New Roman" w:hAnsi="Times New Roman" w:cs="Times New Roman"/>
          <w:color w:val="156082" w:themeColor="accent1"/>
        </w:rPr>
        <w:t>While the Rojas-Rueda et al. meta-analysis restricted to adult</w:t>
      </w:r>
      <w:r w:rsidR="00962991">
        <w:rPr>
          <w:rFonts w:ascii="Times New Roman" w:hAnsi="Times New Roman" w:cs="Times New Roman"/>
          <w:color w:val="156082" w:themeColor="accent1"/>
        </w:rPr>
        <w:t>s aged 18 and over</w:t>
      </w:r>
      <w:r w:rsidR="005409FF" w:rsidRPr="005409FF">
        <w:rPr>
          <w:rFonts w:ascii="Times New Roman" w:hAnsi="Times New Roman" w:cs="Times New Roman"/>
          <w:color w:val="156082" w:themeColor="accent1"/>
        </w:rPr>
        <w:t xml:space="preserve">, </w:t>
      </w:r>
      <w:del w:id="0" w:author="Martin, Greta Katherine" w:date="2025-04-25T07:48:00Z" w16du:dateUtc="2025-04-25T11:48:00Z">
        <w:r w:rsidR="005409FF" w:rsidRPr="005409FF" w:rsidDel="003E586B">
          <w:rPr>
            <w:rFonts w:ascii="Times New Roman" w:hAnsi="Times New Roman" w:cs="Times New Roman"/>
            <w:color w:val="156082" w:themeColor="accent1"/>
          </w:rPr>
          <w:delText xml:space="preserve">the </w:delText>
        </w:r>
      </w:del>
      <w:ins w:id="1" w:author="Martin, Greta Katherine" w:date="2025-04-25T07:48:00Z" w16du:dateUtc="2025-04-25T11:48:00Z">
        <w:r w:rsidR="003E586B">
          <w:rPr>
            <w:rFonts w:ascii="Times New Roman" w:hAnsi="Times New Roman" w:cs="Times New Roman"/>
            <w:color w:val="156082" w:themeColor="accent1"/>
          </w:rPr>
          <w:t>we used the total population</w:t>
        </w:r>
      </w:ins>
      <w:ins w:id="2" w:author="Martin, Greta Katherine" w:date="2025-04-25T07:49:00Z" w16du:dateUtc="2025-04-25T11:49:00Z">
        <w:r w:rsidR="003E586B">
          <w:rPr>
            <w:rFonts w:ascii="Times New Roman" w:hAnsi="Times New Roman" w:cs="Times New Roman"/>
            <w:color w:val="156082" w:themeColor="accent1"/>
          </w:rPr>
          <w:t xml:space="preserve"> b</w:t>
        </w:r>
      </w:ins>
      <w:ins w:id="3" w:author="Martin, Greta Katherine" w:date="2025-04-25T07:50:00Z" w16du:dateUtc="2025-04-25T11:50:00Z">
        <w:r w:rsidR="003E586B">
          <w:rPr>
            <w:rFonts w:ascii="Times New Roman" w:hAnsi="Times New Roman" w:cs="Times New Roman"/>
            <w:color w:val="156082" w:themeColor="accent1"/>
          </w:rPr>
          <w:t xml:space="preserve">ecause that </w:t>
        </w:r>
      </w:ins>
      <w:ins w:id="4" w:author="Martin, Greta Katherine" w:date="2025-04-25T07:51:00Z" w16du:dateUtc="2025-04-25T11:51:00Z">
        <w:r w:rsidR="003E586B">
          <w:rPr>
            <w:rFonts w:ascii="Times New Roman" w:hAnsi="Times New Roman" w:cs="Times New Roman"/>
            <w:color w:val="156082" w:themeColor="accent1"/>
          </w:rPr>
          <w:t>was</w:t>
        </w:r>
      </w:ins>
      <w:ins w:id="5" w:author="Martin, Greta Katherine" w:date="2025-04-25T07:50:00Z" w16du:dateUtc="2025-04-25T11:50:00Z">
        <w:r w:rsidR="003E586B">
          <w:rPr>
            <w:rFonts w:ascii="Times New Roman" w:hAnsi="Times New Roman" w:cs="Times New Roman"/>
            <w:color w:val="156082" w:themeColor="accent1"/>
          </w:rPr>
          <w:t xml:space="preserve"> the</w:t>
        </w:r>
      </w:ins>
      <w:ins w:id="6" w:author="Martin, Greta Katherine" w:date="2025-04-25T07:49:00Z" w16du:dateUtc="2025-04-25T11:49:00Z">
        <w:r w:rsidR="003E586B">
          <w:rPr>
            <w:rFonts w:ascii="Times New Roman" w:hAnsi="Times New Roman" w:cs="Times New Roman"/>
            <w:color w:val="156082" w:themeColor="accent1"/>
          </w:rPr>
          <w:t xml:space="preserve"> </w:t>
        </w:r>
      </w:ins>
      <w:r w:rsidR="005409FF" w:rsidRPr="005409FF">
        <w:rPr>
          <w:rFonts w:ascii="Times New Roman" w:hAnsi="Times New Roman" w:cs="Times New Roman"/>
          <w:color w:val="156082" w:themeColor="accent1"/>
        </w:rPr>
        <w:t xml:space="preserve">gridded population data </w:t>
      </w:r>
      <w:ins w:id="7" w:author="Martin, Greta Katherine" w:date="2025-04-25T07:50:00Z" w16du:dateUtc="2025-04-25T11:50:00Z">
        <w:r w:rsidR="003E586B">
          <w:rPr>
            <w:rFonts w:ascii="Times New Roman" w:hAnsi="Times New Roman" w:cs="Times New Roman"/>
            <w:color w:val="156082" w:themeColor="accent1"/>
          </w:rPr>
          <w:t xml:space="preserve">available </w:t>
        </w:r>
      </w:ins>
      <w:r w:rsidR="005409FF" w:rsidRPr="005409FF">
        <w:rPr>
          <w:rFonts w:ascii="Times New Roman" w:hAnsi="Times New Roman" w:cs="Times New Roman"/>
          <w:color w:val="156082" w:themeColor="accent1"/>
        </w:rPr>
        <w:t xml:space="preserve">from JRC </w:t>
      </w:r>
      <w:del w:id="8" w:author="Martin, Greta Katherine" w:date="2025-04-25T08:33:00Z" w16du:dateUtc="2025-04-25T12:33:00Z">
        <w:r w:rsidR="005409FF" w:rsidRPr="005409FF" w:rsidDel="00800376">
          <w:rPr>
            <w:rFonts w:ascii="Times New Roman" w:hAnsi="Times New Roman" w:cs="Times New Roman"/>
            <w:color w:val="156082" w:themeColor="accent1"/>
          </w:rPr>
          <w:delText xml:space="preserve">was only available </w:delText>
        </w:r>
      </w:del>
      <w:r w:rsidR="005409FF" w:rsidRPr="005409FF">
        <w:rPr>
          <w:rFonts w:ascii="Times New Roman" w:hAnsi="Times New Roman" w:cs="Times New Roman"/>
          <w:color w:val="156082" w:themeColor="accent1"/>
        </w:rPr>
        <w:t>at the 100m pixel resolution</w:t>
      </w:r>
      <w:del w:id="9" w:author="Martin, Greta Katherine" w:date="2025-04-25T07:50:00Z" w16du:dateUtc="2025-04-25T11:50:00Z">
        <w:r w:rsidR="005409FF" w:rsidRPr="005409FF" w:rsidDel="003E586B">
          <w:rPr>
            <w:rFonts w:ascii="Times New Roman" w:hAnsi="Times New Roman" w:cs="Times New Roman"/>
            <w:color w:val="156082" w:themeColor="accent1"/>
          </w:rPr>
          <w:delText xml:space="preserve"> for the total population</w:delText>
        </w:r>
      </w:del>
      <w:r w:rsidR="005409FF" w:rsidRPr="005409FF">
        <w:rPr>
          <w:rFonts w:ascii="Times New Roman" w:hAnsi="Times New Roman" w:cs="Times New Roman"/>
          <w:color w:val="156082" w:themeColor="accent1"/>
        </w:rPr>
        <w:t>.</w:t>
      </w:r>
      <w:ins w:id="10" w:author="Martin, Greta Katherine" w:date="2025-04-25T08:21:00Z" w16du:dateUtc="2025-04-25T12:21:00Z">
        <w:r w:rsidR="00C97CA0">
          <w:rPr>
            <w:rFonts w:ascii="Times New Roman" w:hAnsi="Times New Roman" w:cs="Times New Roman"/>
            <w:color w:val="156082" w:themeColor="accent1"/>
          </w:rPr>
          <w:t xml:space="preserve"> </w:t>
        </w:r>
      </w:ins>
      <w:ins w:id="11" w:author="Martin, Greta Katherine" w:date="2025-04-25T08:33:00Z" w16du:dateUtc="2025-04-25T12:33:00Z">
        <w:r w:rsidR="004C2D2B" w:rsidRPr="0060740B">
          <w:rPr>
            <w:rFonts w:ascii="Times New Roman" w:hAnsi="Times New Roman" w:cs="Times New Roman"/>
            <w:color w:val="156082" w:themeColor="accent1"/>
            <w:highlight w:val="yellow"/>
            <w:rPrChange w:id="12" w:author="Martin, Greta Katherine" w:date="2025-04-25T08:34:00Z" w16du:dateUtc="2025-04-25T12:34:00Z">
              <w:rPr>
                <w:rFonts w:ascii="Times New Roman" w:hAnsi="Times New Roman" w:cs="Times New Roman"/>
                <w:color w:val="156082" w:themeColor="accent1"/>
              </w:rPr>
            </w:rPrChange>
          </w:rPr>
          <w:t>Though children were not included in the Rojas-</w:t>
        </w:r>
      </w:ins>
      <w:ins w:id="13" w:author="Martin, Greta Katherine" w:date="2025-04-25T08:34:00Z" w16du:dateUtc="2025-04-25T12:34:00Z">
        <w:r w:rsidR="004C2D2B" w:rsidRPr="0060740B">
          <w:rPr>
            <w:rFonts w:ascii="Times New Roman" w:hAnsi="Times New Roman" w:cs="Times New Roman"/>
            <w:color w:val="156082" w:themeColor="accent1"/>
            <w:highlight w:val="yellow"/>
            <w:rPrChange w:id="14" w:author="Martin, Greta Katherine" w:date="2025-04-25T08:34:00Z" w16du:dateUtc="2025-04-25T12:34:00Z">
              <w:rPr>
                <w:rFonts w:ascii="Times New Roman" w:hAnsi="Times New Roman" w:cs="Times New Roman"/>
                <w:color w:val="156082" w:themeColor="accent1"/>
              </w:rPr>
            </w:rPrChange>
          </w:rPr>
          <w:t>Rueda et al. study,</w:t>
        </w:r>
        <w:r w:rsidR="004C2D2B">
          <w:rPr>
            <w:rFonts w:ascii="Times New Roman" w:hAnsi="Times New Roman" w:cs="Times New Roman"/>
            <w:color w:val="156082" w:themeColor="accent1"/>
          </w:rPr>
          <w:t xml:space="preserve"> </w:t>
        </w:r>
        <w:r w:rsidR="004C2D2B">
          <w:rPr>
            <w:rFonts w:ascii="Times New Roman" w:hAnsi="Times New Roman" w:cs="Times New Roman"/>
            <w:color w:val="156082" w:themeColor="accent1"/>
            <w:highlight w:val="yellow"/>
          </w:rPr>
          <w:t>o</w:t>
        </w:r>
      </w:ins>
      <w:ins w:id="15" w:author="Martin, Greta Katherine" w:date="2025-04-25T08:21:00Z" w16du:dateUtc="2025-04-25T12:21:00Z">
        <w:r w:rsidR="00C97CA0" w:rsidRPr="00C97CA0">
          <w:rPr>
            <w:rFonts w:ascii="Times New Roman" w:hAnsi="Times New Roman" w:cs="Times New Roman"/>
            <w:color w:val="156082" w:themeColor="accent1"/>
            <w:highlight w:val="yellow"/>
            <w:rPrChange w:id="16" w:author="Martin, Greta Katherine" w:date="2025-04-25T08:21:00Z" w16du:dateUtc="2025-04-25T12:21:00Z">
              <w:rPr>
                <w:rFonts w:ascii="Times New Roman" w:hAnsi="Times New Roman" w:cs="Times New Roman"/>
                <w:color w:val="156082" w:themeColor="accent1"/>
              </w:rPr>
            </w:rPrChange>
          </w:rPr>
          <w:t>ther systematic reviews and meta</w:t>
        </w:r>
      </w:ins>
      <w:ins w:id="17" w:author="Martin, Greta Katherine" w:date="2025-04-25T08:33:00Z" w16du:dateUtc="2025-04-25T12:33:00Z">
        <w:r w:rsidR="00800376">
          <w:rPr>
            <w:rFonts w:ascii="Times New Roman" w:hAnsi="Times New Roman" w:cs="Times New Roman"/>
            <w:color w:val="156082" w:themeColor="accent1"/>
            <w:highlight w:val="yellow"/>
          </w:rPr>
          <w:t>-</w:t>
        </w:r>
      </w:ins>
      <w:ins w:id="18" w:author="Martin, Greta Katherine" w:date="2025-04-25T08:21:00Z" w16du:dateUtc="2025-04-25T12:21:00Z">
        <w:r w:rsidR="00C97CA0" w:rsidRPr="00C97CA0">
          <w:rPr>
            <w:rFonts w:ascii="Times New Roman" w:hAnsi="Times New Roman" w:cs="Times New Roman"/>
            <w:color w:val="156082" w:themeColor="accent1"/>
            <w:highlight w:val="yellow"/>
            <w:rPrChange w:id="19" w:author="Martin, Greta Katherine" w:date="2025-04-25T08:21:00Z" w16du:dateUtc="2025-04-25T12:21:00Z">
              <w:rPr>
                <w:rFonts w:ascii="Times New Roman" w:hAnsi="Times New Roman" w:cs="Times New Roman"/>
                <w:color w:val="156082" w:themeColor="accent1"/>
              </w:rPr>
            </w:rPrChange>
          </w:rPr>
          <w:t>analyses have linked increase NDVI to increased physical activity, reduced asthma and respiratory disease, and xx.</w:t>
        </w:r>
      </w:ins>
      <w:r w:rsidR="005409FF" w:rsidRPr="00C97CA0">
        <w:rPr>
          <w:rFonts w:ascii="Times New Roman" w:hAnsi="Times New Roman" w:cs="Times New Roman"/>
          <w:color w:val="156082" w:themeColor="accent1"/>
          <w:highlight w:val="yellow"/>
          <w:rPrChange w:id="20" w:author="Martin, Greta Katherine" w:date="2025-04-25T08:21:00Z" w16du:dateUtc="2025-04-25T12:21:00Z">
            <w:rPr>
              <w:rFonts w:ascii="Times New Roman" w:hAnsi="Times New Roman" w:cs="Times New Roman"/>
              <w:color w:val="156082" w:themeColor="accent1"/>
            </w:rPr>
          </w:rPrChange>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6CE0FB6A" w:rsid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inclusive of 57 cities including 8 Canadian cities. For these reasons, the magnitude of the results is not directly comparable. Furthermore, we found that NDVI decreased over our study period, explaining the difference in sign of our results.</w:t>
      </w:r>
      <w:r w:rsidR="00DE4072">
        <w:rPr>
          <w:rFonts w:ascii="Times New Roman" w:hAnsi="Times New Roman" w:cs="Times New Roman"/>
          <w:color w:val="156082" w:themeColor="accent1"/>
        </w:rPr>
        <w:t>”</w:t>
      </w:r>
    </w:p>
    <w:p w14:paraId="6BAA1173" w14:textId="77777777" w:rsidR="00D9171F" w:rsidRPr="00D9171F" w:rsidRDefault="00D9171F" w:rsidP="00DE4072">
      <w:pPr>
        <w:rPr>
          <w:rFonts w:ascii="Times New Roman" w:hAnsi="Times New Roman" w:cs="Times New Roman"/>
          <w:color w:val="156082" w:themeColor="accent1"/>
        </w:rPr>
      </w:pPr>
    </w:p>
    <w:p w14:paraId="37DBF8BE" w14:textId="0E3FBE01"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lastRenderedPageBreak/>
        <w:t>“</w:t>
      </w:r>
      <w:r w:rsidR="006B0D4F" w:rsidRPr="006B0D4F">
        <w:rPr>
          <w:rFonts w:ascii="Times New Roman" w:hAnsi="Times New Roman" w:cs="Times New Roman"/>
          <w:color w:val="156082" w:themeColor="accent1"/>
        </w:rPr>
        <w:t>Though we included the total population rather than restricting to adults, European cities experienced both positive and negative changes in NDVI over the study period, resulting in health estimates that were smaller in magnitude than those found by Barboza et al.</w:t>
      </w:r>
      <w:r w:rsidR="00DE4072">
        <w:rPr>
          <w:rFonts w:ascii="Times New Roman" w:hAnsi="Times New Roman" w:cs="Times New Roman"/>
          <w:color w:val="156082" w:themeColor="accent1"/>
        </w:rPr>
        <w:t xml:space="preserve"> </w:t>
      </w:r>
      <w:r w:rsidR="00DE4072" w:rsidRPr="00DE4072">
        <w:rPr>
          <w:rFonts w:ascii="Times New Roman" w:hAnsi="Times New Roman" w:cs="Times New Roman"/>
          <w:color w:val="156082" w:themeColor="accent1"/>
        </w:rPr>
        <w:t>Our use of total population may overestimate the health benefits of increased greenspace and health losses from decreases.</w:t>
      </w:r>
      <w:r w:rsidR="006B0D4F">
        <w:rPr>
          <w:rFonts w:ascii="Times New Roman" w:hAnsi="Times New Roman" w:cs="Times New Roman"/>
          <w:color w:val="156082" w:themeColor="accent1"/>
        </w:rPr>
        <w:t>”</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8C7D67" w:rsidRDefault="00EB5FDE" w:rsidP="00EB5FDE">
      <w:pPr>
        <w:pStyle w:val="ListParagraph"/>
        <w:numPr>
          <w:ilvl w:val="0"/>
          <w:numId w:val="1"/>
        </w:numPr>
        <w:rPr>
          <w:rFonts w:ascii="Times New Roman" w:hAnsi="Times New Roman" w:cs="Times New Roman"/>
        </w:rPr>
      </w:pPr>
      <w:r w:rsidRPr="008C7D67">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682232E0" w14:textId="77777777" w:rsidR="003E5C21"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3E5C21">
        <w:rPr>
          <w:rFonts w:ascii="Times New Roman" w:hAnsi="Times New Roman" w:cs="Times New Roman"/>
          <w:color w:val="156082" w:themeColor="accent1"/>
        </w:rPr>
        <w:t>In response to your comment, w</w:t>
      </w:r>
      <w:r>
        <w:rPr>
          <w:rFonts w:ascii="Times New Roman" w:hAnsi="Times New Roman" w:cs="Times New Roman"/>
          <w:color w:val="156082" w:themeColor="accent1"/>
        </w:rPr>
        <w:t xml:space="preserve">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w:t>
      </w:r>
      <w:r w:rsidR="003E5C21">
        <w:rPr>
          <w:rFonts w:ascii="Times New Roman" w:hAnsi="Times New Roman" w:cs="Times New Roman"/>
          <w:color w:val="156082" w:themeColor="accent1"/>
        </w:rPr>
        <w:t xml:space="preserve"> and </w:t>
      </w:r>
      <w:r>
        <w:rPr>
          <w:rFonts w:ascii="Times New Roman" w:hAnsi="Times New Roman" w:cs="Times New Roman"/>
          <w:color w:val="156082" w:themeColor="accent1"/>
        </w:rPr>
        <w:t>NDVI</w:t>
      </w:r>
      <w:r w:rsidR="003E5C21">
        <w:rPr>
          <w:rFonts w:ascii="Times New Roman" w:hAnsi="Times New Roman" w:cs="Times New Roman"/>
          <w:color w:val="156082" w:themeColor="accent1"/>
        </w:rPr>
        <w:t>:</w:t>
      </w:r>
    </w:p>
    <w:p w14:paraId="30FE54FA" w14:textId="77777777" w:rsidR="003E5C21" w:rsidRDefault="003E5C21" w:rsidP="002F0B55">
      <w:pPr>
        <w:ind w:left="720"/>
        <w:rPr>
          <w:rFonts w:ascii="Times New Roman" w:hAnsi="Times New Roman" w:cs="Times New Roman"/>
          <w:color w:val="156082" w:themeColor="accent1"/>
        </w:rPr>
      </w:pPr>
    </w:p>
    <w:p w14:paraId="25A685E0" w14:textId="249DCC8B" w:rsidR="003E5C21" w:rsidRPr="003E5C21" w:rsidRDefault="003E5C21" w:rsidP="003E5C21">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E5C21">
        <w:rPr>
          <w:rFonts w:ascii="Times New Roman" w:hAnsi="Times New Roman" w:cs="Times New Roman"/>
          <w:color w:val="156082" w:themeColor="accent1"/>
        </w:rPr>
        <w:t xml:space="preserve">To explore the contribution of urbanization to changes in NDVI over time, we looked at the correlation between the proportion of a city that is urban or </w:t>
      </w:r>
      <w:proofErr w:type="gramStart"/>
      <w:r w:rsidRPr="003E5C21">
        <w:rPr>
          <w:rFonts w:ascii="Times New Roman" w:hAnsi="Times New Roman" w:cs="Times New Roman"/>
          <w:color w:val="156082" w:themeColor="accent1"/>
        </w:rPr>
        <w:t>built up</w:t>
      </w:r>
      <w:proofErr w:type="gramEnd"/>
      <w:r w:rsidRPr="003E5C21">
        <w:rPr>
          <w:rFonts w:ascii="Times New Roman" w:hAnsi="Times New Roman" w:cs="Times New Roman"/>
          <w:color w:val="156082" w:themeColor="accent1"/>
        </w:rPr>
        <w:t xml:space="preserve"> area and the corresponding NDVI value for each year in our study period (2014-2023)</w:t>
      </w:r>
      <w:r w:rsidR="00436B11">
        <w:rPr>
          <w:rFonts w:ascii="Times New Roman" w:hAnsi="Times New Roman" w:cs="Times New Roman"/>
          <w:color w:val="156082" w:themeColor="accent1"/>
        </w:rPr>
        <w:t xml:space="preserve"> (Fig. S7)</w:t>
      </w:r>
      <w:r w:rsidRPr="003E5C21">
        <w:rPr>
          <w:rFonts w:ascii="Times New Roman" w:hAnsi="Times New Roman" w:cs="Times New Roman"/>
          <w:color w:val="156082" w:themeColor="accent1"/>
        </w:rPr>
        <w:t xml:space="preserve">. We derived the urban fraction from NASA’s MODIS landcover dataset, available at a 500m resolution and accessed through Google Earth Engine. We used the University of Maryland’s classification system (‘LC_Type2’) and used pixels designated as “Urban and Built-up Lands: at least 30% impervious surface area including building materials, asphalt and vehicles” to define the urban fraction. We found a weak negative correlation between NDVI and the urban fraction (-0.312), indicating that greener cities generally have smaller fractions of urban or built-up land. While NDVI and urban fraction were </w:t>
      </w:r>
      <w:r w:rsidRPr="003E5C21">
        <w:rPr>
          <w:rFonts w:ascii="Times New Roman" w:hAnsi="Times New Roman" w:cs="Times New Roman"/>
          <w:color w:val="156082" w:themeColor="accent1"/>
        </w:rPr>
        <w:lastRenderedPageBreak/>
        <w:t xml:space="preserve">weakly correlated, we found no evidence of correlation between urban fraction and year (0.025), indicating that urbanization </w:t>
      </w:r>
      <w:r w:rsidR="003444B4">
        <w:rPr>
          <w:rFonts w:ascii="Times New Roman" w:hAnsi="Times New Roman" w:cs="Times New Roman"/>
          <w:color w:val="156082" w:themeColor="accent1"/>
        </w:rPr>
        <w:t xml:space="preserve">may </w:t>
      </w:r>
      <w:r w:rsidRPr="003E5C21">
        <w:rPr>
          <w:rFonts w:ascii="Times New Roman" w:hAnsi="Times New Roman" w:cs="Times New Roman"/>
          <w:color w:val="156082" w:themeColor="accent1"/>
        </w:rPr>
        <w:t>not</w:t>
      </w:r>
      <w:r w:rsidR="003444B4">
        <w:rPr>
          <w:rFonts w:ascii="Times New Roman" w:hAnsi="Times New Roman" w:cs="Times New Roman"/>
          <w:color w:val="156082" w:themeColor="accent1"/>
        </w:rPr>
        <w:t xml:space="preserve"> be</w:t>
      </w:r>
      <w:r w:rsidRPr="003E5C21">
        <w:rPr>
          <w:rFonts w:ascii="Times New Roman" w:hAnsi="Times New Roman" w:cs="Times New Roman"/>
          <w:color w:val="156082" w:themeColor="accent1"/>
        </w:rPr>
        <w:t xml:space="preserve"> a large contributor to changes in NDVI over the study period across </w:t>
      </w:r>
      <w:proofErr w:type="gramStart"/>
      <w:r w:rsidRPr="003E5C21">
        <w:rPr>
          <w:rFonts w:ascii="Times New Roman" w:hAnsi="Times New Roman" w:cs="Times New Roman"/>
          <w:color w:val="156082" w:themeColor="accent1"/>
        </w:rPr>
        <w:t>cities as a whole</w:t>
      </w:r>
      <w:proofErr w:type="gramEnd"/>
      <w:r w:rsidR="00436B11">
        <w:rPr>
          <w:rFonts w:ascii="Times New Roman" w:hAnsi="Times New Roman" w:cs="Times New Roman"/>
          <w:color w:val="156082" w:themeColor="accent1"/>
        </w:rPr>
        <w:t xml:space="preserve"> (Fig. S8)</w:t>
      </w:r>
      <w:r w:rsidRPr="003E5C21">
        <w:rPr>
          <w:rFonts w:ascii="Times New Roman" w:hAnsi="Times New Roman" w:cs="Times New Roman"/>
          <w:color w:val="156082" w:themeColor="accent1"/>
        </w:rPr>
        <w:t>. There is a mismatch in the spatial scale between our measurement of NDVI (100m) and the urban fraction (500m), which could also be contributing to the weak correlation that we observed.</w:t>
      </w:r>
      <w:r>
        <w:rPr>
          <w:rFonts w:ascii="Times New Roman" w:hAnsi="Times New Roman" w:cs="Times New Roman"/>
          <w:color w:val="156082" w:themeColor="accent1"/>
        </w:rPr>
        <w:t>”</w:t>
      </w:r>
    </w:p>
    <w:p w14:paraId="0874C37E" w14:textId="006A9854" w:rsidR="003573E7" w:rsidRPr="002F0B55" w:rsidRDefault="003573E7" w:rsidP="002F0B55">
      <w:pPr>
        <w:ind w:left="720"/>
        <w:rPr>
          <w:rFonts w:ascii="Times New Roman" w:hAnsi="Times New Roman" w:cs="Times New Roman"/>
          <w:color w:val="156082" w:themeColor="accent1"/>
        </w:rPr>
      </w:pP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“Health impact assessments of NDVI and all-cause mortality have largely been conducted in European and North American cities, where we found NDVI was </w:t>
      </w:r>
      <w:r w:rsidRPr="002F6FA7">
        <w:rPr>
          <w:rFonts w:ascii="Times New Roman" w:hAnsi="Times New Roman" w:cs="Times New Roman"/>
          <w:color w:val="156082" w:themeColor="accent1"/>
        </w:rPr>
        <w:lastRenderedPageBreak/>
        <w:t xml:space="preserve">generally higher and more stable. Our results highlight large heterogeneity in urban greenspace extent and variability across global cities and the importance of characterizing the relationship between health and NDVI in more diverse contexts.”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An explicit expression for that should be provided. Also, it is not clear which spatial resolution NDVI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climate classification.”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“Eastern Asia had a median reduction of 4.72 (IQR: 0.13, 8.52) annual premature deaths per 100,000 population…”</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Line 319: this section is confusing. What does a median change in mortality of 0.01 fewer means?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 NDVI-associated mortality changes by climate classification. Arid cities had stable NDVI values over time, and this was reflected in the median associated changes in mortality, which was very close to zero at 0.01 fewer deaths per 100,000 (range: 12.90 fewer to 12.14 more) (Fig. 5B).”</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and also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487E88C"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 increases in NDVI across the time periods and more associated deaths in areas where NDVI decreased (Fig. 5A). The range in associated mortality from greenspace changes spanned fewer to more deaths, reflecting that there were cities across all regions that experienced both increases and decreases in NDVI.”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“Changes in city-level mortality per 100,000 population associated with changes in average population-weighted peak season Normalized Difference Vegetation Index (NDVI) from 2014-2018 to 2019-2023 to the 2020 population, by geographical region (panel A) and climate classification (panel B).”</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FD3172" w:rsidRDefault="00EB5FDE" w:rsidP="004567F1">
      <w:pPr>
        <w:pStyle w:val="ListParagraph"/>
        <w:numPr>
          <w:ilvl w:val="1"/>
          <w:numId w:val="5"/>
        </w:numPr>
        <w:rPr>
          <w:rFonts w:ascii="Times New Roman" w:hAnsi="Times New Roman" w:cs="Times New Roman"/>
        </w:rPr>
      </w:pPr>
      <w:r w:rsidRPr="00FD3172">
        <w:rPr>
          <w:rFonts w:ascii="Times New Roman" w:hAnsi="Times New Roman" w:cs="Times New Roman"/>
        </w:rPr>
        <w:t>Line 385: the impact on individual cities would be very relevant to be discussed and possibly compared with cities in the same region that do not experience such changes.</w:t>
      </w:r>
    </w:p>
    <w:p w14:paraId="156D6229" w14:textId="77777777" w:rsidR="00150438" w:rsidRDefault="00150438" w:rsidP="00150438">
      <w:pPr>
        <w:pStyle w:val="ListParagraph"/>
        <w:rPr>
          <w:rFonts w:ascii="Times New Roman" w:hAnsi="Times New Roman" w:cs="Times New Roman"/>
        </w:rPr>
      </w:pPr>
    </w:p>
    <w:p w14:paraId="6DDDE817" w14:textId="3D70CDC1" w:rsidR="00150438" w:rsidRPr="00150438" w:rsidRDefault="00150438" w:rsidP="00150438">
      <w:pPr>
        <w:pStyle w:val="ListParagraph"/>
        <w:rPr>
          <w:rFonts w:ascii="Times New Roman" w:hAnsi="Times New Roman" w:cs="Times New Roman"/>
          <w:color w:val="156082" w:themeColor="accent1"/>
        </w:rPr>
      </w:pPr>
      <w:r w:rsidRPr="00150438">
        <w:rPr>
          <w:rFonts w:ascii="Times New Roman" w:hAnsi="Times New Roman" w:cs="Times New Roman"/>
          <w:color w:val="156082" w:themeColor="accent1"/>
        </w:rPr>
        <w:t>Thank you for your comment. In response to your suggestion, we have added text to the results section, highlighting regional outliers in greenspace change:</w:t>
      </w:r>
    </w:p>
    <w:p w14:paraId="220D84C4" w14:textId="77777777" w:rsidR="00150438" w:rsidRPr="00150438" w:rsidRDefault="00150438" w:rsidP="00150438">
      <w:pPr>
        <w:pStyle w:val="ListParagraph"/>
        <w:rPr>
          <w:rFonts w:ascii="Times New Roman" w:hAnsi="Times New Roman" w:cs="Times New Roman"/>
          <w:color w:val="156082" w:themeColor="accent1"/>
        </w:rPr>
      </w:pPr>
    </w:p>
    <w:p w14:paraId="41157E38" w14:textId="642CFF7F" w:rsidR="003933D2" w:rsidRPr="00150438" w:rsidRDefault="00150438" w:rsidP="00150438">
      <w:pPr>
        <w:pStyle w:val="ListParagraph"/>
        <w:ind w:left="1440"/>
        <w:rPr>
          <w:rFonts w:ascii="Times New Roman" w:hAnsi="Times New Roman" w:cs="Times New Roman"/>
          <w:color w:val="156082" w:themeColor="accent1"/>
        </w:rPr>
      </w:pPr>
      <w:r w:rsidRPr="00150438">
        <w:rPr>
          <w:rFonts w:ascii="Times New Roman" w:hAnsi="Times New Roman" w:cs="Times New Roman"/>
          <w:color w:val="156082" w:themeColor="accent1"/>
        </w:rPr>
        <w:t xml:space="preserve">“There were many outlier cities across several regions. Five Venezuelan cities: Barcelona, Maturin, Barquisimeto, Maracay, and Valencia had increases in NDVI across the two periods despite a general decline in urban greenspace across Latin America and the Caribbean. </w:t>
      </w:r>
      <w:proofErr w:type="spellStart"/>
      <w:r w:rsidRPr="00150438">
        <w:rPr>
          <w:rFonts w:ascii="Times New Roman" w:hAnsi="Times New Roman" w:cs="Times New Roman"/>
          <w:color w:val="156082" w:themeColor="accent1"/>
        </w:rPr>
        <w:t>Buram</w:t>
      </w:r>
      <w:proofErr w:type="spellEnd"/>
      <w:r w:rsidRPr="00150438">
        <w:rPr>
          <w:rFonts w:ascii="Times New Roman" w:hAnsi="Times New Roman" w:cs="Times New Roman"/>
          <w:color w:val="156082" w:themeColor="accent1"/>
        </w:rPr>
        <w:t xml:space="preserve">, Sudan and Gonda, India were also positive greenspace outliers in the Northern Africa and Southern Asia regions, respectively. In contrast, many cities were negative greenspace outliers in their regions including Auckland, New Zealand; San Antonio and Providence, United States; </w:t>
      </w:r>
      <w:proofErr w:type="spellStart"/>
      <w:r w:rsidRPr="00150438">
        <w:rPr>
          <w:rFonts w:ascii="Times New Roman" w:hAnsi="Times New Roman" w:cs="Times New Roman"/>
          <w:color w:val="156082" w:themeColor="accent1"/>
        </w:rPr>
        <w:t>Mataram</w:t>
      </w:r>
      <w:proofErr w:type="spellEnd"/>
      <w:r w:rsidRPr="00150438">
        <w:rPr>
          <w:rFonts w:ascii="Times New Roman" w:hAnsi="Times New Roman" w:cs="Times New Roman"/>
          <w:color w:val="156082" w:themeColor="accent1"/>
        </w:rPr>
        <w:t xml:space="preserve">, Indonesia; Lakhimpur, India; </w:t>
      </w:r>
      <w:proofErr w:type="spellStart"/>
      <w:r w:rsidRPr="00150438">
        <w:rPr>
          <w:rFonts w:ascii="Times New Roman" w:hAnsi="Times New Roman" w:cs="Times New Roman"/>
          <w:color w:val="156082" w:themeColor="accent1"/>
        </w:rPr>
        <w:t>Drachevo</w:t>
      </w:r>
      <w:proofErr w:type="spellEnd"/>
      <w:r w:rsidRPr="00150438">
        <w:rPr>
          <w:rFonts w:ascii="Times New Roman" w:hAnsi="Times New Roman" w:cs="Times New Roman"/>
          <w:color w:val="156082" w:themeColor="accent1"/>
        </w:rPr>
        <w:t xml:space="preserve">, Macedonia; and Dortmund and Wuppertal, Germany. There is likely a mix of driving factors contributing to each of these cities’ greenspace changes. Some of the negative outliers such as Auckland, San Antonio, </w:t>
      </w:r>
      <w:proofErr w:type="spellStart"/>
      <w:r w:rsidRPr="00150438">
        <w:rPr>
          <w:rFonts w:ascii="Times New Roman" w:hAnsi="Times New Roman" w:cs="Times New Roman"/>
          <w:color w:val="156082" w:themeColor="accent1"/>
        </w:rPr>
        <w:t>Mataram</w:t>
      </w:r>
      <w:proofErr w:type="spellEnd"/>
      <w:r w:rsidRPr="00150438">
        <w:rPr>
          <w:rFonts w:ascii="Times New Roman" w:hAnsi="Times New Roman" w:cs="Times New Roman"/>
          <w:color w:val="156082" w:themeColor="accent1"/>
        </w:rPr>
        <w:t xml:space="preserve">, </w:t>
      </w:r>
      <w:proofErr w:type="spellStart"/>
      <w:r w:rsidRPr="00150438">
        <w:rPr>
          <w:rFonts w:ascii="Times New Roman" w:hAnsi="Times New Roman" w:cs="Times New Roman"/>
          <w:color w:val="156082" w:themeColor="accent1"/>
        </w:rPr>
        <w:t>Lakhimpu</w:t>
      </w:r>
      <w:proofErr w:type="spellEnd"/>
      <w:r w:rsidRPr="00150438">
        <w:rPr>
          <w:rFonts w:ascii="Times New Roman" w:hAnsi="Times New Roman" w:cs="Times New Roman"/>
          <w:color w:val="156082" w:themeColor="accent1"/>
        </w:rPr>
        <w:t xml:space="preserve">, and </w:t>
      </w:r>
      <w:proofErr w:type="spellStart"/>
      <w:r w:rsidRPr="00150438">
        <w:rPr>
          <w:rFonts w:ascii="Times New Roman" w:hAnsi="Times New Roman" w:cs="Times New Roman"/>
          <w:color w:val="156082" w:themeColor="accent1"/>
        </w:rPr>
        <w:t>Drachevo</w:t>
      </w:r>
      <w:proofErr w:type="spellEnd"/>
      <w:r w:rsidRPr="00150438">
        <w:rPr>
          <w:rFonts w:ascii="Times New Roman" w:hAnsi="Times New Roman" w:cs="Times New Roman"/>
          <w:color w:val="156082" w:themeColor="accent1"/>
        </w:rPr>
        <w:t xml:space="preserve"> have experienced urbanization over the past decade that may be contributing to their decline in greenspaces. Other cities situated near one another such as the five cities of northern Venezuela and the two German cities likely have experienced similar temperature and rainfall changes due to weather and climate change.”  </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lastRenderedPageBreak/>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 xml:space="preserve">“Furthermore, the timescale on which exposure to higher levels of NDVI improves health is unknown. The studies included in the meta-analysis range in follow-up time from four to 18 years. If the changes in NDVI across the two time periods do not reflect true trends </w:t>
      </w:r>
      <w:r w:rsidRPr="00D673CF">
        <w:rPr>
          <w:rFonts w:ascii="Times New Roman" w:hAnsi="Times New Roman" w:cs="Times New Roman"/>
          <w:color w:val="156082" w:themeColor="accent1"/>
        </w:rPr>
        <w:lastRenderedPageBreak/>
        <w:t>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7"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33A676A6"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w:t>
      </w:r>
      <w:r w:rsidR="00F5507D">
        <w:rPr>
          <w:rFonts w:ascii="Times New Roman" w:hAnsi="Times New Roman" w:cs="Times New Roman"/>
          <w:color w:val="156082" w:themeColor="accent1"/>
        </w:rPr>
        <w:lastRenderedPageBreak/>
        <w:t xml:space="preserve">(2017),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“Following the methods used by many of the studies included in the meta-analysis of greenspace and mortality that we use for our health impact assessment,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lot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43E139F0"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4. It would be a nice addition to provide absolute figures in the results, i.e. in this set of cities, how many deaths have been lost/averted due to NDVI changes? At the moment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29001CD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Sub-Saharan Africa has the greatest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2EB18978" w14:textId="77777777" w:rsidR="007F194C" w:rsidRDefault="007F194C" w:rsidP="003839D4">
      <w:pPr>
        <w:ind w:left="720"/>
        <w:rPr>
          <w:rFonts w:ascii="Times New Roman" w:hAnsi="Times New Roman" w:cs="Times New Roman"/>
          <w:color w:val="156082" w:themeColor="accent1"/>
        </w:rPr>
      </w:pPr>
    </w:p>
    <w:p w14:paraId="583C5C84" w14:textId="68A3AEB3"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lastRenderedPageBreak/>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- 112: "Joint Research Commission" is actually the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3EBF8" w14:textId="77777777" w:rsidR="00F05286" w:rsidRDefault="00F05286" w:rsidP="003E5C21">
      <w:r>
        <w:separator/>
      </w:r>
    </w:p>
  </w:endnote>
  <w:endnote w:type="continuationSeparator" w:id="0">
    <w:p w14:paraId="2284724C" w14:textId="77777777" w:rsidR="00F05286" w:rsidRDefault="00F05286" w:rsidP="003E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B4D88" w14:textId="77777777" w:rsidR="00F05286" w:rsidRDefault="00F05286" w:rsidP="003E5C21">
      <w:r>
        <w:separator/>
      </w:r>
    </w:p>
  </w:footnote>
  <w:footnote w:type="continuationSeparator" w:id="0">
    <w:p w14:paraId="7C415A66" w14:textId="77777777" w:rsidR="00F05286" w:rsidRDefault="00F05286" w:rsidP="003E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85494">
    <w:abstractNumId w:val="1"/>
  </w:num>
  <w:num w:numId="2" w16cid:durableId="1692494193">
    <w:abstractNumId w:val="2"/>
  </w:num>
  <w:num w:numId="3" w16cid:durableId="2131892467">
    <w:abstractNumId w:val="4"/>
  </w:num>
  <w:num w:numId="4" w16cid:durableId="2069306929">
    <w:abstractNumId w:val="3"/>
  </w:num>
  <w:num w:numId="5" w16cid:durableId="248542458">
    <w:abstractNumId w:val="0"/>
  </w:num>
  <w:num w:numId="6" w16cid:durableId="9112790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Greta Katherine">
    <w15:presenceInfo w15:providerId="AD" w15:userId="S::gretam@gwu.edu::693602ef-7d81-41bb-a23e-17f4d1452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75A9B"/>
    <w:rsid w:val="00092AEA"/>
    <w:rsid w:val="000B3A77"/>
    <w:rsid w:val="000B6786"/>
    <w:rsid w:val="000D1BCB"/>
    <w:rsid w:val="000D4B2C"/>
    <w:rsid w:val="0011382F"/>
    <w:rsid w:val="00120DE0"/>
    <w:rsid w:val="00127E40"/>
    <w:rsid w:val="00137756"/>
    <w:rsid w:val="001412AD"/>
    <w:rsid w:val="00147428"/>
    <w:rsid w:val="00150438"/>
    <w:rsid w:val="0017376A"/>
    <w:rsid w:val="0020576C"/>
    <w:rsid w:val="00207DC2"/>
    <w:rsid w:val="00213314"/>
    <w:rsid w:val="00215A8E"/>
    <w:rsid w:val="00235FB4"/>
    <w:rsid w:val="00264DD6"/>
    <w:rsid w:val="00265C6D"/>
    <w:rsid w:val="00291490"/>
    <w:rsid w:val="00292FF9"/>
    <w:rsid w:val="002957F2"/>
    <w:rsid w:val="00297B81"/>
    <w:rsid w:val="002D2B78"/>
    <w:rsid w:val="002F0B55"/>
    <w:rsid w:val="002F6FA7"/>
    <w:rsid w:val="00331E89"/>
    <w:rsid w:val="00342FBA"/>
    <w:rsid w:val="003444B4"/>
    <w:rsid w:val="00345FB5"/>
    <w:rsid w:val="003573E7"/>
    <w:rsid w:val="00364E74"/>
    <w:rsid w:val="00381F18"/>
    <w:rsid w:val="003839D4"/>
    <w:rsid w:val="003933D2"/>
    <w:rsid w:val="003955E0"/>
    <w:rsid w:val="003B32CD"/>
    <w:rsid w:val="003D60F5"/>
    <w:rsid w:val="003E586B"/>
    <w:rsid w:val="003E5C21"/>
    <w:rsid w:val="003E6F43"/>
    <w:rsid w:val="003F45D6"/>
    <w:rsid w:val="004016F1"/>
    <w:rsid w:val="00411781"/>
    <w:rsid w:val="00420118"/>
    <w:rsid w:val="00434E40"/>
    <w:rsid w:val="00436B11"/>
    <w:rsid w:val="004567F1"/>
    <w:rsid w:val="00462D50"/>
    <w:rsid w:val="004715AB"/>
    <w:rsid w:val="004926D4"/>
    <w:rsid w:val="00497C9E"/>
    <w:rsid w:val="004C2D2B"/>
    <w:rsid w:val="004C6F1A"/>
    <w:rsid w:val="004F111A"/>
    <w:rsid w:val="005409FF"/>
    <w:rsid w:val="00572679"/>
    <w:rsid w:val="00577674"/>
    <w:rsid w:val="00585B84"/>
    <w:rsid w:val="005917AC"/>
    <w:rsid w:val="005A1336"/>
    <w:rsid w:val="005C7693"/>
    <w:rsid w:val="005D6127"/>
    <w:rsid w:val="005D757E"/>
    <w:rsid w:val="005E6E36"/>
    <w:rsid w:val="005F5839"/>
    <w:rsid w:val="0060740B"/>
    <w:rsid w:val="006104A1"/>
    <w:rsid w:val="006263C5"/>
    <w:rsid w:val="00631A4B"/>
    <w:rsid w:val="006777AE"/>
    <w:rsid w:val="00683741"/>
    <w:rsid w:val="0069779C"/>
    <w:rsid w:val="006B0D4F"/>
    <w:rsid w:val="006B1379"/>
    <w:rsid w:val="006C4BB0"/>
    <w:rsid w:val="006D2075"/>
    <w:rsid w:val="006E4AE7"/>
    <w:rsid w:val="006F1C8A"/>
    <w:rsid w:val="006F2886"/>
    <w:rsid w:val="0071262A"/>
    <w:rsid w:val="00747B7B"/>
    <w:rsid w:val="00751F29"/>
    <w:rsid w:val="00752059"/>
    <w:rsid w:val="00754AC6"/>
    <w:rsid w:val="007654FD"/>
    <w:rsid w:val="0076720C"/>
    <w:rsid w:val="007D1D74"/>
    <w:rsid w:val="007E5812"/>
    <w:rsid w:val="007F194C"/>
    <w:rsid w:val="00800376"/>
    <w:rsid w:val="0080532A"/>
    <w:rsid w:val="008235EC"/>
    <w:rsid w:val="008603CC"/>
    <w:rsid w:val="00876BAE"/>
    <w:rsid w:val="00886838"/>
    <w:rsid w:val="0089332E"/>
    <w:rsid w:val="00893912"/>
    <w:rsid w:val="008B30C2"/>
    <w:rsid w:val="008C0EBA"/>
    <w:rsid w:val="008C7D67"/>
    <w:rsid w:val="008D4A14"/>
    <w:rsid w:val="008F30E2"/>
    <w:rsid w:val="008F73D6"/>
    <w:rsid w:val="009049F5"/>
    <w:rsid w:val="009229EC"/>
    <w:rsid w:val="00935FF5"/>
    <w:rsid w:val="0093766D"/>
    <w:rsid w:val="00944096"/>
    <w:rsid w:val="00961FAB"/>
    <w:rsid w:val="00962991"/>
    <w:rsid w:val="009737E9"/>
    <w:rsid w:val="00985C7A"/>
    <w:rsid w:val="009863C8"/>
    <w:rsid w:val="00994F5A"/>
    <w:rsid w:val="009C309C"/>
    <w:rsid w:val="009C35DC"/>
    <w:rsid w:val="009E7A76"/>
    <w:rsid w:val="00A000A3"/>
    <w:rsid w:val="00A0044B"/>
    <w:rsid w:val="00A141AD"/>
    <w:rsid w:val="00A20E6E"/>
    <w:rsid w:val="00A239A7"/>
    <w:rsid w:val="00A30749"/>
    <w:rsid w:val="00A501A2"/>
    <w:rsid w:val="00A56EFF"/>
    <w:rsid w:val="00A64264"/>
    <w:rsid w:val="00A76128"/>
    <w:rsid w:val="00A84835"/>
    <w:rsid w:val="00A84DCE"/>
    <w:rsid w:val="00A9109F"/>
    <w:rsid w:val="00AC14AD"/>
    <w:rsid w:val="00AC3932"/>
    <w:rsid w:val="00AF406A"/>
    <w:rsid w:val="00B0510B"/>
    <w:rsid w:val="00B11538"/>
    <w:rsid w:val="00B32BB1"/>
    <w:rsid w:val="00B65877"/>
    <w:rsid w:val="00B66A9C"/>
    <w:rsid w:val="00B72B4B"/>
    <w:rsid w:val="00B741F8"/>
    <w:rsid w:val="00BA3DCC"/>
    <w:rsid w:val="00BB7C39"/>
    <w:rsid w:val="00BC2650"/>
    <w:rsid w:val="00BE09E6"/>
    <w:rsid w:val="00BE19BC"/>
    <w:rsid w:val="00C17745"/>
    <w:rsid w:val="00C21B4C"/>
    <w:rsid w:val="00C25BBF"/>
    <w:rsid w:val="00C351E5"/>
    <w:rsid w:val="00C402D7"/>
    <w:rsid w:val="00C4046C"/>
    <w:rsid w:val="00C550DE"/>
    <w:rsid w:val="00C75B6B"/>
    <w:rsid w:val="00C97CA0"/>
    <w:rsid w:val="00CB0A2C"/>
    <w:rsid w:val="00CC49A7"/>
    <w:rsid w:val="00CD6360"/>
    <w:rsid w:val="00CF3EB1"/>
    <w:rsid w:val="00D11967"/>
    <w:rsid w:val="00D15A3B"/>
    <w:rsid w:val="00D1788F"/>
    <w:rsid w:val="00D35DF9"/>
    <w:rsid w:val="00D545A5"/>
    <w:rsid w:val="00D673CF"/>
    <w:rsid w:val="00D75E67"/>
    <w:rsid w:val="00D76458"/>
    <w:rsid w:val="00D85701"/>
    <w:rsid w:val="00D9171F"/>
    <w:rsid w:val="00D91AC6"/>
    <w:rsid w:val="00DA39FB"/>
    <w:rsid w:val="00DE4072"/>
    <w:rsid w:val="00DE6BB0"/>
    <w:rsid w:val="00E0418F"/>
    <w:rsid w:val="00E40911"/>
    <w:rsid w:val="00E52AB5"/>
    <w:rsid w:val="00E733C0"/>
    <w:rsid w:val="00E9089E"/>
    <w:rsid w:val="00EA2FEF"/>
    <w:rsid w:val="00EB5FDE"/>
    <w:rsid w:val="00ED63E8"/>
    <w:rsid w:val="00EE269A"/>
    <w:rsid w:val="00F05286"/>
    <w:rsid w:val="00F16E11"/>
    <w:rsid w:val="00F2699E"/>
    <w:rsid w:val="00F32972"/>
    <w:rsid w:val="00F4087A"/>
    <w:rsid w:val="00F46C55"/>
    <w:rsid w:val="00F51A45"/>
    <w:rsid w:val="00F5507D"/>
    <w:rsid w:val="00F72D42"/>
    <w:rsid w:val="00F85465"/>
    <w:rsid w:val="00F85757"/>
    <w:rsid w:val="00F85E27"/>
    <w:rsid w:val="00FA2204"/>
    <w:rsid w:val="00FA64FB"/>
    <w:rsid w:val="00FB27B4"/>
    <w:rsid w:val="00FC39FF"/>
    <w:rsid w:val="00FD0291"/>
    <w:rsid w:val="00FD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 w:type="paragraph" w:styleId="FootnoteText">
    <w:name w:val="footnote text"/>
    <w:basedOn w:val="Normal"/>
    <w:link w:val="FootnoteTextChar"/>
    <w:uiPriority w:val="99"/>
    <w:semiHidden/>
    <w:unhideWhenUsed/>
    <w:rsid w:val="003E5C2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E5C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E5C21"/>
    <w:rPr>
      <w:vertAlign w:val="superscript"/>
    </w:rPr>
  </w:style>
  <w:style w:type="paragraph" w:styleId="Header">
    <w:name w:val="header"/>
    <w:basedOn w:val="Normal"/>
    <w:link w:val="HeaderChar"/>
    <w:uiPriority w:val="99"/>
    <w:unhideWhenUsed/>
    <w:rsid w:val="006B0D4F"/>
    <w:pPr>
      <w:tabs>
        <w:tab w:val="center" w:pos="4680"/>
        <w:tab w:val="right" w:pos="9360"/>
      </w:tabs>
    </w:pPr>
  </w:style>
  <w:style w:type="character" w:customStyle="1" w:styleId="HeaderChar">
    <w:name w:val="Header Char"/>
    <w:basedOn w:val="DefaultParagraphFont"/>
    <w:link w:val="Header"/>
    <w:uiPriority w:val="99"/>
    <w:rsid w:val="006B0D4F"/>
  </w:style>
  <w:style w:type="paragraph" w:styleId="Footer">
    <w:name w:val="footer"/>
    <w:basedOn w:val="Normal"/>
    <w:link w:val="FooterChar"/>
    <w:uiPriority w:val="99"/>
    <w:unhideWhenUsed/>
    <w:rsid w:val="006B0D4F"/>
    <w:pPr>
      <w:tabs>
        <w:tab w:val="center" w:pos="4680"/>
        <w:tab w:val="right" w:pos="9360"/>
      </w:tabs>
    </w:pPr>
  </w:style>
  <w:style w:type="character" w:customStyle="1" w:styleId="FooterChar">
    <w:name w:val="Footer Char"/>
    <w:basedOn w:val="DefaultParagraphFont"/>
    <w:link w:val="Footer"/>
    <w:uiPriority w:val="99"/>
    <w:rsid w:val="006B0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971715544">
      <w:bodyDiv w:val="1"/>
      <w:marLeft w:val="0"/>
      <w:marRight w:val="0"/>
      <w:marTop w:val="0"/>
      <w:marBottom w:val="0"/>
      <w:divBdr>
        <w:top w:val="none" w:sz="0" w:space="0" w:color="auto"/>
        <w:left w:val="none" w:sz="0" w:space="0" w:color="auto"/>
        <w:bottom w:val="none" w:sz="0" w:space="0" w:color="auto"/>
        <w:right w:val="none" w:sz="0" w:space="0" w:color="auto"/>
      </w:divBdr>
      <w:divsChild>
        <w:div w:id="509149330">
          <w:marLeft w:val="0"/>
          <w:marRight w:val="0"/>
          <w:marTop w:val="0"/>
          <w:marBottom w:val="0"/>
          <w:divBdr>
            <w:top w:val="none" w:sz="0" w:space="0" w:color="auto"/>
            <w:left w:val="none" w:sz="0" w:space="0" w:color="auto"/>
            <w:bottom w:val="none" w:sz="0" w:space="0" w:color="auto"/>
            <w:right w:val="none" w:sz="0" w:space="0" w:color="auto"/>
          </w:divBdr>
        </w:div>
        <w:div w:id="1902209257">
          <w:marLeft w:val="0"/>
          <w:marRight w:val="0"/>
          <w:marTop w:val="0"/>
          <w:marBottom w:val="0"/>
          <w:divBdr>
            <w:top w:val="none" w:sz="0" w:space="0" w:color="auto"/>
            <w:left w:val="none" w:sz="0" w:space="0" w:color="auto"/>
            <w:bottom w:val="none" w:sz="0" w:space="0" w:color="auto"/>
            <w:right w:val="none" w:sz="0" w:space="0" w:color="auto"/>
          </w:divBdr>
        </w:div>
      </w:divsChild>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pb-assets/Lancet/gbd/summaries/risks/ambient-particulate-matter-pollu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14</Pages>
  <Words>17082</Words>
  <Characters>97372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40</cp:revision>
  <dcterms:created xsi:type="dcterms:W3CDTF">2025-04-10T15:50:00Z</dcterms:created>
  <dcterms:modified xsi:type="dcterms:W3CDTF">2025-04-25T12:57:00Z</dcterms:modified>
</cp:coreProperties>
</file>