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958F92" w14:textId="631BBE7C" w:rsidR="00551D54" w:rsidRPr="00E150CA" w:rsidRDefault="00551D54" w:rsidP="00551D54">
      <w:pPr>
        <w:rPr>
          <w:b/>
          <w:bCs/>
        </w:rPr>
      </w:pPr>
      <w:r w:rsidRPr="00E150CA">
        <w:rPr>
          <w:b/>
          <w:bCs/>
        </w:rPr>
        <w:t>Title</w:t>
      </w:r>
    </w:p>
    <w:p w14:paraId="31B6B276" w14:textId="49424E77" w:rsidR="00C52434" w:rsidRPr="00E150CA" w:rsidRDefault="00107F48" w:rsidP="00C52434">
      <w:r w:rsidRPr="00E150CA">
        <w:t>A health impact assessment</w:t>
      </w:r>
      <w:r w:rsidR="00C52434" w:rsidRPr="00E150CA">
        <w:t xml:space="preserve"> </w:t>
      </w:r>
      <w:r w:rsidRPr="00E150CA">
        <w:t xml:space="preserve">of </w:t>
      </w:r>
      <w:r w:rsidR="00B53F41">
        <w:t>changes in NDVI on</w:t>
      </w:r>
      <w:r w:rsidRPr="00E150CA">
        <w:t xml:space="preserve"> all-cause mortality </w:t>
      </w:r>
      <w:r w:rsidR="00C52434" w:rsidRPr="00E150CA">
        <w:t>across 1,04</w:t>
      </w:r>
      <w:r w:rsidR="004A13B2">
        <w:t>1</w:t>
      </w:r>
      <w:r w:rsidR="00C52434" w:rsidRPr="00E150CA">
        <w:t xml:space="preserve"> global cities</w:t>
      </w:r>
    </w:p>
    <w:p w14:paraId="7753AB88" w14:textId="3E3E1C1D" w:rsidR="00FA2EC9" w:rsidRPr="00E150CA" w:rsidRDefault="00FA2EC9" w:rsidP="00551D54"/>
    <w:p w14:paraId="4D404FBB" w14:textId="18E63531" w:rsidR="00551D54" w:rsidRPr="00E150CA" w:rsidRDefault="00551D54" w:rsidP="00551D54">
      <w:pPr>
        <w:rPr>
          <w:b/>
          <w:bCs/>
        </w:rPr>
      </w:pPr>
      <w:r w:rsidRPr="00E150CA">
        <w:rPr>
          <w:b/>
          <w:bCs/>
        </w:rPr>
        <w:t>Authors</w:t>
      </w:r>
    </w:p>
    <w:p w14:paraId="1707BEE0" w14:textId="5B9EF3A6" w:rsidR="00420610" w:rsidRPr="00E150CA" w:rsidRDefault="00420610" w:rsidP="00420610">
      <w:pPr>
        <w:rPr>
          <w:color w:val="000000" w:themeColor="text1"/>
          <w:vertAlign w:val="superscript"/>
        </w:rPr>
      </w:pPr>
      <w:r w:rsidRPr="00E150CA">
        <w:rPr>
          <w:color w:val="000000" w:themeColor="text1"/>
        </w:rPr>
        <w:t>Greta K. Martin</w:t>
      </w:r>
      <w:r w:rsidRPr="00E150CA">
        <w:rPr>
          <w:color w:val="000000" w:themeColor="text1"/>
          <w:vertAlign w:val="superscript"/>
        </w:rPr>
        <w:t>1</w:t>
      </w:r>
      <w:r w:rsidRPr="00E150CA">
        <w:rPr>
          <w:color w:val="000000" w:themeColor="text1"/>
        </w:rPr>
        <w:t xml:space="preserve">, </w:t>
      </w:r>
      <w:r w:rsidR="001C6CE6" w:rsidRPr="00E150CA">
        <w:rPr>
          <w:color w:val="000000" w:themeColor="text1"/>
        </w:rPr>
        <w:t>Jennifer D. Stowell</w:t>
      </w:r>
      <w:r w:rsidR="001C6CE6" w:rsidRPr="00E150CA">
        <w:rPr>
          <w:color w:val="000000" w:themeColor="text1"/>
          <w:vertAlign w:val="superscript"/>
        </w:rPr>
        <w:t>2</w:t>
      </w:r>
      <w:r w:rsidR="001C6CE6" w:rsidRPr="00E150CA">
        <w:rPr>
          <w:color w:val="000000" w:themeColor="text1"/>
        </w:rPr>
        <w:t xml:space="preserve">, </w:t>
      </w:r>
      <w:r w:rsidRPr="00E150CA">
        <w:rPr>
          <w:color w:val="000000" w:themeColor="text1"/>
        </w:rPr>
        <w:t>Patrick L. Kinney</w:t>
      </w:r>
      <w:r w:rsidRPr="00E150CA">
        <w:rPr>
          <w:color w:val="000000" w:themeColor="text1"/>
          <w:vertAlign w:val="superscript"/>
        </w:rPr>
        <w:t>2</w:t>
      </w:r>
      <w:r w:rsidRPr="00E150CA">
        <w:rPr>
          <w:color w:val="000000" w:themeColor="text1"/>
        </w:rPr>
        <w:t>, Susan C. Anenberg</w:t>
      </w:r>
      <w:r w:rsidRPr="00E150CA">
        <w:rPr>
          <w:color w:val="000000" w:themeColor="text1"/>
          <w:vertAlign w:val="superscript"/>
        </w:rPr>
        <w:t>1</w:t>
      </w:r>
      <w:r w:rsidR="00686C7C">
        <w:rPr>
          <w:color w:val="000000" w:themeColor="text1"/>
          <w:vertAlign w:val="superscript"/>
        </w:rPr>
        <w:t>*</w:t>
      </w:r>
    </w:p>
    <w:p w14:paraId="1F324D7A" w14:textId="241A43E8" w:rsidR="00420610" w:rsidRPr="00E150CA" w:rsidRDefault="00420610" w:rsidP="00420610">
      <w:pPr>
        <w:rPr>
          <w:color w:val="000000" w:themeColor="text1"/>
        </w:rPr>
      </w:pPr>
      <w:r w:rsidRPr="00E150CA">
        <w:rPr>
          <w:color w:val="000000" w:themeColor="text1"/>
          <w:vertAlign w:val="superscript"/>
        </w:rPr>
        <w:t>1</w:t>
      </w:r>
      <w:r w:rsidRPr="00E150CA">
        <w:rPr>
          <w:color w:val="000000" w:themeColor="text1"/>
        </w:rPr>
        <w:t>The George Washington University Milken Institute of Public Health, Washington, DC</w:t>
      </w:r>
    </w:p>
    <w:p w14:paraId="19BFF8F5" w14:textId="60B79632" w:rsidR="00420610" w:rsidRPr="00E150CA" w:rsidRDefault="00420610" w:rsidP="00420610">
      <w:pPr>
        <w:rPr>
          <w:color w:val="000000" w:themeColor="text1"/>
        </w:rPr>
      </w:pPr>
      <w:r w:rsidRPr="00E150CA">
        <w:rPr>
          <w:color w:val="000000" w:themeColor="text1"/>
          <w:vertAlign w:val="superscript"/>
        </w:rPr>
        <w:t>2</w:t>
      </w:r>
      <w:r w:rsidRPr="00E150CA">
        <w:rPr>
          <w:color w:val="000000" w:themeColor="text1"/>
        </w:rPr>
        <w:t>Boston University School of Public Health, Boston, MA</w:t>
      </w:r>
    </w:p>
    <w:p w14:paraId="0151347F" w14:textId="7E09E25D" w:rsidR="00FA2EC9" w:rsidRDefault="00FA2EC9" w:rsidP="00551D54"/>
    <w:p w14:paraId="66FF4854" w14:textId="33190FDA" w:rsidR="00686C7C" w:rsidRPr="004948EA" w:rsidRDefault="00686C7C" w:rsidP="00686C7C">
      <w:r w:rsidRPr="004948EA">
        <w:t xml:space="preserve">*Corresponding author: Susan Anenberg, 950 New Hampshire Ave NW, Washington DC 20015, </w:t>
      </w:r>
      <w:hyperlink r:id="rId8" w:history="1">
        <w:r w:rsidRPr="004948EA">
          <w:rPr>
            <w:rStyle w:val="Hyperlink"/>
          </w:rPr>
          <w:t>sanenberg@gwu.edu</w:t>
        </w:r>
      </w:hyperlink>
    </w:p>
    <w:p w14:paraId="622C6B9B" w14:textId="6381E287" w:rsidR="00686C7C" w:rsidRPr="00E150CA" w:rsidRDefault="00686C7C" w:rsidP="00551D54"/>
    <w:p w14:paraId="1D3C241D" w14:textId="05C53A53" w:rsidR="00551D54" w:rsidRPr="00E150CA" w:rsidRDefault="00551D54" w:rsidP="00551D54">
      <w:pPr>
        <w:rPr>
          <w:b/>
          <w:bCs/>
        </w:rPr>
      </w:pPr>
      <w:r w:rsidRPr="00E150CA">
        <w:rPr>
          <w:b/>
          <w:bCs/>
        </w:rPr>
        <w:t>Keywords</w:t>
      </w:r>
    </w:p>
    <w:p w14:paraId="73C38941" w14:textId="1789FA26" w:rsidR="00DA7A83" w:rsidRPr="00E150CA" w:rsidRDefault="00DA7A83" w:rsidP="00551D54">
      <w:r w:rsidRPr="00E150CA">
        <w:t>Health impact assessment, greenspace, Normalized Difference Vegetation Index, NDVI, urban nature</w:t>
      </w:r>
    </w:p>
    <w:p w14:paraId="708DDE7F" w14:textId="234E2F31" w:rsidR="00FA2EC9" w:rsidRPr="00E150CA" w:rsidRDefault="00FA2EC9" w:rsidP="00551D54"/>
    <w:p w14:paraId="7D60FC6A" w14:textId="2E0ABA1C" w:rsidR="00F73B7D" w:rsidRDefault="00551D54" w:rsidP="00551D54">
      <w:r w:rsidRPr="00E150CA">
        <w:rPr>
          <w:b/>
          <w:bCs/>
        </w:rPr>
        <w:t>Abstract</w:t>
      </w:r>
      <w:r w:rsidR="00B8324E">
        <w:rPr>
          <w:b/>
          <w:bCs/>
        </w:rPr>
        <w:t xml:space="preserve"> </w:t>
      </w:r>
    </w:p>
    <w:p w14:paraId="68C00227" w14:textId="017694D0" w:rsidR="00F73B7D" w:rsidRPr="00741FA6" w:rsidRDefault="00E319B6" w:rsidP="00551D54">
      <w:pPr>
        <w:rPr>
          <w:color w:val="000000" w:themeColor="text1"/>
        </w:rPr>
      </w:pPr>
      <w:r>
        <w:t>Urban greenspaces</w:t>
      </w:r>
      <w:r w:rsidR="00CB5E40">
        <w:t xml:space="preserve"> </w:t>
      </w:r>
      <w:r>
        <w:t xml:space="preserve">are associated with improved health and climate resiliency. </w:t>
      </w:r>
      <w:r w:rsidR="00CB5E40">
        <w:t>Large scale h</w:t>
      </w:r>
      <w:r>
        <w:t xml:space="preserve">ealth impact assessments of urban greenspace and mortality have been limited to American and European cities. </w:t>
      </w:r>
      <w:r w:rsidR="00CB5E40">
        <w:t>We</w:t>
      </w:r>
      <w:r>
        <w:t xml:space="preserve"> estimate</w:t>
      </w:r>
      <w:r w:rsidR="00CD7109">
        <w:t>d</w:t>
      </w:r>
      <w:r>
        <w:t xml:space="preserve"> changes in mortality associated with observed </w:t>
      </w:r>
      <w:r w:rsidR="00CB5E40">
        <w:t xml:space="preserve">differences </w:t>
      </w:r>
      <w:r>
        <w:t>in population-weighted greenest</w:t>
      </w:r>
      <w:r w:rsidR="000011F2">
        <w:t xml:space="preserve"> </w:t>
      </w:r>
      <w:r>
        <w:t>season normalized difference vegetation index (NDVI) between 2014-2018 and 2019-2023 across 1,041 global cities representing 174 countries. We use</w:t>
      </w:r>
      <w:r w:rsidR="00CD7109">
        <w:t>d</w:t>
      </w:r>
      <w:r>
        <w:t xml:space="preserve"> publicly available high-resolution satellite</w:t>
      </w:r>
      <w:r w:rsidR="00671DB8">
        <w:t>-</w:t>
      </w:r>
      <w:r>
        <w:t>derive</w:t>
      </w:r>
      <w:r w:rsidR="00671DB8">
        <w:t>d</w:t>
      </w:r>
      <w:r>
        <w:t xml:space="preserve"> estimates of NDVI and population</w:t>
      </w:r>
      <w:r w:rsidR="00671DB8">
        <w:t>,</w:t>
      </w:r>
      <w:r>
        <w:t xml:space="preserve"> baseline disease rates from the Global Burden of Disease study</w:t>
      </w:r>
      <w:r w:rsidR="00671DB8">
        <w:t>,</w:t>
      </w:r>
      <w:r>
        <w:t xml:space="preserve"> and a</w:t>
      </w:r>
      <w:r w:rsidR="00671DB8">
        <w:t xml:space="preserve"> hazard ratio of the association between NDVI and all-cause mortality </w:t>
      </w:r>
      <w:r>
        <w:t>from a</w:t>
      </w:r>
      <w:r w:rsidR="0075549E">
        <w:t>n epidemiological</w:t>
      </w:r>
      <w:r>
        <w:t xml:space="preserve"> meta-analysis. </w:t>
      </w:r>
      <w:r w:rsidR="003708FF">
        <w:t xml:space="preserve">We found </w:t>
      </w:r>
      <w:r w:rsidR="00B83171">
        <w:t>that u</w:t>
      </w:r>
      <w:r w:rsidR="003708FF">
        <w:t>rban</w:t>
      </w:r>
      <w:r w:rsidR="0001515D">
        <w:t xml:space="preserve"> greenspace varies substantially</w:t>
      </w:r>
      <w:r w:rsidR="003708FF">
        <w:t xml:space="preserve"> across cities</w:t>
      </w:r>
      <w:r w:rsidR="0001515D">
        <w:t xml:space="preserve"> </w:t>
      </w:r>
      <w:r w:rsidR="003708FF">
        <w:t>(</w:t>
      </w:r>
      <w:r w:rsidR="00BE3370">
        <w:t xml:space="preserve">NDVI </w:t>
      </w:r>
      <w:r w:rsidR="003708FF">
        <w:t xml:space="preserve">mean: 0.270, range: 0.072, 0.580) and </w:t>
      </w:r>
      <w:r w:rsidR="0001515D">
        <w:t xml:space="preserve">by climate </w:t>
      </w:r>
      <w:r w:rsidR="00B83171">
        <w:t xml:space="preserve">classification </w:t>
      </w:r>
      <w:r w:rsidR="0001515D">
        <w:t>and geographic region.</w:t>
      </w:r>
      <w:r w:rsidR="00E144F5">
        <w:t xml:space="preserve"> </w:t>
      </w:r>
      <w:r w:rsidR="0001515D">
        <w:t>D</w:t>
      </w:r>
      <w:r w:rsidR="00E144F5">
        <w:t>espite modest global</w:t>
      </w:r>
      <w:r w:rsidR="00B83171">
        <w:t xml:space="preserve"> average</w:t>
      </w:r>
      <w:r w:rsidR="00E144F5">
        <w:t xml:space="preserve"> changes</w:t>
      </w:r>
      <w:r w:rsidR="003708FF">
        <w:t xml:space="preserve"> in NDVI from 2014-2018 to 2019-2023</w:t>
      </w:r>
      <w:r w:rsidR="00E144F5">
        <w:t xml:space="preserve">, </w:t>
      </w:r>
      <w:r w:rsidR="00C1576E">
        <w:t>NDVI</w:t>
      </w:r>
      <w:r w:rsidR="00E144F5">
        <w:t xml:space="preserve"> has changed by o</w:t>
      </w:r>
      <w:r w:rsidR="003A005E">
        <w:t>ver +/-</w:t>
      </w:r>
      <w:r w:rsidR="00E144F5">
        <w:t xml:space="preserve">20% in individual cities. </w:t>
      </w:r>
      <w:r w:rsidR="00BB7230">
        <w:t>Median</w:t>
      </w:r>
      <w:r w:rsidR="00E2427E">
        <w:t xml:space="preserve"> </w:t>
      </w:r>
      <w:r w:rsidR="00555E05">
        <w:t>regional</w:t>
      </w:r>
      <w:r w:rsidR="00E2427E">
        <w:t xml:space="preserve"> c</w:t>
      </w:r>
      <w:r w:rsidR="003708FF">
        <w:t>hanges were largest in South-eastern Asia (-0.022), Sub-Saharan Africa (-0.010) and Eastern Asia (+0.014)</w:t>
      </w:r>
      <w:r w:rsidR="00E2427E">
        <w:t xml:space="preserve"> and most stable in arid climate</w:t>
      </w:r>
      <w:r w:rsidR="00555E05">
        <w:t xml:space="preserve">s </w:t>
      </w:r>
      <w:r w:rsidR="00E2427E">
        <w:t>(&lt;0.000)</w:t>
      </w:r>
      <w:r w:rsidR="003708FF">
        <w:t xml:space="preserve">. </w:t>
      </w:r>
      <w:r w:rsidR="0001515D">
        <w:t xml:space="preserve">These changes </w:t>
      </w:r>
      <w:r w:rsidR="003708FF">
        <w:t>were associated with</w:t>
      </w:r>
      <w:r w:rsidR="0001515D">
        <w:t xml:space="preserve"> a global </w:t>
      </w:r>
      <w:r w:rsidR="00EC276D">
        <w:t xml:space="preserve">mean of </w:t>
      </w:r>
      <w:r w:rsidR="00EC276D" w:rsidRPr="00BB6EFB">
        <w:t xml:space="preserve">0.19 </w:t>
      </w:r>
      <w:r w:rsidR="00EC276D">
        <w:t xml:space="preserve">(95% CI: 0.15, 0.25) </w:t>
      </w:r>
      <w:r w:rsidR="0001515D">
        <w:t xml:space="preserve">additional </w:t>
      </w:r>
      <w:r w:rsidR="00C66916">
        <w:t xml:space="preserve">annual </w:t>
      </w:r>
      <w:r w:rsidR="0001515D">
        <w:t>deaths</w:t>
      </w:r>
      <w:r w:rsidR="00C66916">
        <w:t xml:space="preserve"> per 100,000 </w:t>
      </w:r>
      <w:r w:rsidR="000B7BE0">
        <w:t xml:space="preserve">in </w:t>
      </w:r>
      <w:r w:rsidR="00264F6A">
        <w:t>the 2020 population</w:t>
      </w:r>
      <w:r w:rsidR="0001515D">
        <w:t xml:space="preserve">, ranging from </w:t>
      </w:r>
      <w:r w:rsidR="007727CC">
        <w:t>24.44</w:t>
      </w:r>
      <w:r w:rsidR="0001515D">
        <w:t xml:space="preserve"> fewer to </w:t>
      </w:r>
      <w:r w:rsidR="007727CC">
        <w:t>21.84</w:t>
      </w:r>
      <w:r w:rsidR="0001515D">
        <w:t xml:space="preserve"> more deaths per 100,000 across cities</w:t>
      </w:r>
      <w:r w:rsidR="0001515D" w:rsidRPr="00741FA6">
        <w:rPr>
          <w:color w:val="000000" w:themeColor="text1"/>
        </w:rPr>
        <w:t>.</w:t>
      </w:r>
      <w:r w:rsidR="00841A64" w:rsidRPr="00741FA6">
        <w:rPr>
          <w:color w:val="000000" w:themeColor="text1"/>
        </w:rPr>
        <w:t xml:space="preserve"> </w:t>
      </w:r>
      <w:r w:rsidR="008740AE" w:rsidRPr="00741FA6">
        <w:rPr>
          <w:color w:val="000000" w:themeColor="text1"/>
        </w:rPr>
        <w:t>H</w:t>
      </w:r>
      <w:r w:rsidR="00841A64" w:rsidRPr="00741FA6">
        <w:rPr>
          <w:color w:val="000000" w:themeColor="text1"/>
        </w:rPr>
        <w:t xml:space="preserve">ealth impact </w:t>
      </w:r>
      <w:r w:rsidR="00227D90" w:rsidRPr="00741FA6">
        <w:rPr>
          <w:color w:val="000000" w:themeColor="text1"/>
        </w:rPr>
        <w:t>assessments</w:t>
      </w:r>
      <w:r w:rsidR="00841A64" w:rsidRPr="00741FA6">
        <w:rPr>
          <w:color w:val="000000" w:themeColor="text1"/>
        </w:rPr>
        <w:t xml:space="preserve"> of NDVI and all-cause mortality have </w:t>
      </w:r>
      <w:r w:rsidR="008740AE" w:rsidRPr="00741FA6">
        <w:rPr>
          <w:color w:val="000000" w:themeColor="text1"/>
        </w:rPr>
        <w:t>largely been conducted in European and North American cities, where we found NDVI was generally higher and more stable</w:t>
      </w:r>
      <w:r w:rsidR="00841A64" w:rsidRPr="00741FA6">
        <w:rPr>
          <w:color w:val="000000" w:themeColor="text1"/>
        </w:rPr>
        <w:t xml:space="preserve">. Our results highlight large </w:t>
      </w:r>
      <w:r w:rsidR="009E4029" w:rsidRPr="00741FA6">
        <w:rPr>
          <w:color w:val="000000" w:themeColor="text1"/>
        </w:rPr>
        <w:t>heterogeneity</w:t>
      </w:r>
      <w:r w:rsidR="00841A64" w:rsidRPr="00741FA6">
        <w:rPr>
          <w:color w:val="000000" w:themeColor="text1"/>
        </w:rPr>
        <w:t xml:space="preserve"> in urban greenspace </w:t>
      </w:r>
      <w:r w:rsidR="001507B3" w:rsidRPr="00741FA6">
        <w:rPr>
          <w:color w:val="000000" w:themeColor="text1"/>
        </w:rPr>
        <w:t xml:space="preserve">extent and variability </w:t>
      </w:r>
      <w:r w:rsidR="00227D90" w:rsidRPr="00741FA6">
        <w:rPr>
          <w:color w:val="000000" w:themeColor="text1"/>
        </w:rPr>
        <w:t>across global cities</w:t>
      </w:r>
      <w:r w:rsidR="00841A64" w:rsidRPr="00741FA6">
        <w:rPr>
          <w:color w:val="000000" w:themeColor="text1"/>
        </w:rPr>
        <w:t xml:space="preserve"> and the </w:t>
      </w:r>
      <w:r w:rsidR="00BE3370" w:rsidRPr="00741FA6">
        <w:rPr>
          <w:color w:val="000000" w:themeColor="text1"/>
        </w:rPr>
        <w:t>importance of characterizing</w:t>
      </w:r>
      <w:r w:rsidR="00841A64" w:rsidRPr="00741FA6">
        <w:rPr>
          <w:color w:val="000000" w:themeColor="text1"/>
        </w:rPr>
        <w:t xml:space="preserve"> the </w:t>
      </w:r>
      <w:r w:rsidR="008740AE" w:rsidRPr="00741FA6">
        <w:rPr>
          <w:color w:val="000000" w:themeColor="text1"/>
        </w:rPr>
        <w:t xml:space="preserve">relationship between </w:t>
      </w:r>
      <w:r w:rsidR="00841A64" w:rsidRPr="00741FA6">
        <w:rPr>
          <w:color w:val="000000" w:themeColor="text1"/>
        </w:rPr>
        <w:t xml:space="preserve">health </w:t>
      </w:r>
      <w:r w:rsidR="008740AE" w:rsidRPr="00741FA6">
        <w:rPr>
          <w:color w:val="000000" w:themeColor="text1"/>
        </w:rPr>
        <w:t>and</w:t>
      </w:r>
      <w:r w:rsidR="00841A64" w:rsidRPr="00741FA6">
        <w:rPr>
          <w:color w:val="000000" w:themeColor="text1"/>
        </w:rPr>
        <w:t xml:space="preserve"> NDVI </w:t>
      </w:r>
      <w:r w:rsidR="001507B3" w:rsidRPr="00741FA6">
        <w:rPr>
          <w:color w:val="000000" w:themeColor="text1"/>
        </w:rPr>
        <w:t>in more diverse contexts</w:t>
      </w:r>
      <w:r w:rsidR="00227D90" w:rsidRPr="00741FA6">
        <w:rPr>
          <w:color w:val="000000" w:themeColor="text1"/>
        </w:rPr>
        <w:t>.</w:t>
      </w:r>
      <w:r w:rsidR="00841A64" w:rsidRPr="00741FA6">
        <w:rPr>
          <w:color w:val="000000" w:themeColor="text1"/>
        </w:rPr>
        <w:t xml:space="preserve"> </w:t>
      </w:r>
    </w:p>
    <w:p w14:paraId="3A7BA0FA" w14:textId="3B65E334" w:rsidR="00F73B7D" w:rsidRDefault="00F73B7D" w:rsidP="00551D54"/>
    <w:p w14:paraId="062D01AC" w14:textId="4ECA0F37" w:rsidR="00F73B7D" w:rsidRDefault="00F73B7D" w:rsidP="00551D54"/>
    <w:p w14:paraId="2918E66C" w14:textId="38B69C34" w:rsidR="00F73B7D" w:rsidRDefault="00F73B7D" w:rsidP="00551D54"/>
    <w:p w14:paraId="47BA0E42" w14:textId="50934DF5" w:rsidR="003708FF" w:rsidRDefault="003708FF" w:rsidP="00551D54"/>
    <w:p w14:paraId="01F98059" w14:textId="3E228C64" w:rsidR="00F73B7D" w:rsidRDefault="00F73B7D" w:rsidP="00551D54"/>
    <w:p w14:paraId="12A72D01" w14:textId="4E70B0BE" w:rsidR="00F73B7D" w:rsidRDefault="00F73B7D" w:rsidP="00551D54"/>
    <w:p w14:paraId="237C09F9" w14:textId="54394FC0" w:rsidR="00F73B7D" w:rsidRDefault="00F73B7D" w:rsidP="00551D54"/>
    <w:p w14:paraId="56A5F604" w14:textId="35B553B7" w:rsidR="003807BC" w:rsidRDefault="003807BC" w:rsidP="00551D54"/>
    <w:p w14:paraId="0ADB8F2D" w14:textId="08595A97" w:rsidR="003807BC" w:rsidRDefault="003807BC" w:rsidP="00551D54"/>
    <w:p w14:paraId="6C68D377" w14:textId="66F514CA" w:rsidR="00227D90" w:rsidRDefault="00227D90" w:rsidP="00551D54"/>
    <w:p w14:paraId="5E5D4CC8" w14:textId="17641B83" w:rsidR="00551D54" w:rsidRPr="00E150CA" w:rsidRDefault="00551D54" w:rsidP="00551D54">
      <w:pPr>
        <w:rPr>
          <w:b/>
          <w:bCs/>
        </w:rPr>
      </w:pPr>
      <w:r w:rsidRPr="00E150CA">
        <w:rPr>
          <w:b/>
          <w:bCs/>
        </w:rPr>
        <w:lastRenderedPageBreak/>
        <w:t>Introduction</w:t>
      </w:r>
    </w:p>
    <w:p w14:paraId="6EF598EA" w14:textId="587FF7A9" w:rsidR="00AF54A8" w:rsidRPr="00E150CA" w:rsidRDefault="00AF54A8" w:rsidP="00AF54A8">
      <w:pPr>
        <w:rPr>
          <w:color w:val="000000" w:themeColor="text1"/>
        </w:rPr>
      </w:pPr>
    </w:p>
    <w:p w14:paraId="3F69CF97" w14:textId="080040EB" w:rsidR="00580922" w:rsidRDefault="00377F9E" w:rsidP="007B6224">
      <w:pPr>
        <w:rPr>
          <w:color w:val="000000" w:themeColor="text1"/>
        </w:rPr>
      </w:pPr>
      <w:r w:rsidRPr="00E150CA">
        <w:rPr>
          <w:color w:val="000000"/>
          <w:shd w:val="clear" w:color="auto" w:fill="FFFFFF"/>
        </w:rPr>
        <w:t>Over</w:t>
      </w:r>
      <w:r w:rsidR="00751D10" w:rsidRPr="00E150CA">
        <w:rPr>
          <w:color w:val="000000"/>
          <w:shd w:val="clear" w:color="auto" w:fill="FFFFFF"/>
        </w:rPr>
        <w:t xml:space="preserve"> half of the world’s population </w:t>
      </w:r>
      <w:r w:rsidRPr="00E150CA">
        <w:rPr>
          <w:color w:val="000000"/>
          <w:shd w:val="clear" w:color="auto" w:fill="FFFFFF"/>
        </w:rPr>
        <w:t>lives</w:t>
      </w:r>
      <w:r w:rsidR="00751D10" w:rsidRPr="00E150CA">
        <w:rPr>
          <w:color w:val="000000"/>
          <w:shd w:val="clear" w:color="auto" w:fill="FFFFFF"/>
        </w:rPr>
        <w:t xml:space="preserve"> in cities </w:t>
      </w:r>
      <w:r w:rsidRPr="00E150CA">
        <w:rPr>
          <w:color w:val="000000"/>
          <w:shd w:val="clear" w:color="auto" w:fill="FFFFFF"/>
        </w:rPr>
        <w:t xml:space="preserve">and this </w:t>
      </w:r>
      <w:r w:rsidR="00751D10" w:rsidRPr="00E150CA">
        <w:rPr>
          <w:color w:val="000000"/>
          <w:shd w:val="clear" w:color="auto" w:fill="FFFFFF"/>
        </w:rPr>
        <w:t>share is predicted to grow to two-thirds by 2050</w:t>
      </w:r>
      <w:r w:rsidR="00836CE4">
        <w:rPr>
          <w:color w:val="000000"/>
          <w:shd w:val="clear" w:color="auto" w:fill="FFFFFF"/>
        </w:rPr>
        <w:t>.</w:t>
      </w:r>
      <w:r w:rsidR="00751D10" w:rsidRPr="00E150CA">
        <w:rPr>
          <w:color w:val="000000"/>
          <w:shd w:val="clear" w:color="auto" w:fill="FFFFFF"/>
        </w:rPr>
        <w:fldChar w:fldCharType="begin"/>
      </w:r>
      <w:r w:rsidR="007B4DCE">
        <w:rPr>
          <w:color w:val="000000"/>
          <w:shd w:val="clear" w:color="auto" w:fill="FFFFFF"/>
        </w:rPr>
        <w:instrText xml:space="preserve"> ADDIN ZOTERO_ITEM CSL_CITATION {"citationID":"GKQw4mq9","properties":{"formattedCitation":"\\super 1\\nosupersub{}","plainCitation":"1","noteIndex":0},"citationItems":[{"id":193,"uris":["http://zotero.org/users/10202395/items/RYEUYJAT"],"itemData":{"id":193,"type":"report","event-place":"Washington, DC","publisher":"World Bank","publisher-place":"Washington, DC","title":"Demographic Trends and Urbanization","author":[{"literal":"Alex Baeumler"},{"literal":"Olivia D’Aoust"},{"literal":"Maitreyi Das"},{"literal":"Annie Gapihan"},{"literal":"Soraya Goga"},{"literal":"Carina Lakovits"},{"literal":"Paula Restrepo Cavadid"},{"literal":"Gayatri Singh"},{"literal":"Horacio Terraza"}],"issued":{"date-parts":[["2021"]]}}}],"schema":"https://github.com/citation-style-language/schema/raw/master/csl-citation.json"} </w:instrText>
      </w:r>
      <w:r w:rsidR="00751D10" w:rsidRPr="00E150CA">
        <w:rPr>
          <w:color w:val="000000"/>
          <w:shd w:val="clear" w:color="auto" w:fill="FFFFFF"/>
        </w:rPr>
        <w:fldChar w:fldCharType="separate"/>
      </w:r>
      <w:r w:rsidR="007B4DCE" w:rsidRPr="007B4DCE">
        <w:rPr>
          <w:color w:val="000000"/>
          <w:vertAlign w:val="superscript"/>
        </w:rPr>
        <w:t>1</w:t>
      </w:r>
      <w:r w:rsidR="00751D10" w:rsidRPr="00E150CA">
        <w:rPr>
          <w:color w:val="000000"/>
          <w:shd w:val="clear" w:color="auto" w:fill="FFFFFF"/>
        </w:rPr>
        <w:fldChar w:fldCharType="end"/>
      </w:r>
      <w:r w:rsidR="00751D10" w:rsidRPr="00E150CA">
        <w:rPr>
          <w:color w:val="000000"/>
          <w:shd w:val="clear" w:color="auto" w:fill="FFFFFF"/>
          <w:vertAlign w:val="superscript"/>
        </w:rPr>
        <w:t xml:space="preserve"> </w:t>
      </w:r>
      <w:r w:rsidRPr="00E150CA">
        <w:rPr>
          <w:color w:val="000000"/>
          <w:shd w:val="clear" w:color="auto" w:fill="FFFFFF"/>
        </w:rPr>
        <w:t>U</w:t>
      </w:r>
      <w:r w:rsidR="00751D10" w:rsidRPr="00E150CA">
        <w:rPr>
          <w:color w:val="000000"/>
          <w:shd w:val="clear" w:color="auto" w:fill="FFFFFF"/>
        </w:rPr>
        <w:t xml:space="preserve">rbanization </w:t>
      </w:r>
      <w:r w:rsidRPr="00E150CA">
        <w:rPr>
          <w:color w:val="000000"/>
          <w:shd w:val="clear" w:color="auto" w:fill="FFFFFF"/>
        </w:rPr>
        <w:t xml:space="preserve">has been accompanied by the </w:t>
      </w:r>
      <w:r w:rsidR="00751D10" w:rsidRPr="00E150CA">
        <w:rPr>
          <w:color w:val="000000"/>
          <w:shd w:val="clear" w:color="auto" w:fill="FFFFFF"/>
        </w:rPr>
        <w:t>pollution of natural resources</w:t>
      </w:r>
      <w:r w:rsidR="00D36FAE">
        <w:rPr>
          <w:color w:val="000000"/>
          <w:shd w:val="clear" w:color="auto" w:fill="FFFFFF"/>
        </w:rPr>
        <w:t>,</w:t>
      </w:r>
      <w:r w:rsidR="001C57B1">
        <w:rPr>
          <w:color w:val="000000"/>
          <w:shd w:val="clear" w:color="auto" w:fill="FFFFFF"/>
        </w:rPr>
        <w:t xml:space="preserve"> like air and water</w:t>
      </w:r>
      <w:r w:rsidR="00D36FAE">
        <w:rPr>
          <w:color w:val="000000"/>
          <w:shd w:val="clear" w:color="auto" w:fill="FFFFFF"/>
        </w:rPr>
        <w:t>,</w:t>
      </w:r>
      <w:r w:rsidR="00751D10" w:rsidRPr="00E150CA">
        <w:rPr>
          <w:color w:val="000000"/>
          <w:shd w:val="clear" w:color="auto" w:fill="FFFFFF"/>
        </w:rPr>
        <w:t xml:space="preserve"> and</w:t>
      </w:r>
      <w:r w:rsidR="001C57B1">
        <w:rPr>
          <w:color w:val="000000"/>
          <w:shd w:val="clear" w:color="auto" w:fill="FFFFFF"/>
        </w:rPr>
        <w:t xml:space="preserve"> the</w:t>
      </w:r>
      <w:r w:rsidR="00751D10" w:rsidRPr="00E150CA">
        <w:rPr>
          <w:color w:val="000000"/>
          <w:shd w:val="clear" w:color="auto" w:fill="FFFFFF"/>
        </w:rPr>
        <w:t xml:space="preserve"> destruction of natural environments. </w:t>
      </w:r>
      <w:r w:rsidR="001C57B1" w:rsidRPr="00741FA6">
        <w:rPr>
          <w:color w:val="000000" w:themeColor="text1"/>
          <w:shd w:val="clear" w:color="auto" w:fill="FFFFFF"/>
        </w:rPr>
        <w:t>While</w:t>
      </w:r>
      <w:r w:rsidR="00751D10" w:rsidRPr="00741FA6">
        <w:rPr>
          <w:color w:val="000000" w:themeColor="text1"/>
          <w:shd w:val="clear" w:color="auto" w:fill="FFFFFF"/>
        </w:rPr>
        <w:t xml:space="preserve"> cities are responsible for over 80% of global greenhouse gas emissions</w:t>
      </w:r>
      <w:r w:rsidR="00836CE4" w:rsidRPr="00741FA6">
        <w:rPr>
          <w:color w:val="000000" w:themeColor="text1"/>
          <w:shd w:val="clear" w:color="auto" w:fill="FFFFFF"/>
        </w:rPr>
        <w:t>,</w:t>
      </w:r>
      <w:r w:rsidR="00751D10" w:rsidRPr="00741FA6">
        <w:rPr>
          <w:color w:val="000000" w:themeColor="text1"/>
          <w:shd w:val="clear" w:color="auto" w:fill="FFFFFF"/>
        </w:rPr>
        <w:fldChar w:fldCharType="begin"/>
      </w:r>
      <w:r w:rsidR="007B4DCE" w:rsidRPr="00741FA6">
        <w:rPr>
          <w:color w:val="000000" w:themeColor="text1"/>
          <w:shd w:val="clear" w:color="auto" w:fill="FFFFFF"/>
        </w:rPr>
        <w:instrText xml:space="preserve"> ADDIN ZOTERO_ITEM CSL_CITATION {"citationID":"f34kFOr5","properties":{"formattedCitation":"\\super 2\\nosupersub{}","plainCitation":"2","noteIndex":0},"citationItems":[{"id":50,"uris":["http://zotero.org/users/10202395/items/YQP93BN8"],"itemData":{"id":50,"type":"article-journal","abstract":"Cities are blamed for the majority of greenhouse gas (GHG) emissions. So too are more affluent, highly urbanised countries. If all production- and consumption-based emissions that result from lifestyle and purchasing habits are included, urban residents and their associated affluence likely account for more than 80 per cent of the world’s GHG emissions. Attribution of GHG emissions should be refined. Apportioning responsibility can be misguided, as recent literature demonstrates that residents of denser city centres can emit half the GHG emissions of their suburban neighbours. It also fails to capture the enormous disparities within and across cities as emissions are lowest for poor cities and particularly low for the urban poor.","container-title":"Urbanisation","DOI":"10.1177/2455747120923557","ISSN":"2455-7471, 2456-3714","issue":"1","journalAbbreviation":"Urbanisation","language":"en","page":"43-62","source":"DOI.org (Crossref)","title":"Cities and Greenhouse Gas Emissions: Moving Forward","title-short":"Cities and Greenhouse Gas Emissions","volume":"5","author":[{"family":"Hoornweg","given":"Daniel"},{"family":"Sugar","given":"Lorraine"},{"family":"Gomez","given":"Claudia Lorena Trejos"}],"issued":{"date-parts":[["2020",5]]}}}],"schema":"https://github.com/citation-style-language/schema/raw/master/csl-citation.json"} </w:instrText>
      </w:r>
      <w:r w:rsidR="00751D10" w:rsidRPr="00741FA6">
        <w:rPr>
          <w:color w:val="000000" w:themeColor="text1"/>
          <w:shd w:val="clear" w:color="auto" w:fill="FFFFFF"/>
        </w:rPr>
        <w:fldChar w:fldCharType="separate"/>
      </w:r>
      <w:r w:rsidR="007B4DCE" w:rsidRPr="00741FA6">
        <w:rPr>
          <w:color w:val="000000" w:themeColor="text1"/>
          <w:vertAlign w:val="superscript"/>
        </w:rPr>
        <w:t>2</w:t>
      </w:r>
      <w:r w:rsidR="00751D10" w:rsidRPr="00741FA6">
        <w:rPr>
          <w:color w:val="000000" w:themeColor="text1"/>
          <w:shd w:val="clear" w:color="auto" w:fill="FFFFFF"/>
        </w:rPr>
        <w:fldChar w:fldCharType="end"/>
      </w:r>
      <w:r w:rsidR="001C57B1" w:rsidRPr="00741FA6">
        <w:rPr>
          <w:color w:val="000000" w:themeColor="text1"/>
          <w:shd w:val="clear" w:color="auto" w:fill="FFFFFF"/>
        </w:rPr>
        <w:t xml:space="preserve"> emissions per capita</w:t>
      </w:r>
      <w:r w:rsidR="00F06C1D" w:rsidRPr="00741FA6">
        <w:rPr>
          <w:color w:val="000000" w:themeColor="text1"/>
          <w:shd w:val="clear" w:color="auto" w:fill="FFFFFF"/>
        </w:rPr>
        <w:t xml:space="preserve"> in developed nations</w:t>
      </w:r>
      <w:r w:rsidR="001C57B1" w:rsidRPr="00741FA6">
        <w:rPr>
          <w:color w:val="000000" w:themeColor="text1"/>
          <w:shd w:val="clear" w:color="auto" w:fill="FFFFFF"/>
        </w:rPr>
        <w:t xml:space="preserve"> tend to be lower in cities than in less dense communities</w:t>
      </w:r>
      <w:r w:rsidR="00205BBE" w:rsidRPr="00741FA6">
        <w:rPr>
          <w:color w:val="000000" w:themeColor="text1"/>
          <w:shd w:val="clear" w:color="auto" w:fill="FFFFFF"/>
        </w:rPr>
        <w:t xml:space="preserve"> due to more efficient</w:t>
      </w:r>
      <w:r w:rsidR="00DB1587" w:rsidRPr="00741FA6">
        <w:rPr>
          <w:color w:val="000000" w:themeColor="text1"/>
          <w:shd w:val="clear" w:color="auto" w:fill="FFFFFF"/>
        </w:rPr>
        <w:t xml:space="preserve"> </w:t>
      </w:r>
      <w:r w:rsidR="00205BBE" w:rsidRPr="00741FA6">
        <w:rPr>
          <w:color w:val="000000" w:themeColor="text1"/>
          <w:shd w:val="clear" w:color="auto" w:fill="FFFFFF"/>
        </w:rPr>
        <w:t xml:space="preserve">transportation, </w:t>
      </w:r>
      <w:r w:rsidR="00DB1587" w:rsidRPr="00741FA6">
        <w:rPr>
          <w:color w:val="000000" w:themeColor="text1"/>
          <w:shd w:val="clear" w:color="auto" w:fill="FFFFFF"/>
        </w:rPr>
        <w:t>energy production</w:t>
      </w:r>
      <w:r w:rsidR="00205BBE" w:rsidRPr="00741FA6">
        <w:rPr>
          <w:color w:val="000000" w:themeColor="text1"/>
          <w:shd w:val="clear" w:color="auto" w:fill="FFFFFF"/>
        </w:rPr>
        <w:t>, and</w:t>
      </w:r>
      <w:r w:rsidR="00DB1587" w:rsidRPr="00741FA6">
        <w:rPr>
          <w:color w:val="000000" w:themeColor="text1"/>
          <w:shd w:val="clear" w:color="auto" w:fill="FFFFFF"/>
        </w:rPr>
        <w:t xml:space="preserve"> land use</w:t>
      </w:r>
      <w:r w:rsidR="00FD73CF" w:rsidRPr="00741FA6">
        <w:rPr>
          <w:color w:val="000000" w:themeColor="text1"/>
          <w:shd w:val="clear" w:color="auto" w:fill="FFFFFF"/>
        </w:rPr>
        <w:t>.</w:t>
      </w:r>
      <w:r w:rsidR="003B1DDA" w:rsidRPr="00741FA6">
        <w:rPr>
          <w:color w:val="000000" w:themeColor="text1"/>
          <w:shd w:val="clear" w:color="auto" w:fill="FFFFFF"/>
        </w:rPr>
        <w:fldChar w:fldCharType="begin"/>
      </w:r>
      <w:r w:rsidR="007B4DCE" w:rsidRPr="00741FA6">
        <w:rPr>
          <w:color w:val="000000" w:themeColor="text1"/>
          <w:shd w:val="clear" w:color="auto" w:fill="FFFFFF"/>
        </w:rPr>
        <w:instrText xml:space="preserve"> ADDIN ZOTERO_ITEM CSL_CITATION {"citationID":"CnAArXKK","properties":{"formattedCitation":"\\super 3\\nosupersub{}","plainCitation":"3","noteIndex":0},"citationItems":[{"id":781,"uris":["http://zotero.org/users/10202395/items/Y82FLAJZ"],"itemData":{"id":781,"type":"article-journal","abstract":"Abstract\n            \n              We use a globally consistent, time-resolved data set of CO\n              2\n              emission proxies to quantify urban CO\n              2\n              emissions in 91 cities. We decompose emission trends into contributions from changes in urban extent, population density and per capita emission. We find that urban CO\n              2\n              emissions are increasing everywhere but that the dominant contributors differ according to development level. A cluster analysis of factors shows that developing countries were dominated by cities with the rapid area and per capita CO\n              2\n              emissions increases. Cities in the developed world, by contrast, show slow area and per capita CO\n              2\n              emissions growth. China is an important intermediate case with rapid urban area growth combined with slower per capita CO\n              2\n              emissions growth. Urban per capita emissions are often lower than their national average for many developed countries, suggesting that urbanisation may reduce overall emissions. However, trends in per capita urban emissions are higher than their national equivalent almost everywhere, suggesting that urbanisation will become a more serious problem in the future. An important exception is China, whose per capita urban emissions are growing more slowly than the national value. We also see a negative correlation between trends in population density and per capita CO\n              2\n              emissions, highlighting a strong role for densification as a tool to reduce CO\n              2\n              emissions.","container-title":"npj Urban Sustainability","DOI":"10.1038/s42949-023-00084-2","ISSN":"2661-8001","issue":"1","journalAbbreviation":"npj Urban Sustain","language":"en","page":"6","source":"DOI.org (Crossref)","title":"On the impact of urbanisation on CO2 emissions","volume":"3","author":[{"family":"Luqman","given":"Muhammad"},{"family":"Rayner","given":"Peter J."},{"family":"Gurney","given":"Kevin R."}],"issued":{"date-parts":[["2023",2,16]]}}}],"schema":"https://github.com/citation-style-language/schema/raw/master/csl-citation.json"} </w:instrText>
      </w:r>
      <w:r w:rsidR="003B1DDA" w:rsidRPr="00741FA6">
        <w:rPr>
          <w:color w:val="000000" w:themeColor="text1"/>
          <w:shd w:val="clear" w:color="auto" w:fill="FFFFFF"/>
        </w:rPr>
        <w:fldChar w:fldCharType="separate"/>
      </w:r>
      <w:r w:rsidR="007B4DCE" w:rsidRPr="00741FA6">
        <w:rPr>
          <w:color w:val="000000" w:themeColor="text1"/>
          <w:vertAlign w:val="superscript"/>
        </w:rPr>
        <w:t>3</w:t>
      </w:r>
      <w:r w:rsidR="003B1DDA" w:rsidRPr="00741FA6">
        <w:rPr>
          <w:color w:val="000000" w:themeColor="text1"/>
          <w:shd w:val="clear" w:color="auto" w:fill="FFFFFF"/>
        </w:rPr>
        <w:fldChar w:fldCharType="end"/>
      </w:r>
      <w:r w:rsidR="001C57B1" w:rsidRPr="00741FA6">
        <w:rPr>
          <w:color w:val="000000" w:themeColor="text1"/>
          <w:shd w:val="clear" w:color="auto" w:fill="FFFFFF"/>
        </w:rPr>
        <w:t xml:space="preserve"> </w:t>
      </w:r>
      <w:r w:rsidR="001C57B1" w:rsidRPr="001C57B1">
        <w:rPr>
          <w:color w:val="000000"/>
          <w:shd w:val="clear" w:color="auto" w:fill="FFFFFF"/>
        </w:rPr>
        <w:t>In addition, cities</w:t>
      </w:r>
      <w:r w:rsidR="00751D10" w:rsidRPr="00E150CA">
        <w:rPr>
          <w:color w:val="000000"/>
          <w:shd w:val="clear" w:color="auto" w:fill="FFFFFF"/>
        </w:rPr>
        <w:t xml:space="preserve"> can be effective entities of change</w:t>
      </w:r>
      <w:r w:rsidR="00DC1566">
        <w:rPr>
          <w:color w:val="000000"/>
          <w:shd w:val="clear" w:color="auto" w:fill="FFFFFF"/>
        </w:rPr>
        <w:t xml:space="preserve"> and</w:t>
      </w:r>
      <w:r w:rsidR="00751D10" w:rsidRPr="00E150CA">
        <w:rPr>
          <w:color w:val="000000"/>
          <w:shd w:val="clear" w:color="auto" w:fill="FFFFFF"/>
        </w:rPr>
        <w:t xml:space="preserve"> </w:t>
      </w:r>
      <w:r w:rsidR="0088371A" w:rsidRPr="00E150CA">
        <w:rPr>
          <w:color w:val="000000"/>
          <w:shd w:val="clear" w:color="auto" w:fill="FFFFFF"/>
        </w:rPr>
        <w:t xml:space="preserve">can </w:t>
      </w:r>
      <w:r w:rsidR="00751D10" w:rsidRPr="00E150CA">
        <w:rPr>
          <w:color w:val="000000"/>
          <w:shd w:val="clear" w:color="auto" w:fill="FFFFFF"/>
        </w:rPr>
        <w:t xml:space="preserve">provide a large enough scale to create </w:t>
      </w:r>
      <w:r w:rsidR="0088371A" w:rsidRPr="00E150CA">
        <w:rPr>
          <w:color w:val="000000"/>
          <w:shd w:val="clear" w:color="auto" w:fill="FFFFFF"/>
        </w:rPr>
        <w:t>meaningful</w:t>
      </w:r>
      <w:r w:rsidR="00751D10" w:rsidRPr="00E150CA">
        <w:rPr>
          <w:color w:val="000000"/>
          <w:shd w:val="clear" w:color="auto" w:fill="FFFFFF"/>
        </w:rPr>
        <w:t xml:space="preserve"> change while remaining small enough to test policies that might not be feasible at a national scale. </w:t>
      </w:r>
      <w:r w:rsidR="009E573D" w:rsidRPr="00E150CA">
        <w:rPr>
          <w:color w:val="000000" w:themeColor="text1"/>
        </w:rPr>
        <w:t>City-level interventions to increase urban nature offer a climate adaptation strategy with health advantages.</w:t>
      </w:r>
    </w:p>
    <w:p w14:paraId="6C743201" w14:textId="77777777" w:rsidR="00AB1FFE" w:rsidRDefault="00AB1FFE" w:rsidP="007B6224">
      <w:pPr>
        <w:rPr>
          <w:color w:val="000000" w:themeColor="text1"/>
        </w:rPr>
      </w:pPr>
    </w:p>
    <w:p w14:paraId="1F1269C5" w14:textId="5EF57145" w:rsidR="00AB1FFE" w:rsidRDefault="00AB1FFE" w:rsidP="00AB1FFE">
      <w:pPr>
        <w:rPr>
          <w:color w:val="000000" w:themeColor="text1"/>
        </w:rPr>
      </w:pPr>
      <w:r w:rsidRPr="00E150CA">
        <w:rPr>
          <w:color w:val="000000"/>
          <w:shd w:val="clear" w:color="auto" w:fill="FFFFFF"/>
        </w:rPr>
        <w:t>Urban green</w:t>
      </w:r>
      <w:r>
        <w:rPr>
          <w:color w:val="000000"/>
          <w:shd w:val="clear" w:color="auto" w:fill="FFFFFF"/>
        </w:rPr>
        <w:t xml:space="preserve">spaces (such as city parks and tree-lined streets) and blue spaces (like lakes, rivers, and coastlines) </w:t>
      </w:r>
      <w:r w:rsidRPr="00E150CA">
        <w:rPr>
          <w:color w:val="000000"/>
          <w:shd w:val="clear" w:color="auto" w:fill="FFFFFF"/>
        </w:rPr>
        <w:t xml:space="preserve">have been linked to improvements in </w:t>
      </w:r>
      <w:r>
        <w:rPr>
          <w:color w:val="000000"/>
          <w:shd w:val="clear" w:color="auto" w:fill="FFFFFF"/>
        </w:rPr>
        <w:t xml:space="preserve">human </w:t>
      </w:r>
      <w:r w:rsidRPr="00E150CA">
        <w:rPr>
          <w:color w:val="000000"/>
          <w:shd w:val="clear" w:color="auto" w:fill="FFFFFF"/>
        </w:rPr>
        <w:t>health and climate resilienc</w:t>
      </w:r>
      <w:r>
        <w:rPr>
          <w:color w:val="000000"/>
          <w:shd w:val="clear" w:color="auto" w:fill="FFFFFF"/>
        </w:rPr>
        <w:t>y</w:t>
      </w:r>
      <w:r w:rsidRPr="00E150CA">
        <w:rPr>
          <w:color w:val="000000"/>
          <w:shd w:val="clear" w:color="auto" w:fill="FFFFFF"/>
        </w:rPr>
        <w:t xml:space="preserve">. </w:t>
      </w:r>
      <w:r w:rsidRPr="00E150CA">
        <w:rPr>
          <w:color w:val="000000" w:themeColor="text1"/>
        </w:rPr>
        <w:t xml:space="preserve">Greenspace </w:t>
      </w:r>
      <w:r>
        <w:rPr>
          <w:color w:val="000000" w:themeColor="text1"/>
        </w:rPr>
        <w:t>has been</w:t>
      </w:r>
      <w:r w:rsidRPr="00E150CA">
        <w:rPr>
          <w:color w:val="000000" w:themeColor="text1"/>
        </w:rPr>
        <w:t xml:space="preserve"> associated with improved mental and physical health</w:t>
      </w:r>
      <w:r>
        <w:rPr>
          <w:color w:val="000000" w:themeColor="text1"/>
        </w:rPr>
        <w:t>.</w:t>
      </w:r>
      <w:r w:rsidRPr="00E150CA">
        <w:rPr>
          <w:color w:val="000000" w:themeColor="text1"/>
        </w:rPr>
        <w:fldChar w:fldCharType="begin"/>
      </w:r>
      <w:r w:rsidR="007B4DCE">
        <w:rPr>
          <w:color w:val="000000" w:themeColor="text1"/>
        </w:rPr>
        <w:instrText xml:space="preserve"> ADDIN ZOTERO_ITEM CSL_CITATION {"citationID":"V8TDklpW","properties":{"formattedCitation":"\\super 4\\nosupersub{}","plainCitation":"4","noteIndex":0},"citationItems":[{"id":444,"uris":["http://zotero.org/users/10202395/items/569PGLBM"],"itemData":{"id":444,"type":"article-journal","container-title":"The Innovation","DOI":"10.1016/j.xinn.2021.100164","ISSN":"26666758","issue":"4","journalAbbreviation":"The Innovation","language":"en","page":"100164","source":"DOI.org (Crossref)","title":"Greenspace and human health: An umbrella review","title-short":"Greenspace and human health","volume":"2","author":[{"family":"Yang","given":"Bo-Yi"},{"family":"Zhao","given":"Tianyu"},{"family":"Hu","given":"Li-Xin"},{"family":"Browning","given":"Matthew H.E.M."},{"family":"Heinrich","given":"Joachim"},{"family":"Dharmage","given":"Shyamali C."},{"family":"Jalaludin","given":"Bin"},{"family":"Knibbs","given":"Luke D."},{"family":"Liu","given":"Xiao-Xuan"},{"family":"Luo","given":"Ya-Na"},{"family":"James","given":"Peter"},{"family":"Li","given":"Shanshan"},{"family":"Huang","given":"Wen-Zhong"},{"family":"Chen","given":"Gongbo"},{"family":"Zeng","given":"Xiao-Wen"},{"family":"Hu","given":"Li-Wen"},{"family":"Yu","given":"Yunjiang"},{"family":"Dong","given":"Guang-Hui"}],"issued":{"date-parts":[["2021",11]]}}}],"schema":"https://github.com/citation-style-language/schema/raw/master/csl-citation.json"} </w:instrText>
      </w:r>
      <w:r w:rsidRPr="00E150CA">
        <w:rPr>
          <w:color w:val="000000" w:themeColor="text1"/>
        </w:rPr>
        <w:fldChar w:fldCharType="separate"/>
      </w:r>
      <w:r w:rsidR="007B4DCE" w:rsidRPr="007B4DCE">
        <w:rPr>
          <w:color w:val="000000"/>
          <w:vertAlign w:val="superscript"/>
        </w:rPr>
        <w:t>4</w:t>
      </w:r>
      <w:r w:rsidRPr="00E150CA">
        <w:rPr>
          <w:color w:val="000000" w:themeColor="text1"/>
        </w:rPr>
        <w:fldChar w:fldCharType="end"/>
      </w:r>
      <w:r w:rsidR="003F0411">
        <w:rPr>
          <w:color w:val="000000" w:themeColor="text1"/>
        </w:rPr>
        <w:t xml:space="preserve"> Systematic reviews sup</w:t>
      </w:r>
      <w:r w:rsidR="006422ED">
        <w:rPr>
          <w:color w:val="000000" w:themeColor="text1"/>
        </w:rPr>
        <w:t xml:space="preserve">port an association between increased residential greenspace and </w:t>
      </w:r>
      <w:r w:rsidR="006422ED" w:rsidRPr="006422ED">
        <w:rPr>
          <w:color w:val="000000" w:themeColor="text1"/>
        </w:rPr>
        <w:t>decreased risk of depression and anxiety</w:t>
      </w:r>
      <w:r w:rsidR="00E34A08">
        <w:rPr>
          <w:color w:val="000000" w:themeColor="text1"/>
        </w:rPr>
        <w:t>,</w:t>
      </w:r>
      <w:r w:rsidR="006422ED">
        <w:rPr>
          <w:color w:val="000000" w:themeColor="text1"/>
        </w:rPr>
        <w:fldChar w:fldCharType="begin"/>
      </w:r>
      <w:r w:rsidR="006422ED">
        <w:rPr>
          <w:color w:val="000000" w:themeColor="text1"/>
        </w:rPr>
        <w:instrText xml:space="preserve"> ADDIN ZOTERO_ITEM CSL_CITATION {"citationID":"wkTWrXYf","properties":{"formattedCitation":"\\super 5\\nosupersub{}","plainCitation":"5","noteIndex":0},"citationItems":[{"id":699,"uris":["http://zotero.org/users/10202395/items/YYKK7IQ5"],"itemData":{"id":699,"type":"article-journal","abstract":"Background: The development of urbanization has led to emerging mental health issues. Green space was becoming increasingly important for mental health. Previous studies have demonstrated the value of green space for a variety of outcomes connected to mental health. However, uncertainty remains regarding the association between green spaces and the risk of depression and anxiety outcomes. This study aimed to integrate present evidence from observational studies to define the association of exposure to green space with depression and anxiety.\nMethods: A thorough electronic search of PubMed, Web of Science and Embase database was performed. We transformed the odds ratio (OR) of different green increments into per 0.1 unit increase in normalized difference vegetation index (NDVI) and per 10% increase in percentage of green space. Cochrane’s Q and I2 statistics were used to assess study heterogeneity, and random-effects models were employed to calculate combined effect estimation OR with 95% confidence intervals (CIs). Pooled analysis was completed using Stata 15.0.\nResults: According to this meta-analysis, a 10% increase in the proportion of green space was linked to a lower risk of depression (merged OR (95% CI) = 0.963 (0.948, 0.979)) and anxiety (merged OR (95% CI) = 0.938 (0.858, 1.025)) and a 0.1 unit increase in NDVI was linked to a lower risk of depression (merged OR (95% CI) = 0.931 (0.887, 0.977)).\nConclusions: Results of this meta-analysis supported improving green space exposure in preventing depression and anxiety. Higher green space exposure might be helpful for depression and anxiety disorders. Therefore, improving or preserving green space should be regarded as a promising intervention for public health.","container-title":"Environmental Research","DOI":"10.1016/j.envres.2023.116303","ISSN":"00139351","journalAbbreviation":"Environmental Research","language":"en","page":"116303","source":"DOI.org (Crossref)","title":"Green space exposure on depression and anxiety outcomes: A meta-analysis","title-short":"Green space exposure on depression and anxiety outcomes","volume":"231","author":[{"family":"Liu","given":"Ziquan"},{"family":"Chen","given":"Xuemei"},{"family":"Cui","given":"Huanhuan"},{"family":"Ma","given":"Yuxuan"},{"family":"Gao","given":"Ning"},{"family":"Li","given":"Xinyu"},{"family":"Meng","given":"Xiangyan"},{"family":"Lin","given":"Huishu"},{"family":"Abudou","given":"Halidan"},{"family":"Guo","given":"Liqiong"},{"family":"Liu","given":"Qisijing"}],"issued":{"date-parts":[["2023",8]]}}}],"schema":"https://github.com/citation-style-language/schema/raw/master/csl-citation.json"} </w:instrText>
      </w:r>
      <w:r w:rsidR="006422ED">
        <w:rPr>
          <w:color w:val="000000" w:themeColor="text1"/>
        </w:rPr>
        <w:fldChar w:fldCharType="separate"/>
      </w:r>
      <w:r w:rsidR="006422ED" w:rsidRPr="006422ED">
        <w:rPr>
          <w:color w:val="000000"/>
          <w:vertAlign w:val="superscript"/>
        </w:rPr>
        <w:t>5</w:t>
      </w:r>
      <w:r w:rsidR="006422ED">
        <w:rPr>
          <w:color w:val="000000" w:themeColor="text1"/>
        </w:rPr>
        <w:fldChar w:fldCharType="end"/>
      </w:r>
      <w:r w:rsidR="001F7B29" w:rsidRPr="001F7B29">
        <w:rPr>
          <w:color w:val="000000" w:themeColor="text1"/>
        </w:rPr>
        <w:t xml:space="preserve"> </w:t>
      </w:r>
      <w:r w:rsidR="001F7B29" w:rsidRPr="006422ED">
        <w:rPr>
          <w:color w:val="000000" w:themeColor="text1"/>
        </w:rPr>
        <w:t>low birth weight</w:t>
      </w:r>
      <w:r w:rsidR="00E34A08">
        <w:rPr>
          <w:color w:val="000000" w:themeColor="text1"/>
        </w:rPr>
        <w:t>,</w:t>
      </w:r>
      <w:r w:rsidR="001E1F53">
        <w:rPr>
          <w:color w:val="000000" w:themeColor="text1"/>
        </w:rPr>
        <w:fldChar w:fldCharType="begin"/>
      </w:r>
      <w:r w:rsidR="001E1F53">
        <w:rPr>
          <w:color w:val="000000" w:themeColor="text1"/>
        </w:rPr>
        <w:instrText xml:space="preserve"> ADDIN ZOTERO_ITEM CSL_CITATION {"citationID":"21qjSZhC","properties":{"formattedCitation":"\\super 6\\nosupersub{}","plainCitation":"6","noteIndex":0},"citationItems":[{"id":802,"uris":["http://zotero.org/users/10202395/items/MS2MEIVW"],"itemData":{"id":802,"type":"article-journal","abstract":"Background: The amount of natural vegetation surrounding homes (residential greenness) has been proposed as a mitigation measure to buffer the adverse health effects of urban living, associated with promoting health and wellbeing including birth outcomes. This study aimed to systematically review the epidemiological evidence on the association of residential greenness with birth outcomes and quantitatively provide summary effect estimates of the current literature.\nMethods: We extensively searched epidemiological studies related to residential greenness and birth outcomes in three electronic databases (EMBASE, Web of Science, and PubMed) using terms related to residential greenness and birth outcomes before July 10, 2020. Summary effect estimates of residential greenness on birth outcomes including SGA (small for gestational age), PTB (preterm birth), LBW (low birth weight), and birth weight were calculated for each 0.1 unit increase in residential greenness exposure, as well as comparing the highest to the lowest categories using random-effects meta-analyses. We assessed the risk of bias of each individual study, and the overall quality of the body of evidence and level of evidence for each exposure-outcome were also evaluated.\nResults: The initial search identified 161 studies, of which 29 studies were finally included. Meta-analysis for continuous exposure suggested that an increase in residential greenness, measured by NDVI (normalized dif­ ference vegetation index) with different buffer sizes, was generally associated with higher birth weights ranging from 7.99 g [95% confidence interval (CI) = 4.29–11.70] to 15.35 g (95% CI = 11.41–19.29) and lower odds of LBW ranging from 0.79 (95% CI = 0.65–0.96) to 0.93 (95% CI = 0.86–1.00), but associations between residential greenness and PTB or SGA were not significant. When introducing the exposure as high versus low categories, similar results were found. The overall evidence for each exposure-outcome combination was considered to be of “moderate” certainty.\nConclusions: This study indicated a potential positive association between residential greenness and several birth outcomes. However, because of the moderate to high between-study heterogeneity, further studies with better adjustment of covariates, improved residential greenness assessment in a longitudinal approach throughout pregnancy rather than a cross-sectional approach at time of delivery, and accounting thoroughly for socioeco­ nomic status, are warranted to replicate these findings as well as to explore in greater detail in their implications.","container-title":"Environmental Research","DOI":"10.1016/j.envres.2020.110599","ISSN":"00139351","journalAbbreviation":"Environmental Research","language":"en","page":"110599","source":"DOI.org (Crossref)","title":"Residential greenness and birth outcomes: A systematic review and meta-analysis of observational studies","title-short":"Residential greenness and birth outcomes","volume":"193","author":[{"family":"Hu","given":"Cheng-Yang"},{"family":"Yang","given":"Xiao-Jing"},{"family":"Gui","given":"Si-Yu"},{"family":"Ding","given":"Kun"},{"family":"Huang","given":"Kai"},{"family":"Fang","given":"Yuan"},{"family":"Jiang","given":"Zheng-Xuan"},{"family":"Zhang","given":"Xiu-Jun"}],"issued":{"date-parts":[["2021",2]]}}}],"schema":"https://github.com/citation-style-language/schema/raw/master/csl-citation.json"} </w:instrText>
      </w:r>
      <w:r w:rsidR="001E1F53">
        <w:rPr>
          <w:color w:val="000000" w:themeColor="text1"/>
        </w:rPr>
        <w:fldChar w:fldCharType="separate"/>
      </w:r>
      <w:r w:rsidR="001E1F53" w:rsidRPr="001E1F53">
        <w:rPr>
          <w:color w:val="000000"/>
          <w:vertAlign w:val="superscript"/>
        </w:rPr>
        <w:t>6</w:t>
      </w:r>
      <w:r w:rsidR="001E1F53">
        <w:rPr>
          <w:color w:val="000000" w:themeColor="text1"/>
        </w:rPr>
        <w:fldChar w:fldCharType="end"/>
      </w:r>
      <w:r w:rsidR="001F7B29">
        <w:rPr>
          <w:color w:val="000000" w:themeColor="text1"/>
        </w:rPr>
        <w:t xml:space="preserve"> </w:t>
      </w:r>
      <w:r w:rsidR="00E34A08" w:rsidRPr="006422ED">
        <w:rPr>
          <w:color w:val="000000" w:themeColor="text1"/>
        </w:rPr>
        <w:t xml:space="preserve">cardiovascular </w:t>
      </w:r>
      <w:r w:rsidR="00E34A08">
        <w:rPr>
          <w:color w:val="000000" w:themeColor="text1"/>
        </w:rPr>
        <w:t>events,</w:t>
      </w:r>
      <w:r w:rsidR="00E34A08" w:rsidRPr="006422ED">
        <w:rPr>
          <w:color w:val="000000" w:themeColor="text1"/>
        </w:rPr>
        <w:fldChar w:fldCharType="begin"/>
      </w:r>
      <w:r w:rsidR="00B050E8">
        <w:rPr>
          <w:color w:val="000000" w:themeColor="text1"/>
        </w:rPr>
        <w:instrText xml:space="preserve"> ADDIN ZOTERO_ITEM CSL_CITATION {"citationID":"8kCKlDu0","properties":{"formattedCitation":"\\super 7\\nosupersub{}","plainCitation":"7","noteIndex":0},"citationItems":[{"id":644,"uris":["http://zotero.org/users/10202395/items/QEKIXS6B"],"itemData":{"id":644,"type":"article-journal","abstract":"Significance Globally, cardiovascular disease (CVD) and cancer are leading causes of morbidity and mortality. While having different etiologies, CVD and cancer are linked by multiple shared risk factors, the presence of which exacerbate adverse outcomes for individuals with either disease. For both pathologies, factors such as poverty, lack of physical activity (PA), poor dietary intake, and climate change increase risk of adverse outcomes. Prior research has shown that greenspaces and other nature-based interventions (NBIs) contribute to improved health outcomes and climate change resilience.","container-title":"PLOS ONE","DOI":"10.1371/journal.pone.0276517","ISSN":"1932-6203","issue":"11","journalAbbreviation":"PLoS ONE","language":"en","page":"e0276517","source":"DOI.org (Crossref)","title":"The impact of greenspace or nature-based interventions on cardiovascular health or cancer-related outcomes: A systematic review of experimental studies","title-short":"The impact of greenspace or nature-based interventions on cardiovascular health or cancer-related outcomes","volume":"17","author":[{"family":"Bikomeye","given":"Jean C."},{"family":"Balza","given":"Joanna S."},{"family":"Kwarteng","given":"Jamila L."},{"family":"Beyer","given":"Andreas M."},{"family":"Beyer","given":"Kirsten M. M."}],"editor":[{"family":"Bottoms","given":"Lindsay"}],"issued":{"date-parts":[["2022",11,23]]}}}],"schema":"https://github.com/citation-style-language/schema/raw/master/csl-citation.json"} </w:instrText>
      </w:r>
      <w:r w:rsidR="00E34A08" w:rsidRPr="006422ED">
        <w:rPr>
          <w:color w:val="000000" w:themeColor="text1"/>
        </w:rPr>
        <w:fldChar w:fldCharType="separate"/>
      </w:r>
      <w:r w:rsidR="00B050E8" w:rsidRPr="00B050E8">
        <w:rPr>
          <w:color w:val="000000"/>
          <w:vertAlign w:val="superscript"/>
        </w:rPr>
        <w:t>7</w:t>
      </w:r>
      <w:r w:rsidR="00E34A08" w:rsidRPr="006422ED">
        <w:rPr>
          <w:color w:val="000000" w:themeColor="text1"/>
        </w:rPr>
        <w:fldChar w:fldCharType="end"/>
      </w:r>
      <w:r w:rsidR="00E34A08">
        <w:rPr>
          <w:color w:val="000000" w:themeColor="text1"/>
        </w:rPr>
        <w:t xml:space="preserve"> </w:t>
      </w:r>
      <w:r w:rsidR="001F7B29" w:rsidRPr="006422ED">
        <w:rPr>
          <w:color w:val="000000" w:themeColor="text1"/>
        </w:rPr>
        <w:t>lung and prostate cancer mortality</w:t>
      </w:r>
      <w:r w:rsidR="00E34A08">
        <w:rPr>
          <w:color w:val="000000" w:themeColor="text1"/>
        </w:rPr>
        <w:t>,</w:t>
      </w:r>
      <w:r w:rsidR="001F7B29" w:rsidRPr="006422ED">
        <w:rPr>
          <w:color w:val="000000" w:themeColor="text1"/>
        </w:rPr>
        <w:fldChar w:fldCharType="begin"/>
      </w:r>
      <w:r w:rsidR="00B050E8">
        <w:rPr>
          <w:color w:val="000000" w:themeColor="text1"/>
        </w:rPr>
        <w:instrText xml:space="preserve"> ADDIN ZOTERO_ITEM CSL_CITATION {"citationID":"EWvGnmaY","properties":{"formattedCitation":"\\super 8\\nosupersub{}","plainCitation":"8","noteIndex":0},"citationItems":[{"id":701,"uris":["http://zotero.org/users/10202395/items/TTQ58A8X"],"itemData":{"id":701,"type":"article-journal","container-title":"Environmental Science and Pollution Research","DOI":"10.1007/s11356-023-28461-5","ISSN":"1614-7499","issue":"39","journalAbbreviation":"Environ Sci Pollut Res","language":"en","page":"91140-91157","source":"DOI.org (Crossref)","title":"Association between greenspace and cancer: evidence from a systematic review and meta-analysis of multiple large cohort studies","title-short":"Association between greenspace and cancer","volume":"30","author":[{"family":"Li","given":"Jiang"},{"family":"Xie","given":"Yafei"},{"family":"Xu","given":"Jianguo"},{"family":"Zhang","given":"Chun"},{"family":"Wang","given":"Huilin"},{"family":"Huang","given":"Danqi"},{"family":"Li","given":"Guoqiang"},{"family":"Tian","given":"Jinhui"}],"issued":{"date-parts":[["2023",7,20]]}}}],"schema":"https://github.com/citation-style-language/schema/raw/master/csl-citation.json"} </w:instrText>
      </w:r>
      <w:r w:rsidR="001F7B29" w:rsidRPr="006422ED">
        <w:rPr>
          <w:color w:val="000000" w:themeColor="text1"/>
        </w:rPr>
        <w:fldChar w:fldCharType="separate"/>
      </w:r>
      <w:r w:rsidR="00B050E8" w:rsidRPr="00B050E8">
        <w:rPr>
          <w:color w:val="000000"/>
          <w:vertAlign w:val="superscript"/>
        </w:rPr>
        <w:t>8</w:t>
      </w:r>
      <w:r w:rsidR="001F7B29" w:rsidRPr="006422ED">
        <w:rPr>
          <w:color w:val="000000" w:themeColor="text1"/>
        </w:rPr>
        <w:fldChar w:fldCharType="end"/>
      </w:r>
      <w:r w:rsidR="001F7B29">
        <w:rPr>
          <w:color w:val="000000" w:themeColor="text1"/>
        </w:rPr>
        <w:t xml:space="preserve"> </w:t>
      </w:r>
      <w:r w:rsidR="00E34A08" w:rsidRPr="006422ED">
        <w:rPr>
          <w:color w:val="000000" w:themeColor="text1"/>
        </w:rPr>
        <w:t>and all-cause mortalit</w:t>
      </w:r>
      <w:r w:rsidR="00E34A08">
        <w:rPr>
          <w:color w:val="000000" w:themeColor="text1"/>
        </w:rPr>
        <w:t>y</w:t>
      </w:r>
      <w:r w:rsidR="00FF7320">
        <w:rPr>
          <w:color w:val="000000" w:themeColor="text1"/>
        </w:rPr>
        <w:t>.</w:t>
      </w:r>
      <w:r w:rsidR="00E34A08">
        <w:rPr>
          <w:color w:val="000000" w:themeColor="text1"/>
        </w:rPr>
        <w:fldChar w:fldCharType="begin"/>
      </w:r>
      <w:r w:rsidR="00B050E8">
        <w:rPr>
          <w:color w:val="000000" w:themeColor="text1"/>
        </w:rPr>
        <w:instrText xml:space="preserve"> ADDIN ZOTERO_ITEM CSL_CITATION {"citationID":"KR5MV0Hf","properties":{"formattedCitation":"\\super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E34A08">
        <w:rPr>
          <w:color w:val="000000" w:themeColor="text1"/>
        </w:rPr>
        <w:fldChar w:fldCharType="separate"/>
      </w:r>
      <w:r w:rsidR="00B050E8" w:rsidRPr="00B050E8">
        <w:rPr>
          <w:color w:val="000000"/>
          <w:vertAlign w:val="superscript"/>
        </w:rPr>
        <w:t>9</w:t>
      </w:r>
      <w:r w:rsidR="00E34A08">
        <w:rPr>
          <w:color w:val="000000" w:themeColor="text1"/>
        </w:rPr>
        <w:fldChar w:fldCharType="end"/>
      </w:r>
      <w:r w:rsidR="006422ED" w:rsidRPr="006422ED">
        <w:rPr>
          <w:color w:val="000000" w:themeColor="text1"/>
        </w:rPr>
        <w:t xml:space="preserve"> </w:t>
      </w:r>
      <w:r w:rsidRPr="00E150CA">
        <w:rPr>
          <w:color w:val="000000" w:themeColor="text1"/>
        </w:rPr>
        <w:t>While less studied, blue space has also been linked to improved health</w:t>
      </w:r>
      <w:r>
        <w:rPr>
          <w:color w:val="000000" w:themeColor="text1"/>
        </w:rPr>
        <w:t>.</w:t>
      </w:r>
      <w:r w:rsidRPr="00E150CA">
        <w:rPr>
          <w:color w:val="000000" w:themeColor="text1"/>
        </w:rPr>
        <w:fldChar w:fldCharType="begin"/>
      </w:r>
      <w:r w:rsidR="00E34A08">
        <w:rPr>
          <w:color w:val="000000" w:themeColor="text1"/>
        </w:rPr>
        <w:instrText xml:space="preserve"> ADDIN ZOTERO_ITEM CSL_CITATION {"citationID":"mYo2d5Lp","properties":{"formattedCitation":"\\super 10\\nosupersub{}","plainCitation":"10","noteIndex":0},"citationItems":[{"id":74,"uris":["http://zotero.org/users/10202395/items/4TYTJGWL"],"itemData":{"id":74,"type":"article-journal","abstract":"Blue spaces, defined as all forms of natural and manmade surface water, are an integral part of cities. This is the first quantitative synthesis of the health impacts of urban blue spaces. Research exploring the health benefits of blue spaces in urban contexts is emergent and, thus, a systematic review and meta-analysis of the evidence is deemed timely. We searched seven databases from inception to August 2019. From 4493 screened citations, 25 eligible studies were identified. Fourteen of these were included in a quantitative synthesis. We found a bene­ ficial association between urban blue space and obesity (β = -0.34, 95% CI [-0.19, -0.09], p &lt; 0.001), all-cause mortality (HR = 0.99, 95% CI [0.97, 1.00], p = 0.038), general health (Cohen’s d = -0.09, 95% CI [-0.10, -0.08], p &lt; 0.001) and self-reported mental health and wellbeing (Cohen’s d = -0.25, 95% CI [-0.44, -0.07], p &lt; 0.001). Effect sizes were small but statistically significant and the overall quality of evidence was good. Evidence for all other health outcomes was incommensurable, and so we provide a narrative description of study results for those outcomes. Although evidence is growing within the field of urban blue space and health, the body of evidence remains small and heterogeneous. More research is required to further understand and harness the benefits of urban blue spaces for public health and guide urban blue space management and development.","container-title":"Cities","DOI":"10.1016/j.cities.2021.103413","ISSN":"02642751","journalAbbreviation":"Cities","language":"en","page":"103413","source":"DOI.org (Crossref)","title":"Urban blue spaces and human health: A systematic review and meta-analysis of quantitative studies","title-short":"Urban blue spaces and human health","volume":"119","author":[{"family":"Smith","given":"Niamh"},{"family":"Georgiou","given":"Michail"},{"family":"King","given":"Abby C."},{"family":"Tieges","given":"Zoë"},{"family":"Webb","given":"Stephen"},{"family":"Chastin","given":"Sebastien"}],"issued":{"date-parts":[["2021",12]]}}}],"schema":"https://github.com/citation-style-language/schema/raw/master/csl-citation.json"} </w:instrText>
      </w:r>
      <w:r w:rsidRPr="00E150CA">
        <w:rPr>
          <w:color w:val="000000" w:themeColor="text1"/>
        </w:rPr>
        <w:fldChar w:fldCharType="separate"/>
      </w:r>
      <w:r w:rsidR="00E34A08" w:rsidRPr="00E34A08">
        <w:rPr>
          <w:color w:val="000000"/>
          <w:vertAlign w:val="superscript"/>
        </w:rPr>
        <w:t>10</w:t>
      </w:r>
      <w:r w:rsidRPr="00E150CA">
        <w:rPr>
          <w:color w:val="000000" w:themeColor="text1"/>
        </w:rPr>
        <w:fldChar w:fldCharType="end"/>
      </w:r>
      <w:r w:rsidRPr="00E150CA">
        <w:rPr>
          <w:color w:val="000000" w:themeColor="text1"/>
        </w:rPr>
        <w:t xml:space="preserve"> Urban </w:t>
      </w:r>
      <w:r>
        <w:rPr>
          <w:color w:val="000000" w:themeColor="text1"/>
        </w:rPr>
        <w:t>green and blue spaces</w:t>
      </w:r>
      <w:r w:rsidRPr="00E150CA">
        <w:rPr>
          <w:color w:val="000000" w:themeColor="text1"/>
        </w:rPr>
        <w:t xml:space="preserve"> </w:t>
      </w:r>
      <w:r>
        <w:rPr>
          <w:color w:val="000000" w:themeColor="text1"/>
        </w:rPr>
        <w:t>have</w:t>
      </w:r>
      <w:r w:rsidRPr="00E150CA">
        <w:rPr>
          <w:color w:val="000000" w:themeColor="text1"/>
        </w:rPr>
        <w:t xml:space="preserve"> </w:t>
      </w:r>
      <w:r>
        <w:rPr>
          <w:color w:val="000000" w:themeColor="text1"/>
        </w:rPr>
        <w:t xml:space="preserve">also been </w:t>
      </w:r>
      <w:r w:rsidRPr="00E150CA">
        <w:rPr>
          <w:color w:val="000000" w:themeColor="text1"/>
        </w:rPr>
        <w:t xml:space="preserve">associated with beneficial environmental outcomes such as better storm water management and heat regulation, increased biodiversity, and reductions in air pollution and ultraviolet </w:t>
      </w:r>
      <w:r>
        <w:rPr>
          <w:color w:val="000000" w:themeColor="text1"/>
        </w:rPr>
        <w:t>radiation.</w:t>
      </w:r>
      <w:r w:rsidRPr="00E150CA">
        <w:rPr>
          <w:color w:val="000000" w:themeColor="text1"/>
        </w:rPr>
        <w:fldChar w:fldCharType="begin"/>
      </w:r>
      <w:r w:rsidR="00E34A08">
        <w:rPr>
          <w:color w:val="000000" w:themeColor="text1"/>
        </w:rPr>
        <w:instrText xml:space="preserve"> ADDIN ZOTERO_ITEM CSL_CITATION {"citationID":"8Gjz6iNG","properties":{"formattedCitation":"\\super 11\\uc0\\u8211{}14\\nosupersub{}","plainCitation":"11–14","noteIndex":0},"citationItems":[{"id":725,"uris":["http://zotero.org/users/10202395/items/S87ZWPVR"],"itemData":{"id":725,"type":"article-journal","abstract":"Background: As populations become increasingly urbanised, the preservation of urban green space (UGS) becomes paramount. UGS is not just dedicated recreational space such as public parks, but other types of informal green space are important, for example, street trees and roof gardens. Despite the potential from cross-sectional evidence, we know little about how to design new, or improve or promote existing UGS for health, wellbeing, social and environmental benefits, or known influencing factors such as physical activity.","container-title":"Environment International","DOI":"10.1016/j.envint.2019.104923","ISSN":"01604120","journalAbbreviation":"Environment International","language":"en","page":"104923","source":"DOI.org (Crossref)","title":"Environmental, health, wellbeing, social and equity effects of urban green space interventions: A meta-narrative evidence synthesis","title-short":"Environmental, health, wellbeing, social and equity effects of urban green space interventions","volume":"130","author":[{"family":"Hunter","given":"R.F."},{"family":"Cleland","given":"C."},{"family":"Cleary","given":"A."},{"family":"Droomers","given":"M."},{"family":"Wheeler","given":"B.W."},{"family":"Sinnett","given":"D."},{"family":"Nieuwenhuijsen","given":"M.J."},{"family":"Braubach","given":"M."}],"issued":{"date-parts":[["2019",9]]}}},{"id":723,"uris":["http://zotero.org/users/10202395/items/WGRRFG2J"],"itemData":{"id":723,"type":"article-journal","abstract":"The urban forest is a green infrastructure system that delivers multiple environmental, economic, social and health services, and functions in cities. Environmental beneﬁts of urban trees are well understood, but no review to date has examined how urban trees aﬀect human health. This review provides a comprehensive summary of existing literature on the health impacts of urban trees that can inform future research, policy, and nature-based public health interventions. A systematic search used keywords representing human health, environmental health, and urban forestry. Following screening and appraisal of several thousand articles, 201 studies were conceptually sorted into a three-part framework. Reducing Harm, representing 41% of studies, includes topics such as air pollution, ultraviolet radiation, heat exposure, and pollen. Restoring Capacities, at 31%, includes attention restoration, mental health, stress reduction, and clinical outcomes. Building Capacities, at 28%, includes topics such as birth outcomes, active living, and weight status. The studies that were reviewed show substantial heterogeneity in purpose and method yet indicate important health outcomes associated with people’s exposure to trees. This review will help inform future research and practice, and demonstrates why urban forest planning and management should strategically promote trees as a social determinant of public health.","container-title":"International Journal of Environmental Research and Public Health","DOI":"10.3390/ijerph17124371","ISSN":"1660-4601","issue":"12","journalAbbreviation":"IJERPH","language":"en","page":"4371","source":"DOI.org (Crossref)","title":"Urban Trees and Human Health: A Scoping Review","title-short":"Urban Trees and Human Health","volume":"17","author":[{"family":"Wolf","given":"Kathleen L."},{"family":"Lam","given":"Sharon T."},{"family":"McKeen","given":"Jennifer K."},{"family":"Richardson","given":"Gregory R.A."},{"family":"Van Den Bosch","given":"Matilda"},{"family":"Bardekjian","given":"Adrina C."}],"issued":{"date-parts":[["2020",6,18]]}}},{"id":637,"uris":["http://zotero.org/users/10202395/items/5MR68GMP"],"itemData":{"id":637,"type":"article-journal","abstract":"A growing body of literature recognises the importance of nature-based solutions in providing resilience to the effects of climate change by mitigating urban heat islands. However, a knowledge gap exists regarding the contribution of blue spaces to the urban environment. Recent evidence suggests that blue spaces within urban canyons can promote pollutant removal via the vertical transport of air under certain conditions, but this is inconclusive. Using a numerical solver that accounts for evaporation effects, we investigate the inﬂuence of blue space size and shape on the in-canyon ﬂow structure, temperature and water vapour distribution. Simulations were performed for water bodies of varying size and shape at different temperatures compared to the surrounding air. Results suggest that inadequately sized warmer water bodies are unable to promote sufﬁcient vertical transport for pollutant removal, leading to overturning and increased temperature and humidity levels at the pedestrian level, thereby worsening environmental conditions and increasing the risk of heat-related illness and mortality. Hence, larger water bodies are better suited to nocturnal transport of pollutants and accumulated warm air away from the urban surface, while smaller water bodies are better suited to providing localised evaporative cooling. Lastly, irregular water bodies may have a greater cooling effect across a larger area.","container-title":"Climate","DOI":"10.3390/cli11020028","ISSN":"2225-1154","issue":"2","journalAbbreviation":"Climate","language":"en","page":"28","source":"DOI.org (Crossref)","title":"Impact of Blue Space Geometry on Urban Heat Island Mitigation","volume":"11","author":[{"family":"Ampatzidis","given":"Petros"},{"family":"Cintolesi","given":"Carlo"},{"family":"Kershaw","given":"Tristan"}],"issued":{"date-parts":[["2023",1,19]]}}},{"id":728,"uris":["http://zotero.org/users/10202395/items/XD3LPKLF"],"itemData":{"id":728,"type":"article-journal","abstract":"Research in recent years has demonstrated that urban surface waters (“urban blue spaces”) can provide beneﬁcial effects on human health and wellbeing. Despite blue spaces prevailing on urban development agendas across the world, little investigation has been done whether and how the regeneration of such spaces is used as a (community-based) public health intervention. Therefore, a review was conducted to analyze urban blue space regeneration projects in terms of their signiﬁcance for public health. Results show that the regeneration of urban blue spaces displays a diversity of intervention types and follows certain development trends seen in general urban regeneration: Similarities mainly arise in relation to objectives (multi-dimensional goals with increasing focus on environmental sustainability and economic interests), stakeholders (shift to multi-actor governance with a rise of partnerships and community participation), and funding (prevalence of mixed ﬁnancial schemes and increasing reliance on external funding sources). Although threefold public health effects have been noted across the projects (i. behavioral changes toward healthier lifestyles, ii. healthier urban environments, iii. health policy changes), results of this review indicate that the potential to use urban blue regeneration as a community-based health intervention has yet to be realized.","container-title":"Frontiers in Public Health","DOI":"10.3389/fpubh.2021.782101","ISSN":"2296-2565","journalAbbreviation":"Front. Public Health","language":"en","page":"782101","source":"DOI.org (Crossref)","title":"The Regeneration of Urban Blue Spaces: A Public Health Intervention? Reviewing the Evidence","title-short":"The Regeneration of Urban Blue Spaces","volume":"9","author":[{"family":"Brückner","given":"Anna"},{"family":"Falkenberg","given":"Timo"},{"family":"Heinzel","given":"Christine"},{"family":"Kistemann","given":"Thomas"}],"issued":{"date-parts":[["2022",1,13]]}}}],"schema":"https://github.com/citation-style-language/schema/raw/master/csl-citation.json"} </w:instrText>
      </w:r>
      <w:r w:rsidRPr="00E150CA">
        <w:rPr>
          <w:color w:val="000000" w:themeColor="text1"/>
        </w:rPr>
        <w:fldChar w:fldCharType="separate"/>
      </w:r>
      <w:r w:rsidR="00E34A08" w:rsidRPr="00E34A08">
        <w:rPr>
          <w:color w:val="000000"/>
          <w:vertAlign w:val="superscript"/>
        </w:rPr>
        <w:t>11–14</w:t>
      </w:r>
      <w:r w:rsidRPr="00E150CA">
        <w:rPr>
          <w:color w:val="000000" w:themeColor="text1"/>
        </w:rPr>
        <w:fldChar w:fldCharType="end"/>
      </w:r>
      <w:r w:rsidRPr="00E150CA">
        <w:rPr>
          <w:color w:val="000000" w:themeColor="text1"/>
        </w:rPr>
        <w:t xml:space="preserve"> Greenspace has generally been the focus of urban nature policies and interventions, as it is more feasible to </w:t>
      </w:r>
      <w:r>
        <w:rPr>
          <w:color w:val="000000" w:themeColor="text1"/>
        </w:rPr>
        <w:t>create</w:t>
      </w:r>
      <w:r w:rsidRPr="00E150CA">
        <w:rPr>
          <w:color w:val="000000" w:themeColor="text1"/>
        </w:rPr>
        <w:t xml:space="preserve"> than blue space.</w:t>
      </w:r>
      <w:r w:rsidR="007A02E0">
        <w:rPr>
          <w:color w:val="000000" w:themeColor="text1"/>
        </w:rPr>
        <w:t xml:space="preserve"> Three main pathways have been hypothesized to link greenspace with health: reduced environmental harm (i.e. </w:t>
      </w:r>
      <w:r w:rsidR="007A02E0" w:rsidRPr="00133807">
        <w:rPr>
          <w:color w:val="000000"/>
        </w:rPr>
        <w:t>less heat, noise, and air pollution), restor</w:t>
      </w:r>
      <w:r w:rsidR="007A02E0">
        <w:rPr>
          <w:color w:val="000000"/>
        </w:rPr>
        <w:t>ation</w:t>
      </w:r>
      <w:r w:rsidR="007A02E0" w:rsidRPr="00133807">
        <w:rPr>
          <w:color w:val="000000"/>
        </w:rPr>
        <w:t xml:space="preserve"> capacities (i.e. reduced stress), and building capacities (i.e. increased physical activity and social gathering)</w:t>
      </w:r>
      <w:r w:rsidR="005E459E">
        <w:rPr>
          <w:color w:val="000000"/>
        </w:rPr>
        <w:t>.</w:t>
      </w:r>
      <w:r w:rsidR="007B4DCE">
        <w:rPr>
          <w:color w:val="000000"/>
        </w:rPr>
        <w:fldChar w:fldCharType="begin"/>
      </w:r>
      <w:r w:rsidR="00E34A08">
        <w:rPr>
          <w:color w:val="000000"/>
        </w:rPr>
        <w:instrText xml:space="preserve"> ADDIN ZOTERO_ITEM CSL_CITATION {"citationID":"sIvVNiNQ","properties":{"formattedCitation":"\\super 15\\nosupersub{}","plainCitation":"15","noteIndex":0},"citationItems":[{"id":280,"uris":["http://zotero.org/users/10202395/items/CK6S8WDF"],"itemData":{"id":280,"type":"article-journal","abstract":"Background\nIn a rapidly urbanizing world, many people have little contact with natural environments, which may affect health and well-being. Existing reviews generally conclude that residential greenspace is beneficial to health. However, the processes generating these benefits and how they can be best promoted remain unclear.\nObjectives\nDuring an Expert Workshop held in September 2016, the evidence linking greenspace and health was reviewed from a transdisciplinary standpoint, with a particular focus on potential underlying biopsychosocial pathways and how these can be explored and organized to support policy-relevant population health research.\nDiscussions\nPotential pathways linking greenspace to health are here presented in three domains, which emphasize three general functions of greenspace: reducing harm (e.g. reducing exposure to air pollution, noise and heat), restoring capacities (e.g. attention restoration and physiological stress recovery) and building capacities (e.g. encouraging physical activity and facilitating social cohesion). Interrelations between among the three domains are also noted. Among several recommendations, future studies should: use greenspace and behavioural measures that are relevant to hypothesized pathways; include assessment of presence, access and use of greenspace; use longitudinal, interventional and (quasi)experimental study designs to assess causation; and include low and middle income countries given their absence in the existing literature. Cultural, climatic, geographic and other contextual factors also need further consideration.\nConclusions\nWhile the existing evidence affirms beneficial impacts of greenspace on health, much remains to be learned about the specific pathways and functional form of such relationships, and how these may vary by context, population groups and health outcomes. This Report provides guidance for further epidemiological research with the goal of creating new evidence upon which to develop policy recommendations.","container-title":"Environmental Research","DOI":"10.1016/j.envres.2017.06.028","ISSN":"0013-9351","journalAbbreviation":"Environmental Research","language":"en","page":"301-317","source":"ScienceDirect","title":"Exploring pathways linking greenspace to health: Theoretical and methodological guidance","title-short":"Exploring pathways linking greenspace to health","volume":"158","author":[{"family":"Markevych","given":"Iana"},{"family":"Schoierer","given":"Julia"},{"family":"Hartig","given":"Terry"},{"family":"Chudnovsky","given":"Alexandra"},{"family":"Hystad","given":"Perry"},{"family":"Dzhambov","given":"Angel M."},{"family":"Vries","given":"Sjerp","non-dropping-particle":"de"},{"family":"Triguero-Mas","given":"Margarita"},{"family":"Brauer","given":"Michael"},{"family":"Nieuwenhuijsen","given":"Mark J."},{"family":"Lupp","given":"Gerd"},{"family":"Richardson","given":"Elizabeth A."},{"family":"Astell-Burt","given":"Thomas"},{"family":"Dimitrova","given":"Donka"},{"family":"Feng","given":"Xiaoqi"},{"family":"Sadeh","given":"Maya"},{"family":"Standl","given":"Marie"},{"family":"Heinrich","given":"Joachim"},{"family":"Fuertes","given":"Elaine"}],"issued":{"date-parts":[["2017",10,1]]}}}],"schema":"https://github.com/citation-style-language/schema/raw/master/csl-citation.json"} </w:instrText>
      </w:r>
      <w:r w:rsidR="007B4DCE">
        <w:rPr>
          <w:color w:val="000000"/>
        </w:rPr>
        <w:fldChar w:fldCharType="separate"/>
      </w:r>
      <w:r w:rsidR="00E34A08" w:rsidRPr="00E34A08">
        <w:rPr>
          <w:color w:val="000000"/>
          <w:vertAlign w:val="superscript"/>
        </w:rPr>
        <w:t>15</w:t>
      </w:r>
      <w:r w:rsidR="007B4DCE">
        <w:rPr>
          <w:color w:val="000000"/>
        </w:rPr>
        <w:fldChar w:fldCharType="end"/>
      </w:r>
      <w:r w:rsidR="00722DE3">
        <w:rPr>
          <w:color w:val="000000"/>
        </w:rPr>
        <w:t xml:space="preserve"> Mediation studies</w:t>
      </w:r>
      <w:r w:rsidR="00861214">
        <w:rPr>
          <w:color w:val="000000"/>
        </w:rPr>
        <w:t xml:space="preserve"> </w:t>
      </w:r>
      <w:r w:rsidR="00722DE3">
        <w:rPr>
          <w:color w:val="000000"/>
        </w:rPr>
        <w:t xml:space="preserve">have </w:t>
      </w:r>
      <w:r w:rsidR="00722DE3" w:rsidRPr="00133807">
        <w:rPr>
          <w:color w:val="000000"/>
        </w:rPr>
        <w:t>found evidence that greenspace is associated with health through better air quality, increased physical activity, and reduced stress</w:t>
      </w:r>
      <w:r w:rsidR="00722DE3">
        <w:rPr>
          <w:color w:val="000000"/>
        </w:rPr>
        <w:t>.</w:t>
      </w:r>
      <w:r w:rsidR="00722DE3">
        <w:rPr>
          <w:color w:val="000000"/>
        </w:rPr>
        <w:fldChar w:fldCharType="begin"/>
      </w:r>
      <w:r w:rsidR="00E34A08">
        <w:rPr>
          <w:color w:val="000000"/>
        </w:rPr>
        <w:instrText xml:space="preserve"> ADDIN ZOTERO_ITEM CSL_CITATION {"citationID":"YStRrlxy","properties":{"formattedCitation":"\\super 16\\nosupersub{}","plainCitation":"16","noteIndex":0},"citationItems":[{"id":270,"uris":["http://zotero.org/users/10202395/items/NVXQT3QC"],"itemData":{"id":270,"type":"article-journal","abstract":"Background: With an increasing volume of research exploring the pathways linking greenspace exposure to mental health, there is a need to synthesise the strength of evidence on the mediation mechanisms. Synthesising the strength of evidence on the pathways can help us better understand how greenspace exposure affects mental health and guide future green space interventions to improve mental health.\nPurpose: The purpose of this study was to synthesise current evidence on the pathways linking objectivelymeasured greenspace exposure and mental health using a systematic review approach.\nMethods: Literature searches were conducted in March 2020 from five common databases (i.e., MEDLINE, Embase, PsycINFO, SPORTDiscus, and Web of Science) using search terms of green spaces and mental health. English language and human population were imposed as search limits. The Preferred Reporting Items for Systematic reviews and Meta-Analysis (PRISMA) guideline was followed to synthesise and report results.\nResults: The initial systematic searches yielded 16,415 records, of which 26 studies met the inclusion criteria. Mixed or non-significant evidence was revealed for the mediating effects of air quality, physical activity, perceived stress, perceived restorativeness, residential noise, social cohesion, and social support on the pathways from greenspace exposure to mental illness. The effect of greenspace exposure on mental well-being was mediated by air quality, perceived stress, and physical activity. In addition, mixed evidence was revealed for the mediating role of social cohesion on the path from greenspace exposure to mental well-being.\nConclusions: This systematic review highlighted the key pathways linking green spaces to mental well-being via harmful mitigation, psychological restoration, and encouragement of health-related behaviours. Evidence for the pathway between greenspace exposure and mental illness is equivocal at present. Future research is recom­ mended to adopt well-designed longitudinal and experimental studies to establish causal inferences on mental health benefits of greenspace exposure.","container-title":"Environmental Research","DOI":"10.1016/j.envres.2021.111233","ISSN":"00139351","journalAbbreviation":"Environmental Research","language":"en","page":"111233","source":"DOI.org (Crossref)","title":"The pathways linking objectively-measured greenspace exposure and mental health: A systematic review of observational studies","title-short":"The pathways linking objectively-measured greenspace exposure and mental health","volume":"198","author":[{"family":"Zhang","given":"Ru"},{"family":"Zhang","given":"Chun-Qing"},{"family":"Rhodes","given":"Ryan E."}],"issued":{"date-parts":[["2021",7]]}}}],"schema":"https://github.com/citation-style-language/schema/raw/master/csl-citation.json"} </w:instrText>
      </w:r>
      <w:r w:rsidR="00722DE3">
        <w:rPr>
          <w:color w:val="000000"/>
        </w:rPr>
        <w:fldChar w:fldCharType="separate"/>
      </w:r>
      <w:r w:rsidR="00E34A08" w:rsidRPr="00E34A08">
        <w:rPr>
          <w:color w:val="000000"/>
          <w:vertAlign w:val="superscript"/>
        </w:rPr>
        <w:t>16</w:t>
      </w:r>
      <w:r w:rsidR="00722DE3">
        <w:rPr>
          <w:color w:val="000000"/>
        </w:rPr>
        <w:fldChar w:fldCharType="end"/>
      </w:r>
      <w:r w:rsidR="00722DE3" w:rsidDel="007B4DCE">
        <w:rPr>
          <w:color w:val="000000"/>
        </w:rPr>
        <w:t xml:space="preserve"> </w:t>
      </w:r>
    </w:p>
    <w:p w14:paraId="02B1D303" w14:textId="77777777" w:rsidR="00580922" w:rsidRDefault="00580922" w:rsidP="007B6224">
      <w:pPr>
        <w:rPr>
          <w:color w:val="000000" w:themeColor="text1"/>
        </w:rPr>
      </w:pPr>
    </w:p>
    <w:p w14:paraId="69B3D446" w14:textId="5CC71413" w:rsidR="00AE765C" w:rsidRDefault="00791C22" w:rsidP="007B6224">
      <w:pPr>
        <w:rPr>
          <w:color w:val="000000"/>
          <w:shd w:val="clear" w:color="auto" w:fill="FFFFFF"/>
        </w:rPr>
      </w:pPr>
      <w:r>
        <w:rPr>
          <w:color w:val="000000" w:themeColor="text1"/>
        </w:rPr>
        <w:t>Studies linking greenspace to reductions in mortality have generally use the Normalized Difference Vegetation Index (NDVI). NDVI is a satellite-derived measure that uses red and near-infrared light waves to</w:t>
      </w:r>
      <w:r w:rsidR="00B66810">
        <w:rPr>
          <w:color w:val="000000" w:themeColor="text1"/>
        </w:rPr>
        <w:t xml:space="preserve"> determine the health and density of vegetation.</w:t>
      </w:r>
      <w:r w:rsidR="00B66810">
        <w:rPr>
          <w:color w:val="000000" w:themeColor="text1"/>
        </w:rPr>
        <w:fldChar w:fldCharType="begin"/>
      </w:r>
      <w:r w:rsidR="00E34A08">
        <w:rPr>
          <w:color w:val="000000" w:themeColor="text1"/>
        </w:rPr>
        <w:instrText xml:space="preserve"> ADDIN ZOTERO_ITEM CSL_CITATION {"citationID":"25xi92bS","properties":{"formattedCitation":"\\super 17\\nosupersub{}","plainCitation":"17","noteIndex":0},"citationItems":[{"id":777,"uris":["http://zotero.org/users/10202395/items/3XYGY6X4"],"itemData":{"id":777,"type":"webpage","title":"NDVI, the Foundation for Remote Sensing Phenology | U.S. Geological Survey","URL":"https://www.usgs.gov/special-topics/remote-sensing-phenology/science/ndvi-foundation-remote-sensing-phenology","accessed":{"date-parts":[["2025",1,6]]}}}],"schema":"https://github.com/citation-style-language/schema/raw/master/csl-citation.json"} </w:instrText>
      </w:r>
      <w:r w:rsidR="00B66810">
        <w:rPr>
          <w:color w:val="000000" w:themeColor="text1"/>
        </w:rPr>
        <w:fldChar w:fldCharType="separate"/>
      </w:r>
      <w:r w:rsidR="00E34A08" w:rsidRPr="00E34A08">
        <w:rPr>
          <w:color w:val="000000"/>
          <w:vertAlign w:val="superscript"/>
        </w:rPr>
        <w:t>17</w:t>
      </w:r>
      <w:r w:rsidR="00B66810">
        <w:rPr>
          <w:color w:val="000000" w:themeColor="text1"/>
        </w:rPr>
        <w:fldChar w:fldCharType="end"/>
      </w:r>
      <w:r w:rsidR="00B66810">
        <w:rPr>
          <w:color w:val="000000" w:themeColor="text1"/>
        </w:rPr>
        <w:t xml:space="preserve"> Generally, negative values correspond to water, snow and ice, values near zero represent barren land and higher positive values indicate greener, denser vegetation.</w:t>
      </w:r>
      <w:r>
        <w:rPr>
          <w:color w:val="000000" w:themeColor="text1"/>
        </w:rPr>
        <w:t xml:space="preserve"> </w:t>
      </w:r>
      <w:r w:rsidR="003C3846" w:rsidRPr="00E150CA">
        <w:rPr>
          <w:color w:val="000000"/>
          <w:shd w:val="clear" w:color="auto" w:fill="FFFFFF"/>
        </w:rPr>
        <w:t xml:space="preserve">Two </w:t>
      </w:r>
      <w:r w:rsidR="00A82B15">
        <w:rPr>
          <w:color w:val="000000"/>
          <w:shd w:val="clear" w:color="auto" w:fill="FFFFFF"/>
        </w:rPr>
        <w:t xml:space="preserve">studies estimating the </w:t>
      </w:r>
      <w:r w:rsidR="003C3846" w:rsidRPr="00E150CA">
        <w:rPr>
          <w:color w:val="000000"/>
          <w:shd w:val="clear" w:color="auto" w:fill="FFFFFF"/>
        </w:rPr>
        <w:t xml:space="preserve">number of deaths associated with hypothetical changes in </w:t>
      </w:r>
      <w:r w:rsidR="00B66810">
        <w:rPr>
          <w:color w:val="000000"/>
          <w:shd w:val="clear" w:color="auto" w:fill="FFFFFF"/>
        </w:rPr>
        <w:t xml:space="preserve">NDVI </w:t>
      </w:r>
      <w:r w:rsidR="00E63418">
        <w:rPr>
          <w:color w:val="000000"/>
          <w:shd w:val="clear" w:color="auto" w:fill="FFFFFF"/>
        </w:rPr>
        <w:t>in European and American cities</w:t>
      </w:r>
      <w:r w:rsidR="00A82B15">
        <w:rPr>
          <w:color w:val="000000"/>
          <w:shd w:val="clear" w:color="auto" w:fill="FFFFFF"/>
        </w:rPr>
        <w:t xml:space="preserve"> indicate</w:t>
      </w:r>
      <w:r w:rsidR="00580922">
        <w:rPr>
          <w:color w:val="000000"/>
          <w:shd w:val="clear" w:color="auto" w:fill="FFFFFF"/>
        </w:rPr>
        <w:t>d</w:t>
      </w:r>
      <w:r w:rsidR="00A82B15">
        <w:rPr>
          <w:color w:val="000000"/>
          <w:shd w:val="clear" w:color="auto" w:fill="FFFFFF"/>
        </w:rPr>
        <w:t xml:space="preserve"> th</w:t>
      </w:r>
      <w:r w:rsidR="006E2A12">
        <w:rPr>
          <w:color w:val="000000"/>
          <w:shd w:val="clear" w:color="auto" w:fill="FFFFFF"/>
        </w:rPr>
        <w:t xml:space="preserve">at increasing urban greenspace can </w:t>
      </w:r>
      <w:r w:rsidR="002B7A9A">
        <w:rPr>
          <w:color w:val="000000"/>
          <w:shd w:val="clear" w:color="auto" w:fill="FFFFFF"/>
        </w:rPr>
        <w:t xml:space="preserve">substantially </w:t>
      </w:r>
      <w:r w:rsidR="006E2A12">
        <w:rPr>
          <w:color w:val="000000"/>
          <w:shd w:val="clear" w:color="auto" w:fill="FFFFFF"/>
        </w:rPr>
        <w:t>reduce mortality</w:t>
      </w:r>
      <w:r w:rsidR="003C3846" w:rsidRPr="00E150CA">
        <w:rPr>
          <w:color w:val="000000"/>
          <w:shd w:val="clear" w:color="auto" w:fill="FFFFFF"/>
        </w:rPr>
        <w:t xml:space="preserve">. </w:t>
      </w:r>
      <w:r w:rsidR="00EF5AD7" w:rsidRPr="00E150CA">
        <w:rPr>
          <w:color w:val="000000"/>
          <w:shd w:val="clear" w:color="auto" w:fill="FFFFFF"/>
        </w:rPr>
        <w:t xml:space="preserve">A 2021 </w:t>
      </w:r>
      <w:r w:rsidR="00D3001E" w:rsidRPr="00E150CA">
        <w:rPr>
          <w:color w:val="000000"/>
          <w:shd w:val="clear" w:color="auto" w:fill="FFFFFF"/>
        </w:rPr>
        <w:t>study of</w:t>
      </w:r>
      <w:r w:rsidR="00EF5AD7" w:rsidRPr="00E150CA">
        <w:rPr>
          <w:color w:val="000000"/>
          <w:shd w:val="clear" w:color="auto" w:fill="FFFFFF"/>
        </w:rPr>
        <w:t xml:space="preserve"> 978 cities in 31 European countries</w:t>
      </w:r>
      <w:r w:rsidR="00D3001E" w:rsidRPr="00E150CA">
        <w:rPr>
          <w:color w:val="000000"/>
          <w:shd w:val="clear" w:color="auto" w:fill="FFFFFF"/>
        </w:rPr>
        <w:t xml:space="preserve"> found that if cities were to increase their NDVI to a level equivalent with the World Health Organization’s recommendation of universal access to greenspace, 42,968 natural deaths could be avoided annually (95% CI: 32,296, 64,177) among adults</w:t>
      </w:r>
      <w:r w:rsidR="00836CE4">
        <w:rPr>
          <w:color w:val="000000"/>
          <w:shd w:val="clear" w:color="auto" w:fill="FFFFFF"/>
        </w:rPr>
        <w:t>.</w:t>
      </w:r>
      <w:r w:rsidR="00EF5AD7" w:rsidRPr="00E150CA">
        <w:rPr>
          <w:color w:val="000000"/>
          <w:shd w:val="clear" w:color="auto" w:fill="FFFFFF"/>
        </w:rPr>
        <w:fldChar w:fldCharType="begin"/>
      </w:r>
      <w:r w:rsidR="00E34A08">
        <w:rPr>
          <w:color w:val="000000"/>
          <w:shd w:val="clear" w:color="auto" w:fill="FFFFFF"/>
        </w:rPr>
        <w:instrText xml:space="preserve"> ADDIN ZOTERO_ITEM CSL_CITATION {"citationID":"EA1Brj9c","properties":{"formattedCitation":"\\super 18\\nosupersub{}","plainCitation":"18","noteIndex":0},"citationItems":[{"id":191,"uris":["http://zotero.org/users/10202395/items/DXI3UYCR"],"itemData":{"id":191,"type":"article-journal","container-title":"The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F5AD7" w:rsidRPr="00E150CA">
        <w:rPr>
          <w:color w:val="000000"/>
          <w:shd w:val="clear" w:color="auto" w:fill="FFFFFF"/>
        </w:rPr>
        <w:fldChar w:fldCharType="separate"/>
      </w:r>
      <w:r w:rsidR="00E34A08" w:rsidRPr="00E34A08">
        <w:rPr>
          <w:color w:val="000000"/>
          <w:vertAlign w:val="superscript"/>
        </w:rPr>
        <w:t>18</w:t>
      </w:r>
      <w:r w:rsidR="00EF5AD7" w:rsidRPr="00E150CA">
        <w:rPr>
          <w:color w:val="000000"/>
          <w:shd w:val="clear" w:color="auto" w:fill="FFFFFF"/>
        </w:rPr>
        <w:fldChar w:fldCharType="end"/>
      </w:r>
      <w:r w:rsidR="00836CE4">
        <w:rPr>
          <w:color w:val="000000"/>
          <w:shd w:val="clear" w:color="auto" w:fill="FFFFFF"/>
        </w:rPr>
        <w:t xml:space="preserve"> </w:t>
      </w:r>
      <w:r w:rsidR="00EF5AD7" w:rsidRPr="00E150CA">
        <w:rPr>
          <w:color w:val="000000"/>
          <w:shd w:val="clear" w:color="auto" w:fill="FFFFFF"/>
        </w:rPr>
        <w:t xml:space="preserve">A </w:t>
      </w:r>
      <w:r w:rsidR="002D77F9" w:rsidRPr="00E150CA">
        <w:rPr>
          <w:color w:val="000000"/>
          <w:shd w:val="clear" w:color="auto" w:fill="FFFFFF"/>
        </w:rPr>
        <w:t>2022 study of the 35 most populous</w:t>
      </w:r>
      <w:r w:rsidR="00EF5AD7" w:rsidRPr="00E150CA">
        <w:rPr>
          <w:color w:val="000000"/>
          <w:shd w:val="clear" w:color="auto" w:fill="FFFFFF"/>
        </w:rPr>
        <w:t xml:space="preserve"> American cities found that </w:t>
      </w:r>
      <w:r w:rsidR="00D3799D" w:rsidRPr="00E150CA">
        <w:rPr>
          <w:color w:val="000000"/>
          <w:shd w:val="clear" w:color="auto" w:fill="FFFFFF"/>
        </w:rPr>
        <w:t xml:space="preserve">if </w:t>
      </w:r>
      <w:r w:rsidR="00D11318">
        <w:rPr>
          <w:color w:val="000000"/>
          <w:shd w:val="clear" w:color="auto" w:fill="FFFFFF"/>
        </w:rPr>
        <w:t xml:space="preserve">overall </w:t>
      </w:r>
      <w:r w:rsidR="00D3799D" w:rsidRPr="00E150CA">
        <w:rPr>
          <w:color w:val="000000"/>
          <w:shd w:val="clear" w:color="auto" w:fill="FFFFFF"/>
        </w:rPr>
        <w:t xml:space="preserve">NDVI </w:t>
      </w:r>
      <w:r w:rsidR="00D11318">
        <w:rPr>
          <w:color w:val="000000"/>
          <w:shd w:val="clear" w:color="auto" w:fill="FFFFFF"/>
        </w:rPr>
        <w:t>was</w:t>
      </w:r>
      <w:r w:rsidR="00D540D0">
        <w:rPr>
          <w:color w:val="000000"/>
          <w:shd w:val="clear" w:color="auto" w:fill="FFFFFF"/>
        </w:rPr>
        <w:t xml:space="preserve"> </w:t>
      </w:r>
      <w:r w:rsidR="00D3799D" w:rsidRPr="00E150CA">
        <w:rPr>
          <w:color w:val="000000"/>
          <w:shd w:val="clear" w:color="auto" w:fill="FFFFFF"/>
        </w:rPr>
        <w:t xml:space="preserve">increased by 0.1, </w:t>
      </w:r>
      <w:r w:rsidR="00EF5AD7" w:rsidRPr="00E150CA">
        <w:rPr>
          <w:color w:val="000000"/>
          <w:shd w:val="clear" w:color="auto" w:fill="FFFFFF"/>
        </w:rPr>
        <w:t xml:space="preserve">38,000 deaths (95% CI: 28,640-57,281) could have been avoided in 2019 </w:t>
      </w:r>
      <w:r w:rsidR="002D77F9" w:rsidRPr="00E150CA">
        <w:rPr>
          <w:color w:val="000000"/>
          <w:shd w:val="clear" w:color="auto" w:fill="FFFFFF"/>
        </w:rPr>
        <w:t xml:space="preserve">among those </w:t>
      </w:r>
      <w:r w:rsidR="00447748">
        <w:rPr>
          <w:color w:val="000000"/>
          <w:shd w:val="clear" w:color="auto" w:fill="FFFFFF"/>
        </w:rPr>
        <w:t xml:space="preserve">aged </w:t>
      </w:r>
      <w:r w:rsidR="002D77F9" w:rsidRPr="00E150CA">
        <w:rPr>
          <w:color w:val="000000"/>
          <w:shd w:val="clear" w:color="auto" w:fill="FFFFFF"/>
        </w:rPr>
        <w:t>65</w:t>
      </w:r>
      <w:r w:rsidR="00447748">
        <w:rPr>
          <w:color w:val="000000"/>
          <w:shd w:val="clear" w:color="auto" w:fill="FFFFFF"/>
        </w:rPr>
        <w:t xml:space="preserve"> years</w:t>
      </w:r>
      <w:r w:rsidR="002D77F9" w:rsidRPr="00E150CA">
        <w:rPr>
          <w:color w:val="000000"/>
          <w:shd w:val="clear" w:color="auto" w:fill="FFFFFF"/>
        </w:rPr>
        <w:t xml:space="preserve"> and older</w:t>
      </w:r>
      <w:r w:rsidR="0023601F">
        <w:rPr>
          <w:color w:val="000000"/>
          <w:shd w:val="clear" w:color="auto" w:fill="FFFFFF"/>
        </w:rPr>
        <w:t>.</w:t>
      </w:r>
      <w:r w:rsidR="00EF5AD7" w:rsidRPr="00E150CA">
        <w:rPr>
          <w:color w:val="000000"/>
          <w:shd w:val="clear" w:color="auto" w:fill="FFFFFF"/>
        </w:rPr>
        <w:fldChar w:fldCharType="begin"/>
      </w:r>
      <w:r w:rsidR="00E34A08">
        <w:rPr>
          <w:color w:val="000000"/>
          <w:shd w:val="clear" w:color="auto" w:fill="FFFFFF"/>
        </w:rPr>
        <w:instrText xml:space="preserve"> ADDIN ZOTERO_ITEM CSL_CITATION {"citationID":"2IFhD644","properties":{"formattedCitation":"\\super 19\\nosupersub{}","plainCitation":"19","noteIndex":0},"citationItems":[{"id":259,"uris":["http://zotero.org/users/10202395/items/AXXINCTS"],"itemData":{"id":259,"type":"article-journal","abstract":"Across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EF5AD7" w:rsidRPr="00E150CA">
        <w:rPr>
          <w:color w:val="000000"/>
          <w:shd w:val="clear" w:color="auto" w:fill="FFFFFF"/>
        </w:rPr>
        <w:fldChar w:fldCharType="separate"/>
      </w:r>
      <w:r w:rsidR="00E34A08" w:rsidRPr="00E34A08">
        <w:rPr>
          <w:color w:val="000000"/>
          <w:vertAlign w:val="superscript"/>
        </w:rPr>
        <w:t>19</w:t>
      </w:r>
      <w:r w:rsidR="00EF5AD7" w:rsidRPr="00E150CA">
        <w:rPr>
          <w:color w:val="000000"/>
          <w:shd w:val="clear" w:color="auto" w:fill="FFFFFF"/>
        </w:rPr>
        <w:fldChar w:fldCharType="end"/>
      </w:r>
      <w:r w:rsidR="006E2A12">
        <w:rPr>
          <w:color w:val="000000"/>
          <w:shd w:val="clear" w:color="auto" w:fill="FFFFFF"/>
        </w:rPr>
        <w:t xml:space="preserve"> These studies </w:t>
      </w:r>
      <w:r w:rsidR="00CF3D70">
        <w:rPr>
          <w:color w:val="000000"/>
          <w:shd w:val="clear" w:color="auto" w:fill="FFFFFF"/>
        </w:rPr>
        <w:t>s</w:t>
      </w:r>
      <w:r w:rsidR="00B53A90">
        <w:rPr>
          <w:color w:val="000000"/>
          <w:shd w:val="clear" w:color="auto" w:fill="FFFFFF"/>
        </w:rPr>
        <w:t>uggest</w:t>
      </w:r>
      <w:r w:rsidR="00CF3D70">
        <w:rPr>
          <w:color w:val="000000"/>
          <w:shd w:val="clear" w:color="auto" w:fill="FFFFFF"/>
        </w:rPr>
        <w:t xml:space="preserve"> that urban greenspace can </w:t>
      </w:r>
      <w:r w:rsidR="00205BBE">
        <w:rPr>
          <w:color w:val="000000"/>
          <w:shd w:val="clear" w:color="auto" w:fill="FFFFFF"/>
        </w:rPr>
        <w:t>reduce premature mortality</w:t>
      </w:r>
      <w:r w:rsidR="00CF3D70">
        <w:rPr>
          <w:color w:val="000000"/>
          <w:shd w:val="clear" w:color="auto" w:fill="FFFFFF"/>
        </w:rPr>
        <w:t xml:space="preserve">. However, a global health impact assessment is needed to characterize the potential health benefits from increasing greenspace across a broader range of climate and regional contexts. </w:t>
      </w:r>
    </w:p>
    <w:p w14:paraId="6257F15D" w14:textId="5F1415D8" w:rsidR="00A07A0D" w:rsidRDefault="00A07A0D" w:rsidP="007B6224">
      <w:pPr>
        <w:rPr>
          <w:color w:val="000000"/>
          <w:shd w:val="clear" w:color="auto" w:fill="FFFFFF"/>
        </w:rPr>
      </w:pPr>
    </w:p>
    <w:p w14:paraId="26590397" w14:textId="4705E016" w:rsidR="00FA2EC9" w:rsidRPr="00E150CA" w:rsidRDefault="006036D8" w:rsidP="00551D54">
      <w:r w:rsidRPr="00E150CA">
        <w:rPr>
          <w:color w:val="000000"/>
          <w:shd w:val="clear" w:color="auto" w:fill="FFFFFF"/>
        </w:rPr>
        <w:t>In 2020, The Lancet Countdown began tracking u</w:t>
      </w:r>
      <w:r w:rsidR="007A26CC" w:rsidRPr="00E150CA">
        <w:rPr>
          <w:color w:val="000000"/>
          <w:shd w:val="clear" w:color="auto" w:fill="FFFFFF"/>
        </w:rPr>
        <w:t>rban greenspace</w:t>
      </w:r>
      <w:r w:rsidR="00717770" w:rsidRPr="00E150CA">
        <w:rPr>
          <w:color w:val="000000"/>
          <w:shd w:val="clear" w:color="auto" w:fill="FFFFFF"/>
        </w:rPr>
        <w:t xml:space="preserve"> across a global set of cities</w:t>
      </w:r>
      <w:r w:rsidR="007A26CC" w:rsidRPr="00E150CA">
        <w:rPr>
          <w:color w:val="000000"/>
          <w:shd w:val="clear" w:color="auto" w:fill="FFFFFF"/>
        </w:rPr>
        <w:t xml:space="preserve">. </w:t>
      </w:r>
      <w:r w:rsidR="00855772" w:rsidRPr="00E150CA">
        <w:rPr>
          <w:color w:val="000000"/>
          <w:shd w:val="clear" w:color="auto" w:fill="FFFFFF"/>
        </w:rPr>
        <w:t xml:space="preserve">The Lancet Countdown is an annual publication dedicated to tracking progress towards the goals </w:t>
      </w:r>
      <w:r w:rsidR="00855772" w:rsidRPr="00E150CA">
        <w:rPr>
          <w:color w:val="000000"/>
          <w:shd w:val="clear" w:color="auto" w:fill="FFFFFF"/>
        </w:rPr>
        <w:lastRenderedPageBreak/>
        <w:t>of the Paris Agreement and documenting the health implications of climate change.</w:t>
      </w:r>
      <w:r w:rsidR="00712FD7" w:rsidRPr="00E150CA">
        <w:rPr>
          <w:color w:val="000000"/>
          <w:shd w:val="clear" w:color="auto" w:fill="FFFFFF"/>
        </w:rPr>
        <w:fldChar w:fldCharType="begin"/>
      </w:r>
      <w:r w:rsidR="00E34A08">
        <w:rPr>
          <w:color w:val="000000"/>
          <w:shd w:val="clear" w:color="auto" w:fill="FFFFFF"/>
        </w:rPr>
        <w:instrText xml:space="preserve"> ADDIN ZOTERO_ITEM CSL_CITATION {"citationID":"DAlaYyHt","properties":{"formattedCitation":"\\super 20\\nosupersub{}","plainCitation":"20","noteIndex":0},"citationItems":[{"id":754,"uris":["http://zotero.org/users/10202395/items/5RX5BIJN"],"itemData":{"id":754,"type":"article-journal","container-title":"The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712FD7" w:rsidRPr="00E150CA">
        <w:rPr>
          <w:color w:val="000000"/>
          <w:shd w:val="clear" w:color="auto" w:fill="FFFFFF"/>
        </w:rPr>
        <w:fldChar w:fldCharType="separate"/>
      </w:r>
      <w:r w:rsidR="00E34A08" w:rsidRPr="00E34A08">
        <w:rPr>
          <w:color w:val="000000"/>
          <w:vertAlign w:val="superscript"/>
        </w:rPr>
        <w:t>20</w:t>
      </w:r>
      <w:r w:rsidR="00712FD7" w:rsidRPr="00E150CA">
        <w:rPr>
          <w:color w:val="000000"/>
          <w:shd w:val="clear" w:color="auto" w:fill="FFFFFF"/>
        </w:rPr>
        <w:fldChar w:fldCharType="end"/>
      </w:r>
      <w:r w:rsidR="00DD7A83" w:rsidRPr="00E150CA">
        <w:rPr>
          <w:color w:val="000000"/>
          <w:shd w:val="clear" w:color="auto" w:fill="FFFFFF"/>
        </w:rPr>
        <w:t xml:space="preserve"> </w:t>
      </w:r>
      <w:r w:rsidR="00703441">
        <w:rPr>
          <w:color w:val="000000"/>
          <w:shd w:val="clear" w:color="auto" w:fill="FFFFFF"/>
        </w:rPr>
        <w:t>We update</w:t>
      </w:r>
      <w:r w:rsidR="00B53A90">
        <w:rPr>
          <w:color w:val="000000"/>
          <w:shd w:val="clear" w:color="auto" w:fill="FFFFFF"/>
        </w:rPr>
        <w:t>d</w:t>
      </w:r>
      <w:r w:rsidR="00703441">
        <w:rPr>
          <w:color w:val="000000"/>
          <w:shd w:val="clear" w:color="auto" w:fill="FFFFFF"/>
        </w:rPr>
        <w:t xml:space="preserve"> the Lancet Countdown methodology to capture population at a finer scale (100m instead of 1km resolution) and to remove </w:t>
      </w:r>
      <w:r w:rsidR="00A26064">
        <w:rPr>
          <w:color w:val="000000"/>
          <w:shd w:val="clear" w:color="auto" w:fill="FFFFFF"/>
        </w:rPr>
        <w:t xml:space="preserve">surface </w:t>
      </w:r>
      <w:r w:rsidR="00703441">
        <w:rPr>
          <w:color w:val="000000"/>
          <w:shd w:val="clear" w:color="auto" w:fill="FFFFFF"/>
        </w:rPr>
        <w:t>water from the urban greenspace calculation</w:t>
      </w:r>
      <w:r w:rsidR="00834FE1">
        <w:rPr>
          <w:color w:val="000000"/>
          <w:shd w:val="clear" w:color="auto" w:fill="FFFFFF"/>
        </w:rPr>
        <w:t xml:space="preserve">. </w:t>
      </w:r>
      <w:r w:rsidR="00BE6189" w:rsidRPr="00E150CA">
        <w:rPr>
          <w:color w:val="000000"/>
          <w:shd w:val="clear" w:color="auto" w:fill="FFFFFF"/>
        </w:rPr>
        <w:t xml:space="preserve">We </w:t>
      </w:r>
      <w:r w:rsidR="00834FE1">
        <w:rPr>
          <w:color w:val="000000"/>
          <w:shd w:val="clear" w:color="auto" w:fill="FFFFFF"/>
        </w:rPr>
        <w:t xml:space="preserve">further </w:t>
      </w:r>
      <w:r w:rsidR="00BE6189" w:rsidRPr="00E150CA">
        <w:rPr>
          <w:color w:val="000000"/>
          <w:shd w:val="clear" w:color="auto" w:fill="FFFFFF"/>
        </w:rPr>
        <w:t>conduct</w:t>
      </w:r>
      <w:r w:rsidR="00087E0C">
        <w:rPr>
          <w:color w:val="000000"/>
          <w:shd w:val="clear" w:color="auto" w:fill="FFFFFF"/>
        </w:rPr>
        <w:t>ed</w:t>
      </w:r>
      <w:r w:rsidR="00BE6189" w:rsidRPr="00E150CA">
        <w:rPr>
          <w:color w:val="000000"/>
          <w:shd w:val="clear" w:color="auto" w:fill="FFFFFF"/>
        </w:rPr>
        <w:t xml:space="preserve"> a health impact assessment of the </w:t>
      </w:r>
      <w:r w:rsidR="00D350FF">
        <w:rPr>
          <w:color w:val="000000"/>
          <w:shd w:val="clear" w:color="auto" w:fill="FFFFFF"/>
        </w:rPr>
        <w:t>increases</w:t>
      </w:r>
      <w:r w:rsidR="00D350FF" w:rsidRPr="00E150CA">
        <w:rPr>
          <w:color w:val="000000"/>
          <w:shd w:val="clear" w:color="auto" w:fill="FFFFFF"/>
        </w:rPr>
        <w:t xml:space="preserve"> </w:t>
      </w:r>
      <w:r w:rsidR="00BE6189" w:rsidRPr="00E150CA">
        <w:rPr>
          <w:color w:val="000000"/>
          <w:shd w:val="clear" w:color="auto" w:fill="FFFFFF"/>
        </w:rPr>
        <w:t xml:space="preserve">or </w:t>
      </w:r>
      <w:r w:rsidR="00D350FF">
        <w:rPr>
          <w:color w:val="000000"/>
          <w:shd w:val="clear" w:color="auto" w:fill="FFFFFF"/>
        </w:rPr>
        <w:t>reductions in</w:t>
      </w:r>
      <w:r w:rsidR="00D350FF" w:rsidRPr="00E150CA">
        <w:rPr>
          <w:color w:val="000000"/>
          <w:shd w:val="clear" w:color="auto" w:fill="FFFFFF"/>
        </w:rPr>
        <w:t xml:space="preserve"> </w:t>
      </w:r>
      <w:r w:rsidR="00BE6189" w:rsidRPr="00E150CA">
        <w:rPr>
          <w:color w:val="000000"/>
          <w:shd w:val="clear" w:color="auto" w:fill="FFFFFF"/>
        </w:rPr>
        <w:t xml:space="preserve">deaths associated with changes in </w:t>
      </w:r>
      <w:r w:rsidR="005160DC">
        <w:rPr>
          <w:color w:val="000000"/>
          <w:shd w:val="clear" w:color="auto" w:fill="FFFFFF"/>
        </w:rPr>
        <w:t xml:space="preserve">urban </w:t>
      </w:r>
      <w:r w:rsidR="00BE6189" w:rsidRPr="00E150CA">
        <w:rPr>
          <w:color w:val="000000"/>
          <w:shd w:val="clear" w:color="auto" w:fill="FFFFFF"/>
        </w:rPr>
        <w:t xml:space="preserve">greenspace over time across </w:t>
      </w:r>
      <w:r w:rsidR="00D350FF">
        <w:rPr>
          <w:color w:val="000000"/>
          <w:shd w:val="clear" w:color="auto" w:fill="FFFFFF"/>
        </w:rPr>
        <w:t xml:space="preserve">the </w:t>
      </w:r>
      <w:r w:rsidR="00BE6189" w:rsidRPr="00E150CA">
        <w:rPr>
          <w:color w:val="000000"/>
          <w:shd w:val="clear" w:color="auto" w:fill="FFFFFF"/>
        </w:rPr>
        <w:t>1,04</w:t>
      </w:r>
      <w:r w:rsidR="00BB75C8">
        <w:rPr>
          <w:color w:val="000000"/>
          <w:shd w:val="clear" w:color="auto" w:fill="FFFFFF"/>
        </w:rPr>
        <w:t>1</w:t>
      </w:r>
      <w:r w:rsidR="00BE6189" w:rsidRPr="00E150CA">
        <w:rPr>
          <w:color w:val="000000"/>
          <w:shd w:val="clear" w:color="auto" w:fill="FFFFFF"/>
        </w:rPr>
        <w:t xml:space="preserve"> global cities</w:t>
      </w:r>
      <w:r w:rsidR="005160DC">
        <w:rPr>
          <w:color w:val="000000"/>
          <w:shd w:val="clear" w:color="auto" w:fill="FFFFFF"/>
        </w:rPr>
        <w:t xml:space="preserve"> included in the Lancet Countdown’s greenspace analysis</w:t>
      </w:r>
      <w:r w:rsidR="00BE6189" w:rsidRPr="00E150CA">
        <w:rPr>
          <w:color w:val="000000"/>
          <w:shd w:val="clear" w:color="auto" w:fill="FFFFFF"/>
        </w:rPr>
        <w:t>.</w:t>
      </w:r>
      <w:r w:rsidR="00531C5E" w:rsidRPr="00E150CA">
        <w:rPr>
          <w:color w:val="000000"/>
          <w:shd w:val="clear" w:color="auto" w:fill="FFFFFF"/>
        </w:rPr>
        <w:t xml:space="preserve"> </w:t>
      </w:r>
      <w:r w:rsidR="003C57E4">
        <w:rPr>
          <w:color w:val="000000"/>
          <w:shd w:val="clear" w:color="auto" w:fill="FFFFFF"/>
        </w:rPr>
        <w:t>We characterize</w:t>
      </w:r>
      <w:r w:rsidR="00653950">
        <w:rPr>
          <w:color w:val="000000"/>
          <w:shd w:val="clear" w:color="auto" w:fill="FFFFFF"/>
        </w:rPr>
        <w:t>d</w:t>
      </w:r>
      <w:r w:rsidR="003C57E4">
        <w:rPr>
          <w:color w:val="000000"/>
          <w:shd w:val="clear" w:color="auto" w:fill="FFFFFF"/>
        </w:rPr>
        <w:t xml:space="preserve"> urban greenspace across these cities from 2014 to </w:t>
      </w:r>
      <w:r w:rsidR="004A429B">
        <w:rPr>
          <w:color w:val="000000"/>
          <w:shd w:val="clear" w:color="auto" w:fill="FFFFFF"/>
        </w:rPr>
        <w:t>2023 and</w:t>
      </w:r>
      <w:r w:rsidR="003C57E4">
        <w:rPr>
          <w:color w:val="000000"/>
          <w:shd w:val="clear" w:color="auto" w:fill="FFFFFF"/>
        </w:rPr>
        <w:t xml:space="preserve"> estimated the </w:t>
      </w:r>
      <w:r w:rsidR="001818F3">
        <w:rPr>
          <w:color w:val="000000"/>
          <w:shd w:val="clear" w:color="auto" w:fill="FFFFFF"/>
        </w:rPr>
        <w:t>changes in mortality associated with</w:t>
      </w:r>
      <w:r w:rsidR="003C57E4">
        <w:rPr>
          <w:color w:val="000000"/>
          <w:shd w:val="clear" w:color="auto" w:fill="FFFFFF"/>
        </w:rPr>
        <w:t xml:space="preserve"> </w:t>
      </w:r>
      <w:r w:rsidR="00580922">
        <w:rPr>
          <w:color w:val="000000"/>
          <w:shd w:val="clear" w:color="auto" w:fill="FFFFFF"/>
        </w:rPr>
        <w:t xml:space="preserve">differences in </w:t>
      </w:r>
      <w:r w:rsidR="003C57E4">
        <w:rPr>
          <w:color w:val="000000"/>
          <w:shd w:val="clear" w:color="auto" w:fill="FFFFFF"/>
        </w:rPr>
        <w:t>greenspace between two five-year periods, 2014-201</w:t>
      </w:r>
      <w:r w:rsidR="004A429B">
        <w:rPr>
          <w:color w:val="000000"/>
          <w:shd w:val="clear" w:color="auto" w:fill="FFFFFF"/>
        </w:rPr>
        <w:t>8</w:t>
      </w:r>
      <w:r w:rsidR="003C57E4">
        <w:rPr>
          <w:color w:val="000000"/>
          <w:shd w:val="clear" w:color="auto" w:fill="FFFFFF"/>
        </w:rPr>
        <w:t xml:space="preserve"> and 20</w:t>
      </w:r>
      <w:r w:rsidR="004A429B">
        <w:rPr>
          <w:color w:val="000000"/>
          <w:shd w:val="clear" w:color="auto" w:fill="FFFFFF"/>
        </w:rPr>
        <w:t>19</w:t>
      </w:r>
      <w:r w:rsidR="003C57E4">
        <w:rPr>
          <w:color w:val="000000"/>
          <w:shd w:val="clear" w:color="auto" w:fill="FFFFFF"/>
        </w:rPr>
        <w:t>-2023</w:t>
      </w:r>
      <w:r w:rsidR="004A429B">
        <w:rPr>
          <w:color w:val="000000"/>
          <w:shd w:val="clear" w:color="auto" w:fill="FFFFFF"/>
        </w:rPr>
        <w:t>.</w:t>
      </w:r>
      <w:r w:rsidR="001D6941">
        <w:rPr>
          <w:color w:val="000000"/>
          <w:shd w:val="clear" w:color="auto" w:fill="FFFFFF"/>
        </w:rPr>
        <w:t xml:space="preserve"> </w:t>
      </w:r>
      <w:r w:rsidR="00D86A16">
        <w:rPr>
          <w:color w:val="000000"/>
          <w:shd w:val="clear" w:color="auto" w:fill="FFFFFF"/>
        </w:rPr>
        <w:t>We chose five-year time periods to minimize the</w:t>
      </w:r>
      <w:r w:rsidR="00CE2519">
        <w:rPr>
          <w:color w:val="000000"/>
          <w:shd w:val="clear" w:color="auto" w:fill="FFFFFF"/>
        </w:rPr>
        <w:t xml:space="preserve"> effect of year-to-year extremes and</w:t>
      </w:r>
      <w:r w:rsidR="00D86A16">
        <w:rPr>
          <w:color w:val="000000"/>
          <w:shd w:val="clear" w:color="auto" w:fill="FFFFFF"/>
        </w:rPr>
        <w:t xml:space="preserve"> capture</w:t>
      </w:r>
      <w:r w:rsidR="00CE2519">
        <w:rPr>
          <w:color w:val="000000"/>
          <w:shd w:val="clear" w:color="auto" w:fill="FFFFFF"/>
        </w:rPr>
        <w:t xml:space="preserve"> longer-term trends in urban greenspace exposure.</w:t>
      </w:r>
      <w:r w:rsidR="00D86A16">
        <w:rPr>
          <w:color w:val="000000"/>
          <w:shd w:val="clear" w:color="auto" w:fill="FFFFFF"/>
        </w:rPr>
        <w:t xml:space="preserve"> </w:t>
      </w:r>
      <w:r w:rsidR="001D6941">
        <w:rPr>
          <w:color w:val="000000"/>
          <w:shd w:val="clear" w:color="auto" w:fill="FFFFFF"/>
        </w:rPr>
        <w:t xml:space="preserve">The results of this study can be used to compare greenspace </w:t>
      </w:r>
      <w:r w:rsidR="0071768E">
        <w:rPr>
          <w:color w:val="000000"/>
          <w:shd w:val="clear" w:color="auto" w:fill="FFFFFF"/>
        </w:rPr>
        <w:t xml:space="preserve">changes over time and </w:t>
      </w:r>
      <w:r w:rsidR="00ED7F58">
        <w:rPr>
          <w:color w:val="000000"/>
          <w:shd w:val="clear" w:color="auto" w:fill="FFFFFF"/>
        </w:rPr>
        <w:t xml:space="preserve">the </w:t>
      </w:r>
      <w:r w:rsidR="0071768E">
        <w:rPr>
          <w:color w:val="000000"/>
          <w:shd w:val="clear" w:color="auto" w:fill="FFFFFF"/>
        </w:rPr>
        <w:t xml:space="preserve">associated health implications </w:t>
      </w:r>
      <w:r w:rsidR="001D6941">
        <w:rPr>
          <w:color w:val="000000"/>
          <w:shd w:val="clear" w:color="auto" w:fill="FFFFFF"/>
        </w:rPr>
        <w:t xml:space="preserve">across cities </w:t>
      </w:r>
      <w:r w:rsidR="0071768E">
        <w:rPr>
          <w:color w:val="000000"/>
          <w:shd w:val="clear" w:color="auto" w:fill="FFFFFF"/>
        </w:rPr>
        <w:t>globally</w:t>
      </w:r>
      <w:r w:rsidR="004A429B">
        <w:rPr>
          <w:color w:val="000000"/>
          <w:shd w:val="clear" w:color="auto" w:fill="FFFFFF"/>
        </w:rPr>
        <w:t xml:space="preserve">.  </w:t>
      </w:r>
    </w:p>
    <w:p w14:paraId="35625F09" w14:textId="0C086B5B" w:rsidR="00FC67E2" w:rsidRDefault="00FC67E2" w:rsidP="00551D54">
      <w:pPr>
        <w:rPr>
          <w:b/>
          <w:bCs/>
        </w:rPr>
      </w:pPr>
    </w:p>
    <w:p w14:paraId="515C94D2" w14:textId="04150984" w:rsidR="004035B0" w:rsidRPr="00E150CA" w:rsidRDefault="00551D54" w:rsidP="00551D54">
      <w:pPr>
        <w:rPr>
          <w:b/>
          <w:bCs/>
        </w:rPr>
      </w:pPr>
      <w:r w:rsidRPr="00E150CA">
        <w:rPr>
          <w:b/>
          <w:bCs/>
        </w:rPr>
        <w:t>Method</w:t>
      </w:r>
      <w:r w:rsidR="002C67A4" w:rsidRPr="00E150CA">
        <w:rPr>
          <w:b/>
          <w:bCs/>
        </w:rPr>
        <w:t>s</w:t>
      </w:r>
    </w:p>
    <w:p w14:paraId="5C1B45D6" w14:textId="42628212" w:rsidR="00595315" w:rsidRDefault="00595315" w:rsidP="00551D54">
      <w:r>
        <w:t xml:space="preserve">We estimated </w:t>
      </w:r>
      <w:r w:rsidR="00D81E68">
        <w:t xml:space="preserve">peak seasonal </w:t>
      </w:r>
      <w:r>
        <w:t xml:space="preserve">urban greenspace </w:t>
      </w:r>
      <w:r w:rsidR="009B7B4B">
        <w:t xml:space="preserve">using </w:t>
      </w:r>
      <w:r w:rsidR="00675FFE">
        <w:t xml:space="preserve">population-weighted </w:t>
      </w:r>
      <w:r w:rsidR="009B7B4B">
        <w:t xml:space="preserve">NDVI from </w:t>
      </w:r>
      <w:r w:rsidR="004A6A1E">
        <w:t>2014</w:t>
      </w:r>
      <w:r w:rsidR="009B7B4B">
        <w:t xml:space="preserve"> to </w:t>
      </w:r>
      <w:r w:rsidR="004A6A1E">
        <w:t>2023</w:t>
      </w:r>
      <w:r w:rsidR="009B7B4B">
        <w:t>,</w:t>
      </w:r>
      <w:r w:rsidR="004A6A1E">
        <w:t xml:space="preserve"> </w:t>
      </w:r>
      <w:r>
        <w:t>in 1,04</w:t>
      </w:r>
      <w:r w:rsidR="00D85548">
        <w:t>1</w:t>
      </w:r>
      <w:r>
        <w:t xml:space="preserve"> cities across 174 countries. We then </w:t>
      </w:r>
      <w:r w:rsidR="009B7B4B">
        <w:t xml:space="preserve">estimated </w:t>
      </w:r>
      <w:r w:rsidRPr="007C220F">
        <w:t xml:space="preserve">the </w:t>
      </w:r>
      <w:r w:rsidR="009B7B4B">
        <w:t xml:space="preserve">mortality </w:t>
      </w:r>
      <w:r w:rsidRPr="007C220F">
        <w:t xml:space="preserve">change in each </w:t>
      </w:r>
      <w:r w:rsidR="009B7B4B">
        <w:t xml:space="preserve">city </w:t>
      </w:r>
      <w:r w:rsidRPr="007C220F">
        <w:t xml:space="preserve">associated with </w:t>
      </w:r>
      <w:r w:rsidR="007E58B1">
        <w:t xml:space="preserve">the difference in </w:t>
      </w:r>
      <w:r w:rsidR="009B7B4B">
        <w:t>NDVI between two five-year periods, from</w:t>
      </w:r>
      <w:r w:rsidR="009B7B4B" w:rsidRPr="007C220F">
        <w:t xml:space="preserve"> </w:t>
      </w:r>
      <w:r w:rsidR="00D3065F">
        <w:t>2014-2018</w:t>
      </w:r>
      <w:r w:rsidRPr="007C220F">
        <w:t xml:space="preserve"> </w:t>
      </w:r>
      <w:r w:rsidR="007E09D3">
        <w:t>to</w:t>
      </w:r>
      <w:r w:rsidRPr="007C220F">
        <w:t xml:space="preserve"> </w:t>
      </w:r>
      <w:r w:rsidR="00D3065F">
        <w:t>2019-2023</w:t>
      </w:r>
      <w:r w:rsidRPr="007C220F">
        <w:t xml:space="preserve">. </w:t>
      </w:r>
      <w:r w:rsidR="00EA3427" w:rsidRPr="007C220F">
        <w:t xml:space="preserve">We </w:t>
      </w:r>
      <w:r w:rsidR="00675FFE">
        <w:t>defined urban extents using</w:t>
      </w:r>
      <w:r w:rsidR="00675FFE" w:rsidRPr="007C220F">
        <w:t xml:space="preserve"> </w:t>
      </w:r>
      <w:r w:rsidR="00EA3427" w:rsidRPr="007C220F">
        <w:t xml:space="preserve">the </w:t>
      </w:r>
      <w:r w:rsidR="007C220F" w:rsidRPr="007C220F">
        <w:t>Global Human Settlement Urban Centre Database (GHS-UCDB)</w:t>
      </w:r>
      <w:r w:rsidR="00675FFE">
        <w:t xml:space="preserve">, which provides </w:t>
      </w:r>
      <w:r w:rsidR="00EA3427" w:rsidRPr="007C220F">
        <w:t>a consistent methodology based on</w:t>
      </w:r>
      <w:r w:rsidR="00432318" w:rsidRPr="007C220F">
        <w:t xml:space="preserve"> population and</w:t>
      </w:r>
      <w:r w:rsidR="00EA3427" w:rsidRPr="007C220F">
        <w:t xml:space="preserve"> </w:t>
      </w:r>
      <w:r w:rsidR="00432318" w:rsidRPr="007C220F">
        <w:t>remote sensing data.</w:t>
      </w:r>
      <w:r w:rsidR="00CE7C15" w:rsidRPr="007C220F">
        <w:fldChar w:fldCharType="begin"/>
      </w:r>
      <w:r w:rsidR="00E34A08">
        <w:instrText xml:space="preserve"> ADDIN ZOTERO_ITEM CSL_CITATION {"citationID":"rAD9MYvP","properties":{"formattedCitation":"\\super 21\\nosupersub{}","plainCitation":"21","noteIndex":0},"citationItems":[{"id":757,"uris":["http://zotero.org/users/10202395/items/FBYZPBIZ"],"itemData":{"id":757,"type":"dataset","abstract":"The Global Human Settlement Layer (GHSL) produces new global spatial information, evidence-based analytics, and knowledge describing the human presence in the planet. The Joint Research Centre (JRC) and the Directorate General for Regional Development (DG REGIO) of the European Commission support the GHSL activities. The GHSL contributes to the international partnership “GEO Human Planet Initiative”. The GHSL methods rely on automatic spatial data mining technologies allowing the extraction of analytics and knowledge from large amount of heterogeneous data including global, fine-scale satellite-image data streams, census data, and crowd sources or volunteering geographic information sources. Spatial data reporting objectively and systematically about the presence of population and built-up infrastructures are necessary for any evidence-based modelling or assessing of i) human and physical exposure to threats as environmental contamination and degradation, natural disasters and conflicts, ii) impact of human activities on ecosystems, and iii) access to resources. The GHS Urban Centre Database (GHS- UCDB) describes spatial entities called “urban centres” accordingly to a set of multi-temporal thematic attributes gathered from the GHSL sources integrated with other sources available in the open scientific domain. The Urban Centres are defined by specific cut-off values on resident population and built-up surface share in a 1x1 km global uniform grid. The input data it is generated by the GHSL, and the operating parameters are set in the frame of the “degree of urbanization” (DEGURBA) methodology. The DEGURBA is a methodology for delineation of urban and rural areas made for international statistical comparison purposes that is developed by the European Commission, the Organization for Economic Co-operation and Development (OECD), the Food and Agriculture Organization of the United Nations (FAO), UN-Habitat and the World Bank. The reference GHSL input data used to delineate the Urban Centres are included in the Community pre-Release of GHS Data Package (GHS CR2018) in support to the GEO Human Planet Initiative. The parameter set used to delineate the Urban Centres from the input data are included in the GHSL settlement classification model SMODv9s10E 2018. The reference epoch for the spatial delineation of the Urban Centres is 2015. The attributes of the GHS-UCDB have different time depth for a maximum of 40 years, depending on availability of the input sources.","DOI":"10.2905/53473144-B88C-44BC-B4A3-4583ED1F547E","publisher":"European Commission, Joint Research Centre (JRC)","source":"DOI.org (Datacite)","title":"GHS-UCDB R2019A - GHS Urban Centre Database 2015, multitemporal and multidimensional attributes","URL":"http://data.europa.eu/89h/53473144-b88c-44bc-b4a3-4583ed1f547e","author":[{"family":"Freire","given":"Sergio"},{"family":"Schiavina","given":"Marcello"},{"family":"Corbane","given":"Christina"},{"family":"Pesaresi","given":"Martino"},{"family":"Sabo","given":"Filip"},{"family":"Tommasi","given":"Pierpaolo"},{"family":"Airaghi","given":"Donato"},{"family":"Ehrlich","given":"Daniele"},{"family":"Melchiorri","given":"Michele"},{"family":"Politis","given":"Panagiotis"},{"family":"Kemper","given":"Thomas"},{"family":"Zanchetta","given":"Luigi"},{"family":"Florczyk","given":"Aneta"},{"family":"Maffenini","given":"Luca"}],"accessed":{"date-parts":[["2024",9,25]]},"issued":{"date-parts":[["2019",1,28]]}}}],"schema":"https://github.com/citation-style-language/schema/raw/master/csl-citation.json"} </w:instrText>
      </w:r>
      <w:r w:rsidR="00CE7C15" w:rsidRPr="007C220F">
        <w:fldChar w:fldCharType="separate"/>
      </w:r>
      <w:r w:rsidR="00E34A08" w:rsidRPr="00E34A08">
        <w:rPr>
          <w:vertAlign w:val="superscript"/>
        </w:rPr>
        <w:t>21</w:t>
      </w:r>
      <w:r w:rsidR="00CE7C15" w:rsidRPr="007C220F">
        <w:fldChar w:fldCharType="end"/>
      </w:r>
      <w:r w:rsidR="00B723B6" w:rsidRPr="007C220F">
        <w:t xml:space="preserve"> </w:t>
      </w:r>
      <w:r w:rsidR="00F5233A">
        <w:t>We included the 1,041 cities for which urban greenspace was estimated by the Lancet Countdown on health and climate change. The Lancet Countdown</w:t>
      </w:r>
      <w:r w:rsidR="00B723B6" w:rsidRPr="007C220F">
        <w:t xml:space="preserve"> included </w:t>
      </w:r>
      <w:r w:rsidR="00F5233A">
        <w:t xml:space="preserve">cities </w:t>
      </w:r>
      <w:r w:rsidR="00B723B6" w:rsidRPr="007C220F">
        <w:t xml:space="preserve">if they were the most populous in their country or had over 500,000 inhabitants. </w:t>
      </w:r>
      <w:r w:rsidR="007E09D3">
        <w:t xml:space="preserve">Twenty-two </w:t>
      </w:r>
      <w:r w:rsidR="00723309">
        <w:t xml:space="preserve">small, mainly island, </w:t>
      </w:r>
      <w:r w:rsidR="007E09D3">
        <w:t xml:space="preserve">countries did not have cities in </w:t>
      </w:r>
      <w:r w:rsidR="00B723B6" w:rsidRPr="007C220F">
        <w:t xml:space="preserve">the </w:t>
      </w:r>
      <w:r w:rsidR="007C220F" w:rsidRPr="007C220F">
        <w:t>GHS-</w:t>
      </w:r>
      <w:r w:rsidR="00B723B6" w:rsidRPr="007C220F">
        <w:t>UCDB</w:t>
      </w:r>
      <w:r w:rsidR="007E09D3">
        <w:t xml:space="preserve"> and </w:t>
      </w:r>
      <w:r w:rsidR="00B723B6" w:rsidRPr="007C220F">
        <w:t>were</w:t>
      </w:r>
      <w:r w:rsidR="00B723B6">
        <w:t xml:space="preserve"> not represented in the analysis</w:t>
      </w:r>
      <w:r w:rsidR="00723309">
        <w:t xml:space="preserve"> (see appendix</w:t>
      </w:r>
      <w:r w:rsidR="00AE2153">
        <w:t xml:space="preserve"> List S1,</w:t>
      </w:r>
      <w:r w:rsidR="00723309">
        <w:t xml:space="preserve"> for </w:t>
      </w:r>
      <w:r w:rsidR="009C1F86">
        <w:t xml:space="preserve">a </w:t>
      </w:r>
      <w:r w:rsidR="00723309">
        <w:t>complete list)</w:t>
      </w:r>
      <w:r w:rsidR="00B723B6">
        <w:t xml:space="preserve">. </w:t>
      </w:r>
    </w:p>
    <w:p w14:paraId="3DC394E4" w14:textId="1765C502" w:rsidR="00C1696B" w:rsidRPr="00E150CA" w:rsidRDefault="00C1696B" w:rsidP="00551D54"/>
    <w:p w14:paraId="0F8F828B" w14:textId="582F14AF" w:rsidR="00A06A27" w:rsidRDefault="00E457AE" w:rsidP="00551D54">
      <w:pPr>
        <w:rPr>
          <w:i/>
          <w:iCs/>
        </w:rPr>
      </w:pPr>
      <w:r>
        <w:rPr>
          <w:i/>
          <w:iCs/>
        </w:rPr>
        <w:t>Population-weighted greenest season NDVI</w:t>
      </w:r>
    </w:p>
    <w:p w14:paraId="0089DEA3" w14:textId="2139601B" w:rsidR="00D51E22" w:rsidRPr="00E150CA" w:rsidRDefault="00D51E22" w:rsidP="00551D54">
      <w:pPr>
        <w:rPr>
          <w:i/>
          <w:iCs/>
        </w:rPr>
      </w:pPr>
    </w:p>
    <w:p w14:paraId="125EAC6C" w14:textId="4A070357" w:rsidR="000231D0" w:rsidRDefault="00090A79" w:rsidP="00551D54">
      <w:r>
        <w:t>For NDVI, we used</w:t>
      </w:r>
      <w:r w:rsidR="00D51E22">
        <w:t xml:space="preserve"> Landsat</w:t>
      </w:r>
      <w:r w:rsidR="008E053E">
        <w:t xml:space="preserve"> 8 satellite</w:t>
      </w:r>
      <w:r w:rsidR="0093536B">
        <w:t xml:space="preserve"> imagery</w:t>
      </w:r>
      <w:r w:rsidR="0060540D">
        <w:t>,</w:t>
      </w:r>
      <w:r>
        <w:t xml:space="preserve"> </w:t>
      </w:r>
      <w:r w:rsidR="0060540D">
        <w:t xml:space="preserve">accessed through </w:t>
      </w:r>
      <w:r w:rsidR="0016141A">
        <w:t>Google Earth Engine (</w:t>
      </w:r>
      <w:r w:rsidR="00354BDF">
        <w:t>GEE</w:t>
      </w:r>
      <w:r w:rsidR="0016141A">
        <w:t>)</w:t>
      </w:r>
      <w:r w:rsidR="0060540D">
        <w:t xml:space="preserve">. Landsat </w:t>
      </w:r>
      <w:r w:rsidR="00AD75A9">
        <w:t>data</w:t>
      </w:r>
      <w:r w:rsidR="0060540D">
        <w:t xml:space="preserve"> is available</w:t>
      </w:r>
      <w:r w:rsidR="00354BDF">
        <w:t xml:space="preserve"> </w:t>
      </w:r>
      <w:r w:rsidR="00484172">
        <w:t xml:space="preserve">at the 30m resolution </w:t>
      </w:r>
      <w:r w:rsidR="0060540D">
        <w:t>with new images</w:t>
      </w:r>
      <w:r w:rsidR="00AD75A9">
        <w:t xml:space="preserve"> captured</w:t>
      </w:r>
      <w:r w:rsidR="0060540D">
        <w:t xml:space="preserve"> </w:t>
      </w:r>
      <w:r w:rsidR="00484172">
        <w:t>approximately every 16 days</w:t>
      </w:r>
      <w:r w:rsidR="00AD75A9">
        <w:t xml:space="preserve"> for a given location</w:t>
      </w:r>
      <w:r w:rsidR="00484172">
        <w:t xml:space="preserve">. </w:t>
      </w:r>
      <w:r w:rsidR="00FA1C0B">
        <w:t xml:space="preserve">Following the methods used by many of the studies included in the meta-analysis of greenspace and mortality that we use for our </w:t>
      </w:r>
      <w:r w:rsidR="00CD5550">
        <w:t>exposure response function</w:t>
      </w:r>
      <w:r w:rsidR="00FA1C0B">
        <w:t xml:space="preserve">, we removed pixels representing water and clouds. </w:t>
      </w:r>
      <w:r w:rsidR="00703441">
        <w:t>To remove cloudy pixels, w</w:t>
      </w:r>
      <w:r w:rsidR="00064A1A">
        <w:t>e used the “</w:t>
      </w:r>
      <w:proofErr w:type="spellStart"/>
      <w:r w:rsidR="00064A1A">
        <w:t>Landsat.simpleComposite</w:t>
      </w:r>
      <w:proofErr w:type="spellEnd"/>
      <w:r w:rsidR="00064A1A">
        <w:t>” algorithm from GEE</w:t>
      </w:r>
      <w:r w:rsidR="00703441">
        <w:t>.</w:t>
      </w:r>
      <w:r w:rsidR="00064A1A">
        <w:t xml:space="preserve"> </w:t>
      </w:r>
      <w:r w:rsidR="005D506E">
        <w:t>W</w:t>
      </w:r>
      <w:r w:rsidR="0060540D">
        <w:t xml:space="preserve">e used the Joint Research </w:t>
      </w:r>
      <w:r w:rsidR="00B53F41">
        <w:t xml:space="preserve">Centre </w:t>
      </w:r>
      <w:r w:rsidR="006E45F4">
        <w:t>(JRC)</w:t>
      </w:r>
      <w:r w:rsidR="00827425">
        <w:t>’s</w:t>
      </w:r>
      <w:r w:rsidR="0060540D">
        <w:t xml:space="preserve"> </w:t>
      </w:r>
      <w:r w:rsidR="005D506E">
        <w:t xml:space="preserve">Landsat-derived </w:t>
      </w:r>
      <w:r>
        <w:t xml:space="preserve">global surface water </w:t>
      </w:r>
      <w:r w:rsidR="0078361F">
        <w:t>dataset</w:t>
      </w:r>
      <w:r w:rsidR="006E4C2C">
        <w:t xml:space="preserve"> (30m resolution)</w:t>
      </w:r>
      <w:r w:rsidR="0078361F">
        <w:t xml:space="preserve"> </w:t>
      </w:r>
      <w:r w:rsidR="00827425">
        <w:t xml:space="preserve">to </w:t>
      </w:r>
      <w:r w:rsidR="005D506E">
        <w:t xml:space="preserve">exclude </w:t>
      </w:r>
      <w:r w:rsidR="00827425">
        <w:t xml:space="preserve">pixels that were </w:t>
      </w:r>
      <w:r w:rsidR="0078361F">
        <w:t>classified as</w:t>
      </w:r>
      <w:r w:rsidR="00827425">
        <w:t xml:space="preserve"> </w:t>
      </w:r>
      <w:r>
        <w:t>“</w:t>
      </w:r>
      <w:r w:rsidR="00827425">
        <w:t>permanent water</w:t>
      </w:r>
      <w:r w:rsidR="005D506E">
        <w:t>.</w:t>
      </w:r>
      <w:r>
        <w:t>”</w:t>
      </w:r>
      <w:r w:rsidR="00524E7C">
        <w:fldChar w:fldCharType="begin"/>
      </w:r>
      <w:r w:rsidR="00E34A08">
        <w:instrText xml:space="preserve"> ADDIN ZOTERO_ITEM CSL_CITATION {"citationID":"gbvxCowy","properties":{"formattedCitation":"\\super 22\\nosupersub{}","plainCitation":"22","noteIndex":0},"citationItems":[{"id":100,"uris":["http://zotero.org/users/10202395/items/J2DZEYSX"],"itemData":{"id":100,"type":"article-journal","container-title":"Nature","DOI":"10.1038/nature20584","ISSN":"0028-0836, 1476-4687","issue":"7633","journalAbbreviation":"Nature","language":"en","page":"418-422","source":"DOI.org (Crossref)","title":"High-resolution mapping of global surface water and its long-term changes","volume":"540","author":[{"family":"Pekel","given":"Jean-François"},{"family":"Cottam","given":"Andrew"},{"family":"Gorelick","given":"Noel"},{"family":"Belward","given":"Alan S."}],"issued":{"date-parts":[["2016",12,15]]}}}],"schema":"https://github.com/citation-style-language/schema/raw/master/csl-citation.json"} </w:instrText>
      </w:r>
      <w:r w:rsidR="00524E7C">
        <w:fldChar w:fldCharType="separate"/>
      </w:r>
      <w:r w:rsidR="00E34A08" w:rsidRPr="00E34A08">
        <w:rPr>
          <w:vertAlign w:val="superscript"/>
        </w:rPr>
        <w:t>22</w:t>
      </w:r>
      <w:r w:rsidR="00524E7C">
        <w:fldChar w:fldCharType="end"/>
      </w:r>
      <w:r w:rsidR="005D506E">
        <w:t xml:space="preserve"> </w:t>
      </w:r>
      <w:r w:rsidR="00827425">
        <w:t xml:space="preserve">We used the 2015 </w:t>
      </w:r>
      <w:r w:rsidR="005D506E">
        <w:t xml:space="preserve">JRC </w:t>
      </w:r>
      <w:r w:rsidR="0078361F">
        <w:t xml:space="preserve">dataset to </w:t>
      </w:r>
      <w:r w:rsidR="000231D0">
        <w:t>mask</w:t>
      </w:r>
      <w:r w:rsidR="00827425">
        <w:t xml:space="preserve"> water pixels in </w:t>
      </w:r>
      <w:r w:rsidR="00825A98">
        <w:t>the</w:t>
      </w:r>
      <w:r w:rsidR="00827425">
        <w:t xml:space="preserve"> </w:t>
      </w:r>
      <w:r w:rsidR="00522757">
        <w:t>2014-</w:t>
      </w:r>
      <w:r w:rsidR="00827425">
        <w:t>201</w:t>
      </w:r>
      <w:r w:rsidR="00522757">
        <w:t>8</w:t>
      </w:r>
      <w:r w:rsidR="00827425">
        <w:t xml:space="preserve"> </w:t>
      </w:r>
      <w:r w:rsidR="00825A98">
        <w:t>images</w:t>
      </w:r>
      <w:r w:rsidR="00827425">
        <w:t xml:space="preserve"> and the 2020 dataset to mask water pixels in </w:t>
      </w:r>
      <w:r w:rsidR="00825A98">
        <w:t>the</w:t>
      </w:r>
      <w:r w:rsidR="00827425">
        <w:t xml:space="preserve"> </w:t>
      </w:r>
      <w:r w:rsidR="00522757">
        <w:t>2019-2023</w:t>
      </w:r>
      <w:r w:rsidR="00827425">
        <w:t xml:space="preserve"> </w:t>
      </w:r>
      <w:r w:rsidR="00825A98">
        <w:t>images</w:t>
      </w:r>
      <w:r w:rsidR="00827425">
        <w:t>.</w:t>
      </w:r>
      <w:r w:rsidR="00F06C1D">
        <w:t xml:space="preserve"> We then downscaled the NDVI dataset to the 100m resolution to align with our population dataset.</w:t>
      </w:r>
    </w:p>
    <w:p w14:paraId="64CAEF0B" w14:textId="5E807EC6" w:rsidR="000231D0" w:rsidRDefault="000231D0" w:rsidP="00551D54"/>
    <w:p w14:paraId="0CB61711" w14:textId="69001DC9" w:rsidR="00441531" w:rsidRDefault="001329DE" w:rsidP="00441531">
      <w:r>
        <w:t>We</w:t>
      </w:r>
      <w:r w:rsidR="00024A18" w:rsidRPr="00435A59">
        <w:t xml:space="preserve"> used</w:t>
      </w:r>
      <w:r>
        <w:t xml:space="preserve"> Rojas-Rueda et al. </w:t>
      </w:r>
      <w:r w:rsidR="003A23CA">
        <w:t xml:space="preserve">(2019)’s meta-analysis </w:t>
      </w:r>
      <w:r>
        <w:t xml:space="preserve">to </w:t>
      </w:r>
      <w:r w:rsidR="00024A18">
        <w:t>define the epidemiologic relationship between increased NDVI and reductions in all-cause mortality</w:t>
      </w:r>
      <w:r w:rsidR="003A23CA">
        <w:t xml:space="preserve">. </w:t>
      </w:r>
      <w:r w:rsidR="00CA27EC">
        <w:t>The nine longitudinal studies included in this meta-analysis had follow-up periods ranging from four to 18 years and measured urban greenspace using NDVI. Three studies</w:t>
      </w:r>
      <w:r w:rsidR="00024A18">
        <w:t xml:space="preserve"> </w:t>
      </w:r>
      <w:r w:rsidR="00024A18" w:rsidRPr="00435A59">
        <w:t xml:space="preserve">defined greenspace using the average NDVI value </w:t>
      </w:r>
      <w:r w:rsidR="00024A18">
        <w:t>from</w:t>
      </w:r>
      <w:r w:rsidR="00024A18" w:rsidRPr="00435A59">
        <w:t xml:space="preserve"> the greenest season</w:t>
      </w:r>
      <w:r w:rsidR="00CA27EC">
        <w:t xml:space="preserve"> of each year within the study period,</w:t>
      </w:r>
      <w:r w:rsidR="00343620">
        <w:t xml:space="preserve"> </w:t>
      </w:r>
      <w:r w:rsidR="00CA27EC">
        <w:t>while</w:t>
      </w:r>
      <w:r w:rsidR="00343620">
        <w:t xml:space="preserve"> </w:t>
      </w:r>
      <w:r w:rsidR="00CA27EC">
        <w:t>four</w:t>
      </w:r>
      <w:r w:rsidR="00343620">
        <w:t xml:space="preserve"> others use</w:t>
      </w:r>
      <w:r w:rsidR="00CA27EC">
        <w:t>s</w:t>
      </w:r>
      <w:r w:rsidR="00343620">
        <w:t xml:space="preserve"> the greenest day or greenest month</w:t>
      </w:r>
      <w:r w:rsidR="00CA27EC">
        <w:t xml:space="preserve"> from a representative year or years</w:t>
      </w:r>
      <w:r w:rsidR="00024A18" w:rsidRPr="00435A59">
        <w:t>.</w:t>
      </w:r>
      <w:r w:rsidR="00024A18" w:rsidRPr="00435A59">
        <w:fldChar w:fldCharType="begin"/>
      </w:r>
      <w:r w:rsidR="00B050E8">
        <w:instrText xml:space="preserve"> ADDIN ZOTERO_ITEM CSL_CITATION {"citationID":"RZ7pTqXG","properties":{"formattedCitation":"\\super 23\\uc0\\u8211{}31\\nosupersub{}","plainCitation":"23–31","noteIndex":0},"citationItems":[{"id":620,"uris":["http://zotero.org/users/10202395/items/P63AXWQ7"],"itemData":{"id":620,"type":"article-journal","abstract":"Introduction: Cities often experience high air pollution and noise levels and lack of natural outdoor environments, which may be detrimental to health. The aim of this study was to evaluate the effects of air pollution, noise, and blue and green space on premature all-cause mortality in Barcelona using a mega cohort approach. Methods: Both men and women of 18 years and above registered on 1 January 2010 by the Sistema d’Informació pel Desenvolupament de la Investigació en Atenció Primària (SIDIAP) and living in the city of Barcelona were included in the cohort and followed up until 31 December 2014 or until death (n = 2,939,067 person years). The exposure assessment was conducted at the census tract level (n = 1061). We assigned exposure to long term ambient levels of nitrogen dioxides (NO2), nitrogen oxides (NOx), particulate matter with aerodynamic diameter less than 2.5 µm (PM2.5), between 2.5 µm and 10 µm (PM2.5–10, i.e., coarse particulate matter), less than 10 µm (PM10) and PM2.5 light absorption (hereafter referred to as PM2.5 absorbance) based on land use regressions models. Normalized Difference Vegetation Index (NDVI) was assigned based on remote sensing data, percentage green space and blue space were calculated based on land use maps and modelled road traffic noise was available through the strategic noise map for Barcelona. Results: In this large prospective study (n = 792,649) in an urban area, we found a decreased risk of all-cause mortality with an increase in green space measured as NDVI (hazard ratio (HR) = 0.92, 95% CI 0.89–0.97 per 0.1) and increased risks of mortality with an increase in exposure to blue space (HR = 1.04, 95% CI 1.01–1.06 per 1%), NO2 (HR = 1.01, 95% CI 1.00–1.02 per 5 ug/m3) but no risk with noise (HR = 1.00, 95% CI 0.98–1.02 per 5 dB(A)). The increased risks appeared to be more pronounced in the more deprived areas. Results for NDVI, and to a lesser extent NO2, remained most consistent after mutual adjustment for other exposures. The NDVI estimate was a little attenuated when NO2 was included in the model. The study had some limitations including e.g., the assessment of air pollution, noise, green space and socioeconomic status (SES) on census tract level rather than individual level and residual confounding. Conclusion: This large study provides new insights on the relationship between green and blue space, noise and air pollution and premature all-cause mortality.","container-title":"International Journal of Environmental Research and Public Health","DOI":"10.3390/ijerph15112405","ISSN":"1660-4601","issue":"11","journalAbbreviation":"IJERPH","language":"en","page":"2405","source":"DOI.org (Crossref)","title":"Air Pollution, Noise, Blue Space, and Green Space and Premature Mortality in Barcelona: A Mega Cohort","title-short":"Air Pollution, Noise, Blue Space, and Green Space and Premature Mortality in Barcelona","volume":"15","author":[{"family":"Nieuwenhuijsen","given":"Mark"},{"family":"Gascon","given":"Mireia"},{"family":"Martinez","given":"David"},{"family":"Ponjoan","given":"Anna"},{"family":"Blanch","given":"Jordi"},{"family":"Garcia-Gil","given":"Maria"},{"family":"Ramos","given":"Rafel"},{"family":"Foraster","given":"Maria"},{"family":"Mueller","given":"Natalie"},{"family":"Espinosa","given":"Ana"},{"family":"Cirach","given":"Marta"},{"family":"Khreis","given":"Haneen"},{"family":"Dadvand","given":"Payam"},{"family":"Basagaña","given":"Xavier"}],"issued":{"date-parts":[["2018",10,30]]}}},{"id":763,"uris":["http://zotero.org/users/10202395/items/KMPAKZYD"],"itemData":{"id":763,"type":"article-journal","abstract":"Background Findings from published studies suggest that exposure to and interactions with green spaces are associated with improved psychological wellbeing and have cognitive, physiological, and social benefits, but few studies have examined their potential effect on the risk of mortality. We therefore undertook a national study in Canada to examine associations between urban greenness and cause-specific mortality.","container-title":"The Lancet Planetary Health","DOI":"10.1016/S2542-5196(17)30118-3","ISSN":"25425196","issue":"7","journalAbbreviation":"The Lancet Planetary Health","language":"en","page":"e289-e297","source":"DOI.org (Crossref)","title":"Urban greenness and mortality in Canada's largest cities: a national cohort study","title-short":"Urban greenness and mortality in Canada's largest cities","volume":"1","author":[{"family":"Crouse","given":"Dan L"},{"family":"Pinault","given":"Lauren"},{"family":"Balram","given":"Adele"},{"family":"Hystad","given":"Perry"},{"family":"Peters","given":"Paul A"},{"family":"Chen","given":"Hong"},{"family":"Van Donkelaar","given":"Aaron"},{"family":"Martin","given":"Randall V"},{"family":"Ménard","given":"Richard"},{"family":"Robichaud","given":"Alain"},{"family":"Villeneuve","given":"Paul J"}],"issued":{"date-parts":[["2017",10]]}}},{"id":759,"uris":["http://zotero.org/users/10202395/items/S6EF3EZH"],"itemData":{"id":759,"type":"article-journal","abstract":"Background/Aim: Natural outdoor environments may mitigate harmful environmental factors associated with city living. We studied the longitudinal relationship between natural (‘green and blue’) outdoor environments and mortality in a cohort of older men residing in Perth, Western Australia.\nMethods: We studied a cohort of 9218 men aged 65 years and older from the Health In Men Study. Participants were recruited in 1996–99 and followed until 2014, during which 5889 deaths were observed. Time-varying residential surrounding greenness based on the Normalized Difference Vegetation Index, and the number and size of parks, natural space and waterbodies were defined to characterize the natural outdoor environment. Allcause non-accidental and cause-specific mortality was ascertained with the Western Australian Data Linkage System. The association of the natural outdoor environment with mortality was examined using Cox regression analysis.\nResults: After adjusting for age, men living in the highest quartile of cumulative average surrounding greenness had a 9% lower rate of all-cause non-accidental mortality (95% confidence interval [CI] 0.84, 0.98; p = .013) compared with those in the lowest quartile. This association was no longer present after adjustment for other risk factors, especially level of education. Living within 500 m of one (vs. no) natural space was associated with decreased mortality risk (adjusted hazard ratio 0.93; 95% CI 0.86, 1.00; p = .046), but no association with mortality was found for two or more natural spaces compared to none and for parks. Associations between waterbodies and mortality were inconsistent, showing non-linear beneficial and harmful associations.\nConclusions: In this longitudinal study of older men residing in Perth, we observed evidence suggestive of an association between access to natural spaces and decreased mortality. Associations between surrounding greenness and mortality seemed to be confounded by level of education, and associations with waterbodies were complex and need to be studied further.","container-title":"Environment International","DOI":"10.1016/j.envint.2019.01.075","ISSN":"01604120","journalAbbreviation":"Environment International","language":"en","page":"430-436","source":"DOI.org (Crossref)","title":"The longitudinal association between natural outdoor environments and mortality in 9218 older men from Perth, Western Australia","volume":"125","author":[{"family":"Zijlema","given":"Wilma L."},{"family":"Stasinska","given":"Ania"},{"family":"Blake","given":"David"},{"family":"Dirgawati","given":"Mila"},{"family":"Flicker","given":"Leon"},{"family":"Yeap","given":"Bu B."},{"family":"Golledge","given":"Jonathan"},{"family":"Hankey","given":"Graeme J."},{"family":"Nieuwenhuijsen","given":"Mark"},{"family":"Heyworth","given":"Jane"}],"issued":{"date-parts":[["2019",4]]}}},{"id":814,"uris":["http://zotero.org/users/10202395/items/7U4RTEN6"],"itemData":{"id":814,"type":"article-journal","abstract":"Background: Green, natural environments may ameliorate adverse environmental exposures (e.g., air pollution, noise, and extreme heat), increase physical activity and social engagement, and lower stress.\nObjectives: We aimed to examine the prospective association between residential greenness and mortality.\nMethods: Using data from the U.S.-based Nurses’ Health Study prospective cohort, we defined cumulative average time-varying seasonal greenness surrounding each participant’s address using satellite imagery [Normalized Difference Vegetation Index (NDVI)]. We followed 108,630 women and observed 8,604 deaths between 2000 and 2008.\nResults: In models adjusted for mortality risk factors (age, race/ethnicity, smoking, and individualand area-level socioeconomic status), women living in the highest quintile of cumulative average greenness (accounting for changes in residence during follow-up) in the 250-m area around their home had a 12% lower rate of all-cause nonaccidental mortality [95% confidence interval (CI); 0.82, 0.94] than those in the lowest quintile. The results were consistent for the 1,250-m area, although the relationship was slightly attenuated. These associations were strongest for respiratory and cancer mortality. The findings from a mediation analysis suggested that the association between greenness and mortality may be at least partly mediated by physical activity, particulate matter &lt; 2.5 μm, social engagement, and depression.\nConclusions: Higher levels of green vegetation were associated with decreased mortality. Policies to increase vegetation may provide opportunities for physical activity, reduce harmful exposures, increase social engagement, and improve mental health. Planting vegetation may mitigate the effects of climate change; in addition, evidence of an association between vegetation and lower mortality rates suggests it also might be used to improve health.","container-title":"Environmental Health Perspectives","DOI":"10.1289/ehp.1510363","ISSN":"0091-6765, 1552-9924","issue":"9","journalAbbreviation":"Environ Health Perspect","language":"en","page":"1344-1352","source":"DOI.org (Crossref)","title":"Exposure to Greenness and Mortality in a Nationwide Prospective Cohort Study of Women","volume":"124","author":[{"family":"James","given":"Peter"},{"family":"Hart","given":"Jaime E."},{"family":"Banay","given":"Rachel F."},{"family":"Laden","given":"Francine"}],"issued":{"date-parts":[["2016",9]]}}},{"id":815,"uris":["http://zotero.org/users/10202395/items/K6FGJ93P"],"itemData":{"id":815,"type":"article-journal","abstract":"Background: Residential proximity to green space has been associated with physical and mental health beneﬁts, but whether green space is associated with post-stroke survival has not been studied.\nMethods: Patients Z21 years of age admitted to the Beth Israel Deaconess Medical Center (BIDMC) between 1999 and 2008 with acute ischemic stroke were identiﬁed. Demographics, presenting symptoms, medical history and imaging results were abstracted from medical records at the time of hospitalization for stroke onset. Addresses were linked to average Normalized Difference Vegetation Index, distance to roadways with more than 10,000 cars/day, and US census block group. Deaths were identiﬁed through June 2012 using the Social Security Death Index.\nResults: There were 929 deaths among 1645 patients with complete data (median follow up: 5 years). In multivariable Cox models adjusted for indicators of medical history, demographic and socioeconomic factors, the hazard ratio for patients living in locations in the highest quartile of green space compared to the lowest quartile was 0.78 (95% Conﬁdence Interval: 0.63–0.97) (p-trend¼0.009). This association remained statistically signiﬁcant after adjustment for residential proximity to a high trafﬁc road.\nConclusions: Residential proximity to green space is associated with higher survival rates after ischemic stroke in multivariable adjusted models. Further work is necessary to elucidate the underlying mechanisms for this association, and to better understand the exposure–response relationships and susceptibility factors that may contribute to higher mortality in low green space areas.","container-title":"Environmental Research","DOI":"10.1016/j.envres.2014.05.005","ISSN":"00139351","journalAbbreviation":"Environmental Research","language":"en","page":"42-48","source":"DOI.org (Crossref)","title":"Green space and mortality following ischemic stroke","volume":"133","author":[{"family":"Wilker","given":"Elissa H."},{"family":"Wu","given":"Chih-Da"},{"family":"McNeely","given":"Eileen"},{"family":"Mostofsky","given":"Elizabeth"},{"family":"Spengler","given":"John"},{"family":"Wellenius","given":"Gregory A."},{"family":"Mittleman","given":"Murray A."}],"issued":{"date-parts":[["2014",8]]}}},{"id":816,"uris":["http://zotero.org/users/10202395/items/886287M5"],"itemData":{"id":816,"type":"article-journal","abstract":"Parks and green space areas are important to human health for psychological and physiological reasons. There have been few evaluations of access to green space on mortality. This paper describes a cohort study of approximately 575,000 adults, 35 years of age and older, who resided in 10 urban areas in Ontario, Canada, between 1982 and 1986. Individuals were identiﬁed from income tax ﬁlings, and vital status was determined up to December 31, 2004 through record linkage to the Canadian Mortality Data Base. Place of residence was deﬁned by postal code data that were extracted from income tax ﬁlings. Urban green space was deﬁned by Landsat satellite retrievals with the Normalized Difference Vegetation Index and this was assigned to individuals’ place of residence at inception into the cohort using both a 30 m grid cell and a 500 m buffer. The proportional hazards model was used to estimate rate ratios (RRs) and their corresponding 95% conﬁdence intervals (CI) for selected underlying causes of death. The rate ratios were adjusted for income, marital status, ambient air pollution, and contextual neighborhood characteristics. About 187,000 subjects died during follow-up. An increase in the interquartile range of green space, using a 500 m buffer, was associated with reduced non-accidental mortality (RR ¼ 0.95, 95% CI ¼0.94–0.96). Reductions in mortality with increased residential green space were observed for each underlying cause of death; the strongest association was found for respiratory disease mortality (RR ¼0.91, 95% CI¼ 0.89–0.93). Risk estimates were essentially unchanged after adjusting for ambient air pollution. Our study suggests that green space in urban environments was associated with long-term reduction in mortality although this ﬁnding should be interpreted cautiously as this association may be inﬂuenced by residual confounding of sociodemographic and lifestyle factors. Further research is needed to: conﬁrm these ﬁndings, better understand the relationships between access to green space and behavioral risk factors for mortality, and identify what green space characteristics may confer the greatest health beneﬁt.","container-title":"Environmental Research","DOI":"10.1016/j.envres.2012.03.003","ISSN":"00139351","journalAbbreviation":"Environmental Research","language":"en","page":"51-58","source":"DOI.org (Crossref)","title":"A cohort study relating urban green space with mortality in Ontario, Canada","volume":"115","author":[{"family":"Villeneuve","given":"Paul J."},{"family":"Jerrett","given":"Michael"},{"family":"G. Su","given":"Jason"},{"family":"Burnett","given":"Richard T."},{"family":"Chen","given":"Hong"},{"family":"Wheeler","given":"Amanda J."},{"family":"Goldberg","given":"Mark S."}],"issued":{"date-parts":[["2012",5]]}}},{"id":818,"uris":["http://zotero.org/users/10202395/items/RFQA3A6G"],"itemData":{"id":818,"type":"article-journal","abstract":"Background Exposure to natural vegetation, or greenness, might affect health through several pathways, including increased physical activity and social engagement, improved mental health, and reductions in exposure to air pollution, extreme temperatures, and noise. Few studies of the effects of greenness have focused on Asia, and, to the best of our knowledge, no study has assessed the effect on vulnerable oldest-old populations. We assessed the association between residential greenness and mortality in an older cohort in China.","container-title":"The Lancet Planetary Health","DOI":"10.1016/S2542-5196(18)30264-X","ISSN":"25425196","issue":"1","journalAbbreviation":"The Lancet Planetary Health","language":"en","page":"e17-e25","source":"DOI.org (Crossref)","title":"Residential greenness and mortality in oldest-old women and men in China: a longitudinal cohort study","title-short":"Residential greenness and mortality in oldest-old women and men in China","volume":"3","author":[{"family":"Ji","given":"John S"},{"family":"Zhu","given":"Anna"},{"family":"Bai","given":"Chen"},{"family":"Wu","given":"Chih-Da"},{"family":"Yan","given":"Lijing"},{"family":"Tang","given":"Shenglan"},{"family":"Zeng","given":"Yi"},{"family":"James","given":"Peter"}],"issued":{"date-parts":[["2019",1]]}}},{"id":820,"uris":["http://zotero.org/users/10202395/items/XKGX9JWE"],"itemData":{"id":820,"type":"article-journal","abstract":"BACKGROUND: Living in areas with higher levels of surrounding greenness and access to urban green areas have been associated with beneﬁcial health outcomes. Some studies suggested a beneﬁcial inﬂuence on mortality, but the evidence is still controversial.\nOBJECTIVES: We used longitudinal data from a large cohort to estimate associations of two measures of residential greenness exposure with causespeciﬁc mortality and stroke incidence.\nMETHODS: We studied a population-based cohort of 1,263,721 residents in Rome aged ≥30 y, followed from 2001 to 2013. As greenness exposure, we utilized the leaf area index (LAI), which expresses the tree canopy as the leaf area per unit ground surface area, and the normalized difference vegetation index (NDVI) within 300- and 1,000-m buﬀers around home addresses. We estimated the association between the two measures of residential greenness and the outcomes using Cox models, after controlling for relevant individual covariates and contextual characteristics, and explored potential mediation by air pollution [ﬁne particulate matter with aerodynamic diameter ≤2:5 lm ðPM2:5Þ and NO2] and road traﬃc noise.\nRESULTS: We observed 198,704 deaths from nonaccidental causes, 81,269 from cardiovascular diseases [CVDs; 29,654 from ischemic heart disease (IHD)], 18,090 from cerebrovascular diseases, and 29,033 incident cases of stroke. Residential greenness, expressed as interquartile range (IQR) increase in LAI within 300 m, was inversely associated with stroke incidence {hazard ratio (HR) 0.977 [95% conﬁdence interval (CI): 0.961, 0.994]} and mortality for nonaccidental [HR 0.988 (95% CI: 0.981, 0.994)], cardiovascular [HR 0.984 (95% CI: 0.974, 0.994)] and cerebrovascular diseases [HR 0.964 (95% CI: 0.943, 0.985)]. Similar results were obtained using NDVI with 300- or 1,000-m buﬀers.\nCONCLUSIONS: Living in greener areas was associated with better health outcomes in our study, which could be partly due to reduced exposure to environmental hazards. Further research is required to understand the underlying mechanisms. https://doi.org/10.1289/EHP2854","container-title":"Environmental Health Perspectives","DOI":"10.1289/EHP2854","ISSN":"0091-6765, 1552-9924","issue":"2","journalAbbreviation":"Environ Health Perspect","language":"en","page":"027002","source":"DOI.org (Crossref)","title":"Exposure to Residential Greenness as a Predictor of Cause-Specific Mortality and Stroke Incidence in the Rome Longitudinal Study","volume":"127","author":[{"family":"Orioli","given":"Riccardo"},{"family":"Antonucci","given":"Chiara"},{"family":"Scortichini","given":"Matteo"},{"family":"Cerza","given":"Francesco"},{"family":"Marando","given":"Federica"},{"family":"Ancona","given":"Carla"},{"family":"Manes","given":"Fausto"},{"family":"Davoli","given":"Marina"},{"family":"Michelozzi","given":"Paola"},{"family":"Forastiere","given":"Francesco"},{"family":"Cesaroni","given":"Giulia"}],"issued":{"date-parts":[["2019",2]]}}},{"id":813,"uris":["http://zotero.org/users/10202395/items/CC6MFADX"],"itemData":{"id":813,"type":"article-journal","container-title":"Environment International","DOI":"10.1016/j.envint.2017.08.012","ISSN":"01604120","journalAbbreviation":"Environment International","language":"en","page":"176-184","source":"DOI.org (Crossref)","title":"More than clean air and tranquillity: Residential green is independently associated with decreasing mortality","title-short":"More than clean air and tranquillity","volume":"108","author":[{"family":"Vienneau","given":"Danielle"},{"family":"De Hoogh","given":"Kees"},{"family":"Faeh","given":"David"},{"family":"Kaufmann","given":"Marco"},{"family":"Wunderli","given":"Jean Marc"},{"family":"Röösli","given":"Martin"}],"issued":{"date-parts":[["2017",11]]}}}],"schema":"https://github.com/citation-style-language/schema/raw/master/csl-citation.json"} </w:instrText>
      </w:r>
      <w:r w:rsidR="00024A18" w:rsidRPr="00435A59">
        <w:fldChar w:fldCharType="separate"/>
      </w:r>
      <w:r w:rsidR="00B050E8" w:rsidRPr="00B050E8">
        <w:rPr>
          <w:vertAlign w:val="superscript"/>
        </w:rPr>
        <w:t>23–31</w:t>
      </w:r>
      <w:r w:rsidR="00024A18" w:rsidRPr="00435A59">
        <w:fldChar w:fldCharType="end"/>
      </w:r>
      <w:r w:rsidR="00024A18" w:rsidRPr="00435A59">
        <w:t xml:space="preserve"> </w:t>
      </w:r>
      <w:r w:rsidR="006648D7">
        <w:t>To align with the most commonly used exposure metric by the studies included in this meta-analysis, w</w:t>
      </w:r>
      <w:r w:rsidR="00024A18">
        <w:t>e therefore calculated the population-weighted greenest season NDVI</w:t>
      </w:r>
      <w:r w:rsidR="006648D7">
        <w:t xml:space="preserve">. </w:t>
      </w:r>
      <w:r w:rsidR="00E83E43">
        <w:t>After removing water pixels, we</w:t>
      </w:r>
      <w:r w:rsidR="000231D0">
        <w:t xml:space="preserve"> calculated </w:t>
      </w:r>
      <w:r w:rsidR="00A706D9">
        <w:t xml:space="preserve">pixel-level </w:t>
      </w:r>
      <w:r w:rsidR="000231D0">
        <w:t xml:space="preserve">NDVI averages for </w:t>
      </w:r>
      <w:r w:rsidR="006E4C2C">
        <w:t>each season</w:t>
      </w:r>
      <w:r w:rsidR="000231D0">
        <w:t>:</w:t>
      </w:r>
      <w:r w:rsidR="00E93D78">
        <w:t xml:space="preserve"> </w:t>
      </w:r>
      <w:r w:rsidR="000231D0" w:rsidRPr="00E93D78">
        <w:t>December 1 of the previous year through February 28</w:t>
      </w:r>
      <w:r w:rsidR="00E93D78">
        <w:t xml:space="preserve">, </w:t>
      </w:r>
      <w:r w:rsidR="000231D0" w:rsidRPr="00E93D78">
        <w:lastRenderedPageBreak/>
        <w:t>March 1 through May 31</w:t>
      </w:r>
      <w:r w:rsidR="00E93D78">
        <w:t xml:space="preserve">, </w:t>
      </w:r>
      <w:r w:rsidR="000231D0" w:rsidRPr="00E93D78">
        <w:t>June 1 through August 31</w:t>
      </w:r>
      <w:r w:rsidR="00E93D78">
        <w:t xml:space="preserve">, and </w:t>
      </w:r>
      <w:r w:rsidR="000231D0" w:rsidRPr="00E93D78">
        <w:t>September 1 through November 30.</w:t>
      </w:r>
      <w:r w:rsidR="00D95A79">
        <w:t xml:space="preserve"> </w:t>
      </w:r>
      <w:r w:rsidR="00C662A0">
        <w:t xml:space="preserve">We averaged </w:t>
      </w:r>
      <w:r w:rsidR="00037559">
        <w:t>all Landsat images within these time periods.</w:t>
      </w:r>
      <w:r w:rsidR="00837BA6">
        <w:t xml:space="preserve"> </w:t>
      </w:r>
      <w:r w:rsidR="00A706D9">
        <w:t>W</w:t>
      </w:r>
      <w:r w:rsidR="000231D0">
        <w:t xml:space="preserve">e combined our </w:t>
      </w:r>
      <w:r w:rsidR="00A706D9">
        <w:t xml:space="preserve">pixel-level </w:t>
      </w:r>
      <w:r w:rsidR="007978FB">
        <w:t xml:space="preserve">average seasonal NDVI </w:t>
      </w:r>
      <w:r w:rsidR="000231D0">
        <w:t xml:space="preserve">estimates with </w:t>
      </w:r>
      <w:r w:rsidR="007978FB">
        <w:t>gridded</w:t>
      </w:r>
      <w:r w:rsidR="00825A98">
        <w:t xml:space="preserve"> </w:t>
      </w:r>
      <w:r w:rsidR="001F1B3D">
        <w:t xml:space="preserve">total </w:t>
      </w:r>
      <w:r w:rsidR="000231D0">
        <w:t xml:space="preserve">population </w:t>
      </w:r>
      <w:r w:rsidR="00825A98">
        <w:t>data</w:t>
      </w:r>
      <w:r w:rsidR="00A92750">
        <w:t xml:space="preserve"> from JRC’s 100m Glob</w:t>
      </w:r>
      <w:r w:rsidR="00A47834">
        <w:t>a</w:t>
      </w:r>
      <w:r w:rsidR="00A92750">
        <w:t>l Human Settl</w:t>
      </w:r>
      <w:r w:rsidR="00A47834">
        <w:t>e</w:t>
      </w:r>
      <w:r w:rsidR="00A92750">
        <w:t>ment Layer</w:t>
      </w:r>
      <w:r w:rsidR="00A706D9">
        <w:t xml:space="preserve"> to calculate a </w:t>
      </w:r>
      <w:r w:rsidR="00441531" w:rsidRPr="00435A59">
        <w:t>population</w:t>
      </w:r>
      <w:r w:rsidR="004C72A3">
        <w:t>-</w:t>
      </w:r>
      <w:r w:rsidR="00441531" w:rsidRPr="00435A59">
        <w:t xml:space="preserve">weighted </w:t>
      </w:r>
      <w:r w:rsidR="004C72A3">
        <w:t xml:space="preserve">seasonal </w:t>
      </w:r>
      <w:r w:rsidR="00A706D9">
        <w:t xml:space="preserve">average </w:t>
      </w:r>
      <w:r w:rsidR="00441531" w:rsidRPr="00435A59">
        <w:t xml:space="preserve">NDVI </w:t>
      </w:r>
      <w:r w:rsidR="00441531">
        <w:t xml:space="preserve">for each city </w:t>
      </w:r>
      <w:r w:rsidR="00A706D9">
        <w:t xml:space="preserve">(Equation </w:t>
      </w:r>
      <w:r w:rsidR="00E91D7B">
        <w:t>1</w:t>
      </w:r>
      <w:r w:rsidR="00A706D9">
        <w:t>)</w:t>
      </w:r>
      <w:r w:rsidR="00441531">
        <w:t xml:space="preserve">: </w:t>
      </w:r>
    </w:p>
    <w:p w14:paraId="409F8CCA" w14:textId="6B0B7256" w:rsidR="00441531" w:rsidRDefault="00441531" w:rsidP="00441531">
      <w:pPr>
        <w:jc w:val="center"/>
        <w:rPr>
          <w:rFonts w:eastAsiaTheme="minorEastAsia"/>
        </w:rPr>
      </w:pPr>
      <w:r w:rsidRPr="00435A59">
        <w:rPr>
          <w:rFonts w:ascii="Cambria Math" w:hAnsi="Cambria Math"/>
        </w:rPr>
        <w:br/>
      </w:r>
      <w:r w:rsidRPr="00435A59">
        <w:rPr>
          <w:rFonts w:eastAsiaTheme="minorEastAsia"/>
        </w:rPr>
        <w:t xml:space="preserve">Equation </w:t>
      </w:r>
      <w:r w:rsidR="00E91D7B">
        <w:rPr>
          <w:rFonts w:eastAsiaTheme="minorEastAsia"/>
        </w:rPr>
        <w:t>1</w:t>
      </w:r>
      <w:r w:rsidRPr="00435A59">
        <w:rPr>
          <w:rFonts w:eastAsiaTheme="minorEastAsia"/>
        </w:rPr>
        <w:t xml:space="preserve">: </w:t>
      </w:r>
      <m:oMath>
        <m:f>
          <m:fPr>
            <m:ctrlPr>
              <w:rPr>
                <w:rFonts w:ascii="Cambria Math" w:hAnsi="Cambria Math"/>
              </w:rPr>
            </m:ctrlPr>
          </m:fPr>
          <m:num>
            <m:nary>
              <m:naryPr>
                <m:chr m:val="∑"/>
                <m:limLoc m:val="subSup"/>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NDVI</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population</m:t>
                        </m:r>
                      </m:e>
                      <m:sub>
                        <m:r>
                          <m:rPr>
                            <m:sty m:val="p"/>
                          </m:rPr>
                          <w:rPr>
                            <w:rFonts w:ascii="Cambria Math" w:hAnsi="Cambria Math"/>
                          </w:rPr>
                          <m:t>i</m:t>
                        </m:r>
                      </m:sub>
                    </m:sSub>
                  </m:e>
                </m:d>
              </m:e>
            </m:nary>
          </m:num>
          <m:den>
            <m:nary>
              <m:naryPr>
                <m:chr m:val="∑"/>
                <m:limLoc m:val="subSup"/>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population</m:t>
                        </m:r>
                      </m:e>
                      <m:sub>
                        <m:r>
                          <m:rPr>
                            <m:sty m:val="p"/>
                          </m:rPr>
                          <w:rPr>
                            <w:rFonts w:ascii="Cambria Math" w:hAnsi="Cambria Math"/>
                          </w:rPr>
                          <m:t>i</m:t>
                        </m:r>
                      </m:sub>
                    </m:sSub>
                  </m:e>
                </m:d>
              </m:e>
            </m:nary>
          </m:den>
        </m:f>
      </m:oMath>
      <w:r w:rsidR="00D95A79">
        <w:rPr>
          <w:rFonts w:eastAsiaTheme="minorEastAsia"/>
        </w:rPr>
        <w:t>.</w:t>
      </w:r>
    </w:p>
    <w:p w14:paraId="6A941EA4" w14:textId="312E30D3" w:rsidR="004C72A3" w:rsidRDefault="004C72A3" w:rsidP="00441531">
      <w:pPr>
        <w:jc w:val="center"/>
        <w:rPr>
          <w:rFonts w:eastAsiaTheme="minorEastAsia"/>
        </w:rPr>
      </w:pPr>
    </w:p>
    <w:p w14:paraId="5662474D" w14:textId="7E22BFA0" w:rsidR="00294BE0" w:rsidRDefault="001F1B3D" w:rsidP="00551D54">
      <w:r>
        <w:t xml:space="preserve">This dataset is updated every five years. </w:t>
      </w:r>
      <w:r w:rsidR="00024A18">
        <w:t>We used t</w:t>
      </w:r>
      <w:r w:rsidR="00B356A6">
        <w:t xml:space="preserve">he 2015 population </w:t>
      </w:r>
      <w:r>
        <w:t xml:space="preserve">spatial </w:t>
      </w:r>
      <w:r w:rsidR="00BC6708">
        <w:t xml:space="preserve">distribution </w:t>
      </w:r>
      <w:r w:rsidR="00B356A6">
        <w:t>for years 2014-2018 and the 2020 population</w:t>
      </w:r>
      <w:r>
        <w:t xml:space="preserve"> spatial</w:t>
      </w:r>
      <w:r w:rsidR="00B356A6">
        <w:t xml:space="preserve"> </w:t>
      </w:r>
      <w:r w:rsidR="00BC6708">
        <w:t xml:space="preserve">distribution </w:t>
      </w:r>
      <w:r w:rsidR="00B356A6">
        <w:t xml:space="preserve">for years 2019-2023. </w:t>
      </w:r>
      <w:r w:rsidR="00E91D7B">
        <w:t>For each year, we selected the highest population-weighted seasonal average NDVI, representing the greenest</w:t>
      </w:r>
      <w:r w:rsidR="00744A00">
        <w:t xml:space="preserve"> or peak </w:t>
      </w:r>
      <w:r w:rsidR="00E91D7B">
        <w:t xml:space="preserve">season, for each city. </w:t>
      </w:r>
    </w:p>
    <w:p w14:paraId="04A3882F" w14:textId="3CD9347A" w:rsidR="0060540D" w:rsidRDefault="0060540D" w:rsidP="000626A4"/>
    <w:p w14:paraId="2F1D9702" w14:textId="03BAD4CB" w:rsidR="002F21BE" w:rsidRPr="00E150CA" w:rsidRDefault="002F21BE" w:rsidP="002F21BE">
      <w:pPr>
        <w:rPr>
          <w:i/>
          <w:iCs/>
        </w:rPr>
      </w:pPr>
      <w:r w:rsidRPr="00E150CA">
        <w:rPr>
          <w:i/>
          <w:iCs/>
        </w:rPr>
        <w:t xml:space="preserve">Health Impact Assessment </w:t>
      </w:r>
    </w:p>
    <w:p w14:paraId="5439A3CF" w14:textId="2C11BE28" w:rsidR="00435EC8" w:rsidRDefault="00D322C2" w:rsidP="00435EC8">
      <w:pPr>
        <w:pStyle w:val="NormalWeb"/>
        <w:spacing w:before="240" w:after="240"/>
        <w:rPr>
          <w:color w:val="000000" w:themeColor="text1"/>
          <w:shd w:val="clear" w:color="auto" w:fill="FFFFFF"/>
        </w:rPr>
      </w:pPr>
      <w:r>
        <w:rPr>
          <w:color w:val="000000" w:themeColor="text1"/>
          <w:shd w:val="clear" w:color="auto" w:fill="FFFFFF"/>
        </w:rPr>
        <w:t>We</w:t>
      </w:r>
      <w:r w:rsidR="00435EC8">
        <w:rPr>
          <w:color w:val="000000" w:themeColor="text1"/>
          <w:shd w:val="clear" w:color="auto" w:fill="FFFFFF"/>
        </w:rPr>
        <w:t xml:space="preserve"> </w:t>
      </w:r>
      <w:r w:rsidR="00AA34B4">
        <w:rPr>
          <w:color w:val="000000" w:themeColor="text1"/>
          <w:shd w:val="clear" w:color="auto" w:fill="FFFFFF"/>
        </w:rPr>
        <w:t xml:space="preserve">used a linear health impact function to </w:t>
      </w:r>
      <w:r w:rsidR="00435EC8">
        <w:rPr>
          <w:color w:val="000000" w:themeColor="text1"/>
          <w:shd w:val="clear" w:color="auto" w:fill="FFFFFF"/>
        </w:rPr>
        <w:t xml:space="preserve">estimate the </w:t>
      </w:r>
      <w:r>
        <w:rPr>
          <w:color w:val="000000" w:themeColor="text1"/>
          <w:shd w:val="clear" w:color="auto" w:fill="FFFFFF"/>
        </w:rPr>
        <w:t>annual change</w:t>
      </w:r>
      <w:r w:rsidR="00435EC8">
        <w:rPr>
          <w:color w:val="000000" w:themeColor="text1"/>
          <w:shd w:val="clear" w:color="auto" w:fill="FFFFFF"/>
        </w:rPr>
        <w:t xml:space="preserve"> </w:t>
      </w:r>
      <w:r>
        <w:rPr>
          <w:color w:val="000000" w:themeColor="text1"/>
          <w:shd w:val="clear" w:color="auto" w:fill="FFFFFF"/>
        </w:rPr>
        <w:t xml:space="preserve">in </w:t>
      </w:r>
      <w:r w:rsidR="00435EC8">
        <w:rPr>
          <w:color w:val="000000" w:themeColor="text1"/>
          <w:shd w:val="clear" w:color="auto" w:fill="FFFFFF"/>
        </w:rPr>
        <w:t>premature deaths</w:t>
      </w:r>
      <w:r>
        <w:rPr>
          <w:color w:val="000000" w:themeColor="text1"/>
          <w:shd w:val="clear" w:color="auto" w:fill="FFFFFF"/>
        </w:rPr>
        <w:t xml:space="preserve"> (</w:t>
      </w:r>
      <w:r w:rsidR="00AC6C82">
        <w:rPr>
          <w:color w:val="000000" w:themeColor="text1"/>
          <w:shd w:val="clear" w:color="auto" w:fill="FFFFFF"/>
        </w:rPr>
        <w:t>more or fewer</w:t>
      </w:r>
      <w:r>
        <w:rPr>
          <w:color w:val="000000" w:themeColor="text1"/>
          <w:shd w:val="clear" w:color="auto" w:fill="FFFFFF"/>
        </w:rPr>
        <w:t>)</w:t>
      </w:r>
      <w:r w:rsidR="00435EC8">
        <w:rPr>
          <w:color w:val="000000" w:themeColor="text1"/>
          <w:shd w:val="clear" w:color="auto" w:fill="FFFFFF"/>
        </w:rPr>
        <w:t xml:space="preserve"> associated with </w:t>
      </w:r>
      <w:r w:rsidR="006D07C8">
        <w:rPr>
          <w:color w:val="000000" w:themeColor="text1"/>
          <w:shd w:val="clear" w:color="auto" w:fill="FFFFFF"/>
        </w:rPr>
        <w:t xml:space="preserve">changes </w:t>
      </w:r>
      <w:r>
        <w:rPr>
          <w:color w:val="000000" w:themeColor="text1"/>
          <w:shd w:val="clear" w:color="auto" w:fill="FFFFFF"/>
        </w:rPr>
        <w:t>in</w:t>
      </w:r>
      <w:r w:rsidR="00435EC8">
        <w:rPr>
          <w:color w:val="000000" w:themeColor="text1"/>
          <w:shd w:val="clear" w:color="auto" w:fill="FFFFFF"/>
        </w:rPr>
        <w:t xml:space="preserve"> </w:t>
      </w:r>
      <w:r w:rsidR="006D07C8">
        <w:rPr>
          <w:color w:val="000000" w:themeColor="text1"/>
          <w:shd w:val="clear" w:color="auto" w:fill="FFFFFF"/>
        </w:rPr>
        <w:t xml:space="preserve">urban </w:t>
      </w:r>
      <w:r w:rsidR="00435EC8">
        <w:rPr>
          <w:color w:val="000000" w:themeColor="text1"/>
          <w:shd w:val="clear" w:color="auto" w:fill="FFFFFF"/>
        </w:rPr>
        <w:t>greenspace</w:t>
      </w:r>
      <w:r w:rsidR="0077772C">
        <w:rPr>
          <w:color w:val="000000" w:themeColor="text1"/>
          <w:shd w:val="clear" w:color="auto" w:fill="FFFFFF"/>
        </w:rPr>
        <w:t xml:space="preserve"> (decreases or increases)</w:t>
      </w:r>
      <w:r w:rsidR="00AA34B4">
        <w:rPr>
          <w:color w:val="000000" w:themeColor="text1"/>
          <w:shd w:val="clear" w:color="auto" w:fill="FFFFFF"/>
        </w:rPr>
        <w:t xml:space="preserve"> following previous</w:t>
      </w:r>
      <w:r w:rsidR="00AA34B4" w:rsidRPr="00AA34B4">
        <w:rPr>
          <w:color w:val="000000" w:themeColor="text1"/>
          <w:shd w:val="clear" w:color="auto" w:fill="FFFFFF"/>
        </w:rPr>
        <w:t xml:space="preserve"> </w:t>
      </w:r>
      <w:r w:rsidR="00AA34B4">
        <w:rPr>
          <w:color w:val="000000" w:themeColor="text1"/>
          <w:shd w:val="clear" w:color="auto" w:fill="FFFFFF"/>
        </w:rPr>
        <w:t>health impact assessments of greenspace on mortality.</w:t>
      </w:r>
      <w:r w:rsidR="00AA34B4">
        <w:rPr>
          <w:color w:val="000000" w:themeColor="text1"/>
          <w:shd w:val="clear" w:color="auto" w:fill="FFFFFF"/>
        </w:rPr>
        <w:fldChar w:fldCharType="begin"/>
      </w:r>
      <w:r w:rsidR="00B050E8">
        <w:rPr>
          <w:color w:val="000000" w:themeColor="text1"/>
          <w:shd w:val="clear" w:color="auto" w:fill="FFFFFF"/>
        </w:rPr>
        <w:instrText xml:space="preserve"> ADDIN ZOTERO_ITEM CSL_CITATION {"citationID":"A6kczmJl","properties":{"formattedCitation":"\\super 32,33\\nosupersub{}","plainCitation":"32,33","noteIndex":0},"citationItems":[{"id":584,"uris":["http://zotero.org/users/10202395/items/YTZWDF4A"],"itemData":{"id":584,"type":"article-journal","abstract":"Background: Urban tree canopy (UTC) goals are a popular policy to increase urban vegetation, support climate strategies, and encourage a healthy environment. Health studies related to UTC are needed across cities to support evidence-based decision-making. Methods: We used a quantitative Health Impact Assessment (HIA) to model the annual number of premature deaths prevented, and the number of stroke and dementia cases, under UTC goals in Denver, Colorado, and Phoenix, Arizona, USA, using standing policy goals (20% and 25% UTC, respectively) and 50% (“half-way”) attainment scenarios from current levels (16.5% and 13% UTC, respectively), using publicly accessible national datasets, and a proportional representation of UTC change to standardize across methodologies. We estimated UTC health impacts by relating UTC with scenario-based changes in the Normalized Difference Vegetation Index (NDVI) and considered health equity in UTC distributions and benefits. Results: We projected that at 2020 populations, uniform 20% UTC attainment across Denver block groups would avert 200 (95% uncertainty interval: (UI) 100, 306) annual premature deaths among adults 18 and older, along with 4.1 (95% UI: 2.2, 6.7) annual cases of stroke (adults ≥35), and 2.6 (95% UI: 1.5, 4.1) cases of dementia (adults ≥65), with “halfway” attainment from current levels (16.5% UTC) capturing </w:instrText>
      </w:r>
      <w:r w:rsidR="00B050E8">
        <w:rPr>
          <w:rFonts w:ascii="Cambria Math" w:hAnsi="Cambria Math" w:cs="Cambria Math"/>
          <w:color w:val="000000" w:themeColor="text1"/>
          <w:shd w:val="clear" w:color="auto" w:fill="FFFFFF"/>
        </w:rPr>
        <w:instrText>∼</w:instrText>
      </w:r>
      <w:r w:rsidR="00B050E8">
        <w:rPr>
          <w:color w:val="000000" w:themeColor="text1"/>
          <w:shd w:val="clear" w:color="auto" w:fill="FFFFFF"/>
        </w:rPr>
        <w:instrText xml:space="preserve">64% of these benefits. In Phoenix, uniform 25% UTC would annually prevent 368 (95% UI: 181, 558) premature deaths, 8.7 (95% UI: 4.7, 13.9) cases of stroke, and 5,1 (95% UI: 2.9, 8.0) of dementia, with the “halfway” scenario (17% UTC) achieving </w:instrText>
      </w:r>
      <w:r w:rsidR="00B050E8">
        <w:rPr>
          <w:rFonts w:ascii="Cambria Math" w:hAnsi="Cambria Math" w:cs="Cambria Math"/>
          <w:color w:val="000000" w:themeColor="text1"/>
          <w:shd w:val="clear" w:color="auto" w:fill="FFFFFF"/>
        </w:rPr>
        <w:instrText>∼</w:instrText>
      </w:r>
      <w:r w:rsidR="00B050E8">
        <w:rPr>
          <w:color w:val="000000" w:themeColor="text1"/>
          <w:shd w:val="clear" w:color="auto" w:fill="FFFFFF"/>
        </w:rPr>
        <w:instrText xml:space="preserve">44% of these results. Both cities saw significantly different greenspace exposures and health outcomes by socioeconomic vulnerability. Denver had more spatially and socioeconomically heterogeneous projected health benefits than Phoenix. Conclusions: Implementing UTC goals can prevent excess mortality and chronic diseases among urban residents. UTC goals can be used as a health promotion and prevention tool.","container-title":"Environmental Research","DOI":"10.1016/j.envres.2023.117610","ISSN":"0013-9351","journalAbbreviation":"Environmental Research","page":"117610","source":"ScienceDirect","title":"Health implications of urban tree canopy policy scenarios in Denver and Phoenix: A quantitative health impact assessment","title-short":"Health implications of urban tree canopy policy scenarios in Denver and Phoenix","volume":"241","author":[{"family":"Dean","given":"Daniel"},{"family":"Garber","given":"Michael D."},{"family":"Anderson","given":"G. Brooke"},{"family":"Rojas-Rueda","given":"David"}],"issued":{"date-parts":[["2024",1,15]]}}},{"id":721,"uris":["http://zotero.org/users/10202395/items/DBRKFYKJ"],"itemData":{"id":721,"type":"article-journal","abstract":"Background: Cities often use non-native plants such as turf grass to expand green space. Native plants, however, may require less water and maintenance and have co-benefits for local biodiversity, including pollinators. Pre­ vious studies estimating mortality averted by adding green space have not considered the provision of native plants as part of the greening policies. Aim: We aim to estimate premature deaths that would be prevented by the implementation of native-plants policy scenarios in the City of Denver, Colorado, USA.\nMethods: After conducting interviews with local expert stakeholders, we designed four native-plants policy scenarios: (1) greening 30% of all city census-block groups to the greenness level of native plants, (2) adding 200foot native-plants buffers around riparian areas, (3) constructing large water retention ponds landscaped with native plants, and (4) greening parking lots. We defined the normalized difference vegetation index (NDVI) corresponding to native plants by measuring the NDVI at locations with known native or highly diverse vege­ tation. Using a quantitative health-impact assessment approach, we estimated premature mortality averted under each scenario, comparing alternative NDVI with the baseline value.\nResults: In the most ambitious scenario, we estimated that 88 (95% uncertainty interval (UI): 20, 128) annual premature deaths would be prevented by greening 30% of the area of census block groups with native plants. We estimated that greening 30% of parking-lot surface with native plants would prevent 14 annual deaths (95% UI: 7, 18), adding the native buffers around riparian areas would prevent 13 annual deaths (95% UI: 2, 20), and adding the proposed stormwater retention ponds would prevent no annual deaths (95% UI: 0, 1).\nConclusion: Using native plants to increase green spaces has the potential to prevent premature deaths in the City of Denver, but results were sensitive to the definition of native plants and the policy scenario.","container-title":"Environment International","DOI":"10.1016/j.envint.2023.108050","ISSN":"01604120","journalAbbreviation":"Environment International","language":"en","page":"108050","source":"DOI.org (Crossref)","title":"Impact of native-plants policy scenarios on premature mortality in Denver: A quantitative health impact assessment","title-short":"Impact of native-plants policy scenarios on premature mortality in Denver","volume":"178","author":[{"family":"Garber","given":"Michael D."},{"family":"Guidi","given":"Michael"},{"family":"Bousselot","given":"Jennifer"},{"family":"Benmarhnia","given":"Tarik"},{"family":"Dean","given":"Daniel"},{"family":"Rojas-Rueda","given":"David"}],"issued":{"date-parts":[["2023",8]]}}}],"schema":"https://github.com/citation-style-language/schema/raw/master/csl-citation.json"} </w:instrText>
      </w:r>
      <w:r w:rsidR="00AA34B4">
        <w:rPr>
          <w:color w:val="000000" w:themeColor="text1"/>
          <w:shd w:val="clear" w:color="auto" w:fill="FFFFFF"/>
        </w:rPr>
        <w:fldChar w:fldCharType="separate"/>
      </w:r>
      <w:r w:rsidR="00B050E8" w:rsidRPr="00B050E8">
        <w:rPr>
          <w:color w:val="000000"/>
          <w:vertAlign w:val="superscript"/>
        </w:rPr>
        <w:t>32,33</w:t>
      </w:r>
      <w:r w:rsidR="00AA34B4">
        <w:rPr>
          <w:color w:val="000000" w:themeColor="text1"/>
          <w:shd w:val="clear" w:color="auto" w:fill="FFFFFF"/>
        </w:rPr>
        <w:fldChar w:fldCharType="end"/>
      </w:r>
      <w:r w:rsidR="00AA34B4">
        <w:rPr>
          <w:color w:val="000000" w:themeColor="text1"/>
          <w:shd w:val="clear" w:color="auto" w:fill="FFFFFF"/>
        </w:rPr>
        <w:t xml:space="preserve"> </w:t>
      </w:r>
      <w:r w:rsidR="00F411A4" w:rsidRPr="00F411A4">
        <w:rPr>
          <w:color w:val="000000" w:themeColor="text1"/>
          <w:shd w:val="clear" w:color="auto" w:fill="FFFFFF"/>
        </w:rPr>
        <w:t xml:space="preserve">The health impact equation is a function of baseline mortality rates, population, changes in greenspace exposure, and the exposure-response function between NDVI and all-cause mortality. </w:t>
      </w:r>
      <w:r w:rsidR="00E32FAA">
        <w:rPr>
          <w:color w:val="000000" w:themeColor="text1"/>
          <w:shd w:val="clear" w:color="auto" w:fill="FFFFFF"/>
        </w:rPr>
        <w:t xml:space="preserve">We first calculated the population attributable fraction </w:t>
      </w:r>
      <w:r w:rsidR="005C2AF3">
        <w:rPr>
          <w:color w:val="000000" w:themeColor="text1"/>
          <w:shd w:val="clear" w:color="auto" w:fill="FFFFFF"/>
        </w:rPr>
        <w:t>(</w:t>
      </w:r>
      <w:r w:rsidR="005C2AF3" w:rsidRPr="005C2AF3">
        <w:rPr>
          <w:i/>
          <w:iCs/>
          <w:color w:val="000000" w:themeColor="text1"/>
          <w:shd w:val="clear" w:color="auto" w:fill="FFFFFF"/>
        </w:rPr>
        <w:t>PAF</w:t>
      </w:r>
      <w:r w:rsidR="005C2AF3">
        <w:rPr>
          <w:color w:val="000000" w:themeColor="text1"/>
          <w:shd w:val="clear" w:color="auto" w:fill="FFFFFF"/>
        </w:rPr>
        <w:t xml:space="preserve">) </w:t>
      </w:r>
      <w:r w:rsidR="00E32FAA">
        <w:rPr>
          <w:color w:val="000000" w:themeColor="text1"/>
          <w:shd w:val="clear" w:color="auto" w:fill="FFFFFF"/>
        </w:rPr>
        <w:t>of deaths related to insufficient green area</w:t>
      </w:r>
      <w:r w:rsidR="000A48F0">
        <w:rPr>
          <w:color w:val="000000" w:themeColor="text1"/>
          <w:shd w:val="clear" w:color="auto" w:fill="FFFFFF"/>
        </w:rPr>
        <w:t xml:space="preserve"> (Equation 2)</w:t>
      </w:r>
      <w:r w:rsidR="005E2A24">
        <w:rPr>
          <w:color w:val="000000" w:themeColor="text1"/>
          <w:shd w:val="clear" w:color="auto" w:fill="FFFFFF"/>
        </w:rPr>
        <w:t>.</w:t>
      </w:r>
      <w:r w:rsidR="00E32FAA">
        <w:rPr>
          <w:color w:val="000000" w:themeColor="text1"/>
          <w:shd w:val="clear" w:color="auto" w:fill="FFFFFF"/>
        </w:rPr>
        <w:t xml:space="preserve"> </w:t>
      </w:r>
      <w:r w:rsidR="005E2A24">
        <w:t>W</w:t>
      </w:r>
      <w:r w:rsidR="005E2A24" w:rsidRPr="00435A59">
        <w:t>e use</w:t>
      </w:r>
      <w:r w:rsidR="005E2A24">
        <w:t>d</w:t>
      </w:r>
      <w:r w:rsidR="005E2A24" w:rsidRPr="00435A59">
        <w:t xml:space="preserve"> the difference </w:t>
      </w:r>
      <w:r w:rsidR="005E2A24">
        <w:t>between the average 2014-2018</w:t>
      </w:r>
      <w:r w:rsidR="005E2A24" w:rsidRPr="00435A59">
        <w:t xml:space="preserve"> </w:t>
      </w:r>
      <w:r w:rsidR="005E2A24">
        <w:t xml:space="preserve">and 2019-2023 </w:t>
      </w:r>
      <w:r w:rsidR="005E2A24" w:rsidRPr="00435A59">
        <w:t xml:space="preserve">population-weighted </w:t>
      </w:r>
      <w:r w:rsidR="005E2A24">
        <w:t>greenest season</w:t>
      </w:r>
      <w:r w:rsidR="005E2A24" w:rsidRPr="00435A59">
        <w:t xml:space="preserve"> NDVI to define changes in urban greenspace</w:t>
      </w:r>
      <w:r w:rsidR="000A48F0">
        <w:t xml:space="preserve"> at the 100m pixel (</w:t>
      </w:r>
      <w:proofErr w:type="spellStart"/>
      <w:r w:rsidR="000A48F0">
        <w:t>i</w:t>
      </w:r>
      <w:proofErr w:type="spellEnd"/>
      <w:r w:rsidR="000A48F0">
        <w:t>) level to align with the resolution of our population dataset</w:t>
      </w:r>
      <w:r w:rsidR="005E2A24">
        <w:t xml:space="preserve"> (</w:t>
      </w:r>
      <m:oMath>
        <m:r>
          <w:rPr>
            <w:rFonts w:ascii="Cambria Math" w:hAnsi="Cambria Math"/>
          </w:rPr>
          <m:t>ΔNDV</m:t>
        </m:r>
        <m:sSub>
          <m:sSubPr>
            <m:ctrlPr>
              <w:rPr>
                <w:rFonts w:ascii="Cambria Math" w:hAnsi="Cambria Math"/>
                <w:i/>
              </w:rPr>
            </m:ctrlPr>
          </m:sSubPr>
          <m:e>
            <m:r>
              <w:rPr>
                <w:rFonts w:ascii="Cambria Math" w:hAnsi="Cambria Math"/>
              </w:rPr>
              <m:t>I</m:t>
            </m:r>
          </m:e>
          <m:sub>
            <m:r>
              <w:rPr>
                <w:rFonts w:ascii="Cambria Math" w:hAnsi="Cambria Math"/>
              </w:rPr>
              <m:t>i</m:t>
            </m:r>
          </m:sub>
        </m:sSub>
      </m:oMath>
      <w:r w:rsidR="005E2A24">
        <w:rPr>
          <w:rFonts w:eastAsiaTheme="minorEastAsia"/>
        </w:rPr>
        <w:t>)</w:t>
      </w:r>
      <w:r w:rsidR="005E2A24" w:rsidRPr="00435A59">
        <w:t xml:space="preserve">. </w:t>
      </w:r>
      <w:r w:rsidR="005E2A24">
        <w:t>We opted to use a five-year average rather than compare individual years, because we observed large inter-annual variability in NDVI.</w:t>
      </w:r>
      <w:r w:rsidR="00EC2502">
        <w:t xml:space="preserve"> </w:t>
      </w:r>
      <w:r w:rsidR="005E2A24">
        <w:rPr>
          <w:color w:val="000000" w:themeColor="text1"/>
          <w:shd w:val="clear" w:color="auto" w:fill="FFFFFF"/>
        </w:rPr>
        <w:t xml:space="preserve">To calculate the PAF, we used the </w:t>
      </w:r>
      <w:r w:rsidR="005E2A24" w:rsidRPr="001F1B3D">
        <w:rPr>
          <w:color w:val="000000" w:themeColor="text1"/>
          <w:shd w:val="clear" w:color="auto" w:fill="FFFFFF"/>
        </w:rPr>
        <w:t xml:space="preserve">hazard ratio </w:t>
      </w:r>
      <w:r w:rsidR="005E2A24">
        <w:rPr>
          <w:color w:val="000000" w:themeColor="text1"/>
          <w:shd w:val="clear" w:color="auto" w:fill="FFFFFF"/>
        </w:rPr>
        <w:t>(</w:t>
      </w:r>
      <w:r w:rsidR="005E2A24" w:rsidRPr="005C2AF3">
        <w:rPr>
          <w:i/>
          <w:iCs/>
          <w:color w:val="000000" w:themeColor="text1"/>
          <w:shd w:val="clear" w:color="auto" w:fill="FFFFFF"/>
        </w:rPr>
        <w:t>HR</w:t>
      </w:r>
      <w:r w:rsidR="005E2A24">
        <w:rPr>
          <w:color w:val="000000" w:themeColor="text1"/>
          <w:shd w:val="clear" w:color="auto" w:fill="FFFFFF"/>
        </w:rPr>
        <w:t>) from a meta-analysis of the protective effect of NDVI on all-cause mortality</w:t>
      </w:r>
      <w:r w:rsidR="000A48F0">
        <w:rPr>
          <w:color w:val="000000" w:themeColor="text1"/>
          <w:shd w:val="clear" w:color="auto" w:fill="FFFFFF"/>
        </w:rPr>
        <w:t xml:space="preserve">, </w:t>
      </w:r>
      <w:r w:rsidR="000A48F0" w:rsidRPr="00E32FAA">
        <w:rPr>
          <w:color w:val="000000" w:themeColor="text1"/>
          <w:shd w:val="clear" w:color="auto" w:fill="FFFFFF"/>
        </w:rPr>
        <w:t>which found a pooled hazard ratio of 0.96 (95% confidence interval (CI): 0.94, 0.97) for each 0.1 increase in NDVI within 500m of a person’s home.</w:t>
      </w:r>
      <w:r w:rsidR="00EC2502" w:rsidRPr="00E32FAA">
        <w:fldChar w:fldCharType="begin"/>
      </w:r>
      <w:r w:rsidR="00EC2502">
        <w:instrText xml:space="preserve"> ADDIN ZOTERO_ITEM CSL_CITATION {"citationID":"LKiwaD5p","properties":{"formattedCitation":"\\super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EC2502" w:rsidRPr="00E32FAA">
        <w:fldChar w:fldCharType="separate"/>
      </w:r>
      <w:r w:rsidR="00EC2502" w:rsidRPr="00B050E8">
        <w:rPr>
          <w:color w:val="000000"/>
          <w:vertAlign w:val="superscript"/>
        </w:rPr>
        <w:t>9</w:t>
      </w:r>
      <w:r w:rsidR="00EC2502" w:rsidRPr="00E32FAA">
        <w:fldChar w:fldCharType="end"/>
      </w:r>
      <w:r w:rsidR="000A48F0">
        <w:t xml:space="preserve"> We</w:t>
      </w:r>
      <w:r w:rsidR="005E2A24">
        <w:rPr>
          <w:color w:val="000000" w:themeColor="text1"/>
          <w:shd w:val="clear" w:color="auto" w:fill="FFFFFF"/>
        </w:rPr>
        <w:t xml:space="preserve"> </w:t>
      </w:r>
      <w:r w:rsidR="000A48F0">
        <w:rPr>
          <w:color w:val="000000" w:themeColor="text1"/>
          <w:shd w:val="clear" w:color="auto" w:fill="FFFFFF"/>
        </w:rPr>
        <w:t>scaled changes in NDVI</w:t>
      </w:r>
      <w:r w:rsidR="005E2A24">
        <w:t xml:space="preserve"> by the unit increase of the hazard-ratio (0.1 increases in NDVI). </w:t>
      </w:r>
      <w:r w:rsidR="005E2A24">
        <w:t>We calculated this value for</w:t>
      </w:r>
      <w:r w:rsidR="00E32FAA">
        <w:rPr>
          <w:color w:val="000000" w:themeColor="text1"/>
          <w:shd w:val="clear" w:color="auto" w:fill="FFFFFF"/>
        </w:rPr>
        <w:t xml:space="preserve"> each 100m pixel </w:t>
      </w:r>
      <w:r w:rsidR="005C2AF3">
        <w:rPr>
          <w:color w:val="000000" w:themeColor="text1"/>
          <w:shd w:val="clear" w:color="auto" w:fill="FFFFFF"/>
        </w:rPr>
        <w:t>(</w:t>
      </w:r>
      <w:proofErr w:type="spellStart"/>
      <w:r w:rsidR="00E32FAA">
        <w:rPr>
          <w:color w:val="000000" w:themeColor="text1"/>
          <w:shd w:val="clear" w:color="auto" w:fill="FFFFFF"/>
        </w:rPr>
        <w:t>i</w:t>
      </w:r>
      <w:proofErr w:type="spellEnd"/>
      <w:r w:rsidR="005C2AF3">
        <w:rPr>
          <w:color w:val="000000" w:themeColor="text1"/>
          <w:shd w:val="clear" w:color="auto" w:fill="FFFFFF"/>
        </w:rPr>
        <w:t>)</w:t>
      </w:r>
      <w:r w:rsidR="00E32FAA">
        <w:rPr>
          <w:color w:val="000000" w:themeColor="text1"/>
          <w:shd w:val="clear" w:color="auto" w:fill="FFFFFF"/>
        </w:rPr>
        <w:t xml:space="preserve"> </w:t>
      </w:r>
      <w:r w:rsidR="00F37DF7">
        <w:rPr>
          <w:color w:val="000000" w:themeColor="text1"/>
          <w:shd w:val="clear" w:color="auto" w:fill="FFFFFF"/>
        </w:rPr>
        <w:t>(Equation 2)</w:t>
      </w:r>
      <w:r w:rsidR="00435EC8">
        <w:rPr>
          <w:color w:val="000000" w:themeColor="text1"/>
          <w:shd w:val="clear" w:color="auto" w:fill="FFFFFF"/>
        </w:rPr>
        <w:t>:</w:t>
      </w:r>
    </w:p>
    <w:p w14:paraId="0A830B96" w14:textId="53EB291E" w:rsidR="00E32FAA" w:rsidRPr="00E32FAA" w:rsidRDefault="00435EC8" w:rsidP="00741FA6">
      <w:pPr>
        <w:pStyle w:val="NormalWeb"/>
        <w:spacing w:before="240" w:beforeAutospacing="0" w:after="240" w:afterAutospacing="0"/>
        <w:jc w:val="center"/>
      </w:pPr>
      <w:r>
        <w:rPr>
          <w:color w:val="000000" w:themeColor="text1"/>
          <w:shd w:val="clear" w:color="auto" w:fill="FFFFFF"/>
        </w:rPr>
        <w:t xml:space="preserve">Equation </w:t>
      </w:r>
      <w:r w:rsidR="00BB0A5D">
        <w:rPr>
          <w:color w:val="000000" w:themeColor="text1"/>
          <w:shd w:val="clear" w:color="auto" w:fill="FFFFFF"/>
        </w:rPr>
        <w:t>2</w:t>
      </w:r>
      <w:r>
        <w:rPr>
          <w:color w:val="000000" w:themeColor="text1"/>
          <w:shd w:val="clear" w:color="auto" w:fill="FFFFFF"/>
        </w:rPr>
        <w:t>:</w:t>
      </w:r>
      <w:r w:rsidR="00E32FAA">
        <w:rPr>
          <w:color w:val="000000" w:themeColor="text1"/>
          <w:shd w:val="clear" w:color="auto" w:fill="FFFFFF"/>
        </w:rPr>
        <w:t xml:space="preserve"> </w:t>
      </w:r>
      <m:oMath>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PAF</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=1-</m:t>
        </m:r>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1</m:t>
            </m:r>
          </m:num>
          <m:den>
            <m:sSup>
              <m:sSupPr>
                <m:ctrlPr>
                  <w:rPr>
                    <w:rFonts w:ascii="Cambria Math" w:hAnsi="Cambria Math"/>
                    <w:i/>
                    <w:color w:val="000000" w:themeColor="text1"/>
                    <w:shd w:val="clear" w:color="auto" w:fill="FFFFFF"/>
                  </w:rPr>
                </m:ctrlPr>
              </m:sSupPr>
              <m:e>
                <m:r>
                  <w:rPr>
                    <w:rFonts w:ascii="Cambria Math" w:hAnsi="Cambria Math"/>
                    <w:color w:val="000000" w:themeColor="text1"/>
                    <w:shd w:val="clear" w:color="auto" w:fill="FFFFFF"/>
                  </w:rPr>
                  <m:t>HR</m:t>
                </m:r>
              </m:e>
              <m:sup>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ΔNDV</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I</m:t>
                        </m:r>
                      </m:e>
                      <m:sub>
                        <m:r>
                          <w:rPr>
                            <w:rFonts w:ascii="Cambria Math" w:hAnsi="Cambria Math"/>
                            <w:color w:val="000000" w:themeColor="text1"/>
                            <w:shd w:val="clear" w:color="auto" w:fill="FFFFFF"/>
                          </w:rPr>
                          <m:t>i</m:t>
                        </m:r>
                      </m:sub>
                    </m:sSub>
                  </m:num>
                  <m:den>
                    <m:r>
                      <w:rPr>
                        <w:rFonts w:ascii="Cambria Math" w:hAnsi="Cambria Math"/>
                        <w:color w:val="000000" w:themeColor="text1"/>
                        <w:shd w:val="clear" w:color="auto" w:fill="FFFFFF"/>
                      </w:rPr>
                      <m:t>0.1</m:t>
                    </m:r>
                  </m:den>
                </m:f>
              </m:sup>
            </m:sSup>
          </m:den>
        </m:f>
      </m:oMath>
    </w:p>
    <w:p w14:paraId="5F1AE186" w14:textId="6456D2AF" w:rsidR="00E32FAA" w:rsidRPr="00741FA6" w:rsidRDefault="00E32FAA" w:rsidP="00741FA6">
      <w:pPr>
        <w:pStyle w:val="NormalWeb"/>
        <w:spacing w:before="240" w:beforeAutospacing="0" w:after="240" w:afterAutospacing="0"/>
        <w:rPr>
          <w:i/>
        </w:rPr>
      </w:pPr>
      <w:r w:rsidRPr="00E32FAA">
        <w:t xml:space="preserve">We </w:t>
      </w:r>
      <w:r>
        <w:t>sum</w:t>
      </w:r>
      <w:r w:rsidR="005C2AF3">
        <w:t>med</w:t>
      </w:r>
      <w:r>
        <w:t xml:space="preserve"> </w:t>
      </w:r>
      <w:r w:rsidR="003D06C1">
        <w:t xml:space="preserve">the product of </w:t>
      </w:r>
      <w:r w:rsidRPr="00E32FAA">
        <w:t>2020 country-level baseline mortality rates (</w:t>
      </w:r>
      <m:oMath>
        <m:sSub>
          <m:sSubPr>
            <m:ctrlPr>
              <w:rPr>
                <w:rFonts w:ascii="Cambria Math" w:hAnsi="Cambria Math"/>
              </w:rPr>
            </m:ctrlPr>
          </m:sSubPr>
          <m:e>
            <m:r>
              <w:rPr>
                <w:rFonts w:ascii="Cambria Math" w:hAnsi="Cambria Math"/>
              </w:rPr>
              <m:t>y</m:t>
            </m:r>
          </m:e>
          <m:sub>
            <m:r>
              <w:rPr>
                <w:rFonts w:ascii="Cambria Math" w:hAnsi="Cambria Math"/>
              </w:rPr>
              <m:t>0</m:t>
            </m:r>
          </m:sub>
        </m:sSub>
      </m:oMath>
      <w:r w:rsidRPr="00CF35A4">
        <w:t>)</w:t>
      </w:r>
      <w:r>
        <w:t xml:space="preserve"> </w:t>
      </w:r>
      <w:r w:rsidRPr="00E32FAA">
        <w:t>from the Global Burden of Disease (GBD) 2021 study,</w:t>
      </w:r>
      <w:r w:rsidRPr="00E32FAA">
        <w:rPr>
          <w:i/>
          <w:iCs/>
        </w:rPr>
        <w:fldChar w:fldCharType="begin"/>
      </w:r>
      <w:r w:rsidR="00B050E8">
        <w:instrText xml:space="preserve"> ADDIN ZOTERO_ITEM CSL_CITATION {"citationID":"hcshdAsl","properties":{"formattedCitation":"\\super 34\\nosupersub{}","plainCitation":"34","noteIndex":0},"citationItems":[{"id":458,"uris":["http://zotero.org/users/10202395/items/SA6HEUQE"],"itemData":{"id":458,"type":"dataset","abstract":"The Global Burden of Disease Study 2019 (GBD 2019), coordinated by the Institute for Health Metrics and Evaluation (IHME), estimated the burden of diseases, injuries, and risk factors for 204 countries and territories and selected subnational locations.\n\nThis reference life table, or theoretical minimum risk life table (TMRLT), is used in GBD to calculate years of life lost (YLLs) due to premature mortality. It was constructed based on the lowest observed age-specific mortality rates by location and sex across all estimation years from all locations with populations over 5 million in 2016. YLLs are computed by multiplying the number of estimated deaths by the reference life table’s life expectancy at age of death. The table includes estimates for life expectancy at age x for ages 0 to 95+ at five-year intervals.","DOI":"10.6069/1D4Y-YQ37","publisher":"Institute for Health Metrics and Evaluation (IHME)","source":"DOI.org (Datacite)","title":"Global Burden of Disease Study 2019 (GBD 2019) Reference Life Table","URL":"http://ghdx.healthdata.org/record/ihme-data/global-burden-disease-study-2019-gbd-2019-reference-life-table","author":[{"family":"Global Burden of Disease Collaborative Network","given":""}],"accessed":{"date-parts":[["2023",3,18]]},"issued":{"date-parts":[["2021"]]}}}],"schema":"https://github.com/citation-style-language/schema/raw/master/csl-citation.json"} </w:instrText>
      </w:r>
      <w:r w:rsidRPr="00E32FAA">
        <w:rPr>
          <w:i/>
          <w:iCs/>
        </w:rPr>
        <w:fldChar w:fldCharType="separate"/>
      </w:r>
      <w:r w:rsidR="00B050E8" w:rsidRPr="00B050E8">
        <w:rPr>
          <w:color w:val="000000"/>
          <w:vertAlign w:val="superscript"/>
        </w:rPr>
        <w:t>34</w:t>
      </w:r>
      <w:r w:rsidRPr="00E32FAA">
        <w:rPr>
          <w:i/>
          <w:iCs/>
        </w:rPr>
        <w:fldChar w:fldCharType="end"/>
      </w:r>
      <w:r w:rsidRPr="00E32FAA">
        <w:t xml:space="preserve"> 2020 </w:t>
      </w:r>
      <w:r w:rsidR="00CF35A4">
        <w:t xml:space="preserve">gridded </w:t>
      </w:r>
      <w:r w:rsidRPr="00E32FAA">
        <w:t>population estimates (</w:t>
      </w:r>
      <m:oMath>
        <m:r>
          <w:rPr>
            <w:rFonts w:ascii="Cambria Math" w:hAnsi="Cambria Math"/>
          </w:rPr>
          <m:t>po</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oMath>
      <w:r w:rsidRPr="00E32FAA">
        <w:t xml:space="preserve"> from JRC,</w:t>
      </w:r>
      <w:r w:rsidRPr="00E32FAA">
        <w:rPr>
          <w:i/>
          <w:iCs/>
        </w:rPr>
        <w:fldChar w:fldCharType="begin"/>
      </w:r>
      <w:r w:rsidR="00B17A5F">
        <w:instrText xml:space="preserve"> ADDIN ZOTERO_ITEM CSL_CITATION {"citationID":"9PVcCL3m","properties":{"formattedCitation":"\\super 35\\nosupersub{}","plainCitation":"35","noteIndex":0},"citationItems":[{"id":834,"uris":["http://zotero.org/users/10202395/items/ZDQQ3F76"],"itemData":{"id":834,"type":"dataset","abstract":"The spatial raster dataset depicts the distribution of the built-up (BU) surfaces estimates between 1975 and 2030 in 5 years intervals and two functional use components a) the total BU surface and b) the non-residential (NRES) BU surface. The data is made by spatial-temporal interpolation of five observed collections of multiple-sensor, multiple-platform satellite imageries. Landsat (MSS, TM, ETM sensor) supports the 1975, 1990, 2000, and 2014 epochs. Sentinel2 (S2) composite (GHS-composite-S2 R2020A) supports the 2018 epoch. The built-up surface fraction (BUFRAC) is estimated at 10m of spatial resolution from the S2 image data, using as learning set a composite of data from GHS-BUILT-S2 R2020A, Facebook, Microsoft, and Open Street Map (OSM) building delineation. The BUFRAC inference is made from the combination of quantized image features (reflectance, derivative of morphological profile DMP) through associative rule learning applied to spatial data analytics, which was introduced as symbolic machine learning (SML). The non-residential (NRES) domain is predicted from S2 image data by observation of radiometric, textural, and morphological features in an object-oriented image processing framework. The multi-temporal dimension is provided by testing by the SML the association between the combination of the quantized radiometric information collected by the Landsat imagery in the past epochs, and the “built-up” (BU) and “non-built-up” (NBU) class abstraction on image segments extracted from S2 images. The spatial-temporal interpolation is solved by rank-optimal spatial allocation using explanatory variables related to the landscape (slope, elevation, distance to water, and distance to vegetation) and related to the observed dynamic of BU surfaces in the past epochs.","DOI":"10.2905/9F06F36F-4B11-47EC-ABB0-4F8B7B1D72EA","language":"en","publisher":"European Commission, Joint Research Centre (JRC)","source":"DOI.org (Datacite)","title":"GHS-BUILT-S R2023A - GHS built-up surface grid, derived from Sentinel2 composite and Landsat, multitemporal (1975-2030)","URL":"http://data.europa.eu/89h/9f06f36f-4b11-47ec-abb0-4f8b7b1d72ea","author":[{"family":"Pesaresi","given":"Martino"}],"accessed":{"date-parts":[["2025",4,28]]},"issued":{"date-parts":[["2023",4,25]]}}}],"schema":"https://github.com/citation-style-language/schema/raw/master/csl-citation.json"} </w:instrText>
      </w:r>
      <w:r w:rsidRPr="00E32FAA">
        <w:rPr>
          <w:i/>
          <w:iCs/>
        </w:rPr>
        <w:fldChar w:fldCharType="separate"/>
      </w:r>
      <w:r w:rsidR="00B17A5F" w:rsidRPr="00B17A5F">
        <w:rPr>
          <w:color w:val="000000"/>
          <w:vertAlign w:val="superscript"/>
        </w:rPr>
        <w:t>35</w:t>
      </w:r>
      <w:r w:rsidRPr="00E32FAA">
        <w:rPr>
          <w:i/>
          <w:iCs/>
        </w:rPr>
        <w:fldChar w:fldCharType="end"/>
      </w:r>
      <w:r>
        <w:t xml:space="preserve"> and </w:t>
      </w:r>
      <w:r w:rsidRPr="000444D7">
        <w:t xml:space="preserve">the </w:t>
      </w:r>
      <w:r>
        <w:t xml:space="preserve">population attributable fraction </w:t>
      </w:r>
      <m:oMath>
        <m:d>
          <m:dPr>
            <m:ctrlPr>
              <w:rPr>
                <w:rFonts w:ascii="Cambria Math" w:hAnsi="Cambria Math"/>
                <w:i/>
              </w:rPr>
            </m:ctrlPr>
          </m:dPr>
          <m:e>
            <m:sSub>
              <m:sSubPr>
                <m:ctrlPr>
                  <w:rPr>
                    <w:rFonts w:ascii="Cambria Math" w:hAnsi="Cambria Math"/>
                  </w:rPr>
                </m:ctrlPr>
              </m:sSubPr>
              <m:e>
                <m:r>
                  <w:rPr>
                    <w:rFonts w:ascii="Cambria Math" w:hAnsi="Cambria Math"/>
                  </w:rPr>
                  <m:t>PAF</m:t>
                </m:r>
              </m:e>
              <m:sub>
                <m:r>
                  <w:rPr>
                    <w:rFonts w:ascii="Cambria Math" w:hAnsi="Cambria Math"/>
                  </w:rPr>
                  <m:t>i</m:t>
                </m:r>
              </m:sub>
            </m:sSub>
          </m:e>
        </m:d>
      </m:oMath>
      <w:r w:rsidR="003D06C1">
        <w:t xml:space="preserve"> across each 100m pixel (i) within the urban boundary to </w:t>
      </w:r>
      <w:r w:rsidR="003D06C1" w:rsidRPr="00E32FAA">
        <w:t xml:space="preserve">calculate the </w:t>
      </w:r>
      <w:r w:rsidR="003D06C1">
        <w:t xml:space="preserve">city change in </w:t>
      </w:r>
      <w:r w:rsidR="003D06C1" w:rsidRPr="00E32FAA">
        <w:t>annual greenspace related mortality (</w:t>
      </w:r>
      <m:oMath>
        <m:r>
          <w:rPr>
            <w:rFonts w:ascii="Cambria Math" w:hAnsi="Cambria Math"/>
          </w:rPr>
          <m:t>Δmortality</m:t>
        </m:r>
      </m:oMath>
      <w:r w:rsidR="003D06C1" w:rsidRPr="00E32FAA">
        <w:t>)</w:t>
      </w:r>
      <w:r w:rsidRPr="00E32FAA">
        <w:t>.</w:t>
      </w:r>
      <w:r>
        <w:t xml:space="preserve"> </w:t>
      </w:r>
      <w:r w:rsidR="00C92231" w:rsidRPr="00741FA6">
        <w:rPr>
          <w:color w:val="000000" w:themeColor="text1"/>
        </w:rPr>
        <w:t>While the Rojas-Rueda et al. meta-analysis restricted to adults aged 18 and over, we used the total population because that was the gridded population data available from JRC at the 100m pixel resolution. Though children were not included in the Rojas-Rueda et al. study, systematic reviews have linked increased NDVI to higher birth weights</w:t>
      </w:r>
      <w:r w:rsidR="00C92231" w:rsidRPr="00741FA6">
        <w:rPr>
          <w:color w:val="000000" w:themeColor="text1"/>
        </w:rPr>
        <w:fldChar w:fldCharType="begin"/>
      </w:r>
      <w:r w:rsidR="00C92231" w:rsidRPr="00741FA6">
        <w:rPr>
          <w:color w:val="000000" w:themeColor="text1"/>
        </w:rPr>
        <w:instrText xml:space="preserve"> ADDIN ZOTERO_ITEM CSL_CITATION {"citationID":"5VoF50BI","properties":{"formattedCitation":"\\super 6\\nosupersub{}","plainCitation":"6","noteIndex":0},"citationItems":[{"id":802,"uris":["http://zotero.org/users/10202395/items/MS2MEIVW"],"itemData":{"id":802,"type":"article-journal","abstract":"Background: The amount of natural vegetation surrounding homes (residential greenness) has been proposed as a mitigation measure to buffer the adverse health effects of urban living, associated with promoting health and wellbeing including birth outcomes. This study aimed to systematically review the epidemiological evidence on the association of residential greenness with birth outcomes and quantitatively provide summary effect estimates of the current literature.\nMethods: We extensively searched epidemiological studies related to residential greenness and birth outcomes in three electronic databases (EMBASE, Web of Science, and PubMed) using terms related to residential greenness and birth outcomes before July 10, 2020. Summary effect estimates of residential greenness on birth outcomes including SGA (small for gestational age), PTB (preterm birth), LBW (low birth weight), and birth weight were calculated for each 0.1 unit increase in residential greenness exposure, as well as comparing the highest to the lowest categories using random-effects meta-analyses. We assessed the risk of bias of each individual study, and the overall quality of the body of evidence and level of evidence for each exposure-outcome were also evaluated.\nResults: The initial search identified 161 studies, of which 29 studies were finally included. Meta-analysis for continuous exposure suggested that an increase in residential greenness, measured by NDVI (normalized dif­ ference vegetation index) with different buffer sizes, was generally associated with higher birth weights ranging from 7.99 g [95% confidence interval (CI) = 4.29–11.70] to 15.35 g (95% CI = 11.41–19.29) and lower odds of LBW ranging from 0.79 (95% CI = 0.65–0.96) to 0.93 (95% CI = 0.86–1.00), but associations between residential greenness and PTB or SGA were not significant. When introducing the exposure as high versus low categories, similar results were found. The overall evidence for each exposure-outcome combination was considered to be of “moderate” certainty.\nConclusions: This study indicated a potential positive association between residential greenness and several birth outcomes. However, because of the moderate to high between-study heterogeneity, further studies with better adjustment of covariates, improved residential greenness assessment in a longitudinal approach throughout pregnancy rather than a cross-sectional approach at time of delivery, and accounting thoroughly for socioeco­ nomic status, are warranted to replicate these findings as well as to explore in greater detail in their implications.","container-title":"Environmental Research","DOI":"10.1016/j.envres.2020.110599","ISSN":"00139351","journalAbbreviation":"Environmental Research","language":"en","page":"110599","source":"DOI.org (Crossref)","title":"Residential greenness and birth outcomes: A systematic review and meta-analysis of observational studies","title-short":"Residential greenness and birth outcomes","volume":"193","author":[{"family":"Hu","given":"Cheng-Yang"},{"family":"Yang","given":"Xiao-Jing"},{"family":"Gui","given":"Si-Yu"},{"family":"Ding","given":"Kun"},{"family":"Huang","given":"Kai"},{"family":"Fang","given":"Yuan"},{"family":"Jiang","given":"Zheng-Xuan"},{"family":"Zhang","given":"Xiu-Jun"}],"issued":{"date-parts":[["2021",2]]}}}],"schema":"https://github.com/citation-style-language/schema/raw/master/csl-citation.json"} </w:instrText>
      </w:r>
      <w:r w:rsidR="00C92231" w:rsidRPr="00741FA6">
        <w:rPr>
          <w:color w:val="000000" w:themeColor="text1"/>
        </w:rPr>
        <w:fldChar w:fldCharType="separate"/>
      </w:r>
      <w:r w:rsidR="00C92231" w:rsidRPr="00741FA6">
        <w:rPr>
          <w:color w:val="000000" w:themeColor="text1"/>
          <w:vertAlign w:val="superscript"/>
        </w:rPr>
        <w:t>6</w:t>
      </w:r>
      <w:r w:rsidR="00C92231" w:rsidRPr="00741FA6">
        <w:rPr>
          <w:color w:val="000000" w:themeColor="text1"/>
        </w:rPr>
        <w:fldChar w:fldCharType="end"/>
      </w:r>
      <w:r w:rsidR="00C92231" w:rsidRPr="00741FA6">
        <w:rPr>
          <w:color w:val="000000" w:themeColor="text1"/>
        </w:rPr>
        <w:t xml:space="preserve"> and increased physical activity among children and adolescents</w:t>
      </w:r>
      <w:r w:rsidR="00C92231" w:rsidRPr="00741FA6">
        <w:rPr>
          <w:color w:val="000000" w:themeColor="text1"/>
        </w:rPr>
        <w:fldChar w:fldCharType="begin"/>
      </w:r>
      <w:r w:rsidR="00C92231" w:rsidRPr="00741FA6">
        <w:rPr>
          <w:color w:val="000000" w:themeColor="text1"/>
        </w:rPr>
        <w:instrText xml:space="preserve"> ADDIN ZOTERO_ITEM CSL_CITATION {"citationID":"fVNQwBBO","properties":{"formattedCitation":"\\super 36\\nosupersub{}","plainCitation":"36","noteIndex":0},"citationItems":[{"id":824,"uris":["http://zotero.org/users/10202395/items/27RP958R"],"itemData":{"id":824,"type":"article-journal","abstract":"Outdoor play has been associated with children’s and adolescents’ healthy development and physical activity. Attributes of the neighbourhood built environment can influence play behaviours. This systematic review examined the relationship between attributes of the neighbourhood built environment and the time children and adolescents (0–18 years) spend in self-directed outdoor play. We identified and evaluated 18 relevant papers using the Mixed Methods Appraisal Tool and developed a narrative synthesis of study results. We found moderate evidence that lower traffic volumes (ages 6–11), yard access (ages 3–10), and increased neighbourhood greenness (ages 2–15) were positively associated with time spent in outdoor play, as well as limited evidence that specific traffic-calming street features such as fewer intersections, low traffic speeds, neighbourhood disorder, and low residential density were positively associated with time spent in outdoor play. To our knowledge, this is the first systematic review on this topic. The limited number of “good quality” studies identified highlights the need for additional research on the topic.","container-title":"International Journal of Environmental Research and Public Health","DOI":"10.3390/ijerph16203840","ISSN":"1660-4601","issue":"20","language":"en","license":"http://creativecommons.org/licenses/by/3.0/","note":"number: 20\npublisher: Multidisciplinary Digital Publishing Institute","page":"3840","source":"www.mdpi.com","title":"What Is the Relationship between the Neighbourhood Built Environment and Time Spent in Outdoor Play? A Systematic Review","title-short":"What Is the Relationship between the Neighbourhood Built Environment and Time Spent in Outdoor Play?","volume":"16","author":[{"family":"Lambert","given":"Amalie"},{"family":"Vlaar","given":"Janae"},{"family":"Herrington","given":"Susan"},{"family":"Brussoni","given":"Mariana"}],"issued":{"date-parts":[["2019",1]]}}}],"schema":"https://github.com/citation-style-language/schema/raw/master/csl-citation.json"} </w:instrText>
      </w:r>
      <w:r w:rsidR="00C92231" w:rsidRPr="00741FA6">
        <w:rPr>
          <w:color w:val="000000" w:themeColor="text1"/>
        </w:rPr>
        <w:fldChar w:fldCharType="separate"/>
      </w:r>
      <w:r w:rsidR="00C92231" w:rsidRPr="00741FA6">
        <w:rPr>
          <w:color w:val="000000" w:themeColor="text1"/>
          <w:vertAlign w:val="superscript"/>
        </w:rPr>
        <w:t>36</w:t>
      </w:r>
      <w:r w:rsidR="00C92231" w:rsidRPr="00741FA6">
        <w:rPr>
          <w:color w:val="000000" w:themeColor="text1"/>
        </w:rPr>
        <w:fldChar w:fldCharType="end"/>
      </w:r>
      <w:r w:rsidR="00C92231" w:rsidRPr="00741FA6">
        <w:rPr>
          <w:color w:val="000000" w:themeColor="text1"/>
        </w:rPr>
        <w:t>, and a large national study found that higher NDVI was associated with decreased risk of infant and under-5 mortality.</w:t>
      </w:r>
      <w:r w:rsidR="00C92231" w:rsidRPr="00741FA6">
        <w:rPr>
          <w:color w:val="000000" w:themeColor="text1"/>
        </w:rPr>
        <w:fldChar w:fldCharType="begin"/>
      </w:r>
      <w:r w:rsidR="00C92231" w:rsidRPr="00741FA6">
        <w:rPr>
          <w:color w:val="000000" w:themeColor="text1"/>
        </w:rPr>
        <w:instrText xml:space="preserve"> ADDIN ZOTERO_ITEM CSL_CITATION {"citationID":"mOl3w34O","properties":{"formattedCitation":"\\super 37\\nosupersub{}","plainCitation":"37","noteIndex":0},"citationItems":[{"id":828,"uris":["http://zotero.org/users/10202395/items/LAKXMLV7"],"itemData":{"id":828,"type":"article-journal","abstract":"Background\nHigher greenness was associated with a lower risk of adult mortality. However, the effects of greenness on the mortality of infant and child under-5 have not been fully examined.\nObjectives\nThe association of greenness on the infant mortality rate (IMR) and child under-5 mortality rate (U5MR) in 147 Chinese cities from 2009 to 2020 was evaluated.\nMethods\nAverage and maximum annual population-weighted greenness, IMR (per 1000 live births), and U5MR (per 1000 live births) in 147 cities from 2009 to 2020 were collected, and a longitudinal panel study was conducted. Greenness exposure was evaluated using satellite-derived data at a spatial resolution of 250 m ×250 m in urban regions, and linear mixed-effect models were applied to assess the associations between greenness and IMR or U5MR in China.\nResults\nThis national study showed that long-term exposure to greenness was associated with lower IMR and U5MR, respectively. Specifically, a 0.1 increase of Normalized Difference Vegetation Index (NDVI) in greenness was statistically significant with a decrease in IMR (-1.05 ‰, 95 % CI: −1.48, −0.63 ‰) and U5MR (-1.82 ‰, 95 % CI: −2.39, −1.25 ‰) in fully-adjusted model, respectively. In the stratified analyses, greenness effects on U5MR in the western (-2.33 ‰, 95 % CI: −3.43, −1.23 ‰) and central regions (-2.06 ‰, 95 % CI: −3.01, −1.10 ‰) were stronger than that in the eastern region (-0.86 ‰, 95 % CI: −1.66, −0.07 ‰).\nConclusions\nThis nationwide study indicated that exposure to higher greenness was associated with lower mortality rates in infant and child under-5 in China.","container-title":"Ecotoxicology and Environmental Safety","DOI":"10.1016/j.ecoenv.2024.117184","ISSN":"0147-6513","journalAbbreviation":"Ecotoxicology and Environmental Safety","page":"117184","source":"ScienceDirect","title":"Greenness on mortality of infant and under-5 child: A nationwide study in 147 Chinese cities","title-short":"Greenness on mortality of infant and under-5 child","volume":"286","author":[{"family":"Zhang","given":"Lina"},{"family":"Wang","given":"Qingxian"},{"family":"Lei","given":"Renfeihao"},{"family":"Lin","given":"Jiayi"},{"family":"Gong","given":"Jiarui"},{"family":"Wang","given":"Lelin"},{"family":"Xie","given":"Keyu"},{"family":"Zheng","given":"Xueer"},{"family":"Xu","given":"Kaiheng"},{"family":"Zhang","given":"Peidong"},{"family":"Wu","given":"Yue"},{"family":"Zeng","given":"Xiang"},{"family":"Meng","given":"Xia"},{"family":"Kan","given":"Haidong"}],"issued":{"date-parts":[["2024",11,1]]}}}],"schema":"https://github.com/citation-style-language/schema/raw/master/csl-citation.json"} </w:instrText>
      </w:r>
      <w:r w:rsidR="00C92231" w:rsidRPr="00741FA6">
        <w:rPr>
          <w:color w:val="000000" w:themeColor="text1"/>
        </w:rPr>
        <w:fldChar w:fldCharType="separate"/>
      </w:r>
      <w:r w:rsidR="00C92231" w:rsidRPr="00741FA6">
        <w:rPr>
          <w:color w:val="000000" w:themeColor="text1"/>
          <w:vertAlign w:val="superscript"/>
        </w:rPr>
        <w:t>37</w:t>
      </w:r>
      <w:r w:rsidR="00C92231" w:rsidRPr="00741FA6">
        <w:rPr>
          <w:color w:val="000000" w:themeColor="text1"/>
        </w:rPr>
        <w:fldChar w:fldCharType="end"/>
      </w:r>
    </w:p>
    <w:p w14:paraId="3DDDFDB0" w14:textId="71DD7C6E" w:rsidR="005A1DF9" w:rsidRDefault="00E32FAA" w:rsidP="00E32FAA">
      <w:pPr>
        <w:pStyle w:val="NormalWeb"/>
        <w:spacing w:before="240" w:beforeAutospacing="0" w:after="240" w:afterAutospacing="0"/>
        <w:jc w:val="center"/>
        <w:rPr>
          <w:color w:val="000000" w:themeColor="text1"/>
          <w:shd w:val="clear" w:color="auto" w:fill="FFFFFF"/>
        </w:rPr>
      </w:pPr>
      <w:r>
        <w:rPr>
          <w:color w:val="000000" w:themeColor="text1"/>
          <w:shd w:val="clear" w:color="auto" w:fill="FFFFFF"/>
        </w:rPr>
        <w:t>Equation 3:</w:t>
      </w:r>
      <w:r w:rsidR="00435EC8">
        <w:rPr>
          <w:color w:val="000000" w:themeColor="text1"/>
          <w:shd w:val="clear" w:color="auto" w:fill="FFFFFF"/>
        </w:rPr>
        <w:t xml:space="preserve"> </w:t>
      </w:r>
      <m:oMath>
        <m:r>
          <m:rPr>
            <m:sty m:val="p"/>
          </m:rPr>
          <w:rPr>
            <w:rFonts w:ascii="Cambria Math" w:hAnsi="Cambria Math"/>
            <w:color w:val="000000" w:themeColor="text1"/>
            <w:shd w:val="clear" w:color="auto" w:fill="FFFFFF"/>
          </w:rPr>
          <m:t>Δ</m:t>
        </m:r>
        <m:r>
          <w:rPr>
            <w:rFonts w:ascii="Cambria Math" w:hAnsi="Cambria Math"/>
            <w:color w:val="000000" w:themeColor="text1"/>
            <w:shd w:val="clear" w:color="auto" w:fill="FFFFFF"/>
          </w:rPr>
          <m:t>mortality=∑(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y</m:t>
            </m:r>
          </m:e>
          <m:sub>
            <m:r>
              <w:rPr>
                <w:rFonts w:ascii="Cambria Math" w:hAnsi="Cambria Math"/>
                <w:color w:val="000000" w:themeColor="text1"/>
                <w:shd w:val="clear" w:color="auto" w:fill="FFFFFF"/>
              </w:rPr>
              <m:t>0</m:t>
            </m:r>
          </m:sub>
        </m:sSub>
        <m:r>
          <w:rPr>
            <w:rFonts w:ascii="Cambria Math" w:hAnsi="Cambria Math"/>
            <w:color w:val="000000" w:themeColor="text1"/>
            <w:shd w:val="clear" w:color="auto" w:fill="FFFFFF"/>
          </w:rPr>
          <m:t>*po</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*PA</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F</m:t>
            </m:r>
          </m:e>
          <m:sub>
            <m:r>
              <w:rPr>
                <w:rFonts w:ascii="Cambria Math" w:hAnsi="Cambria Math"/>
                <w:color w:val="000000" w:themeColor="text1"/>
                <w:shd w:val="clear" w:color="auto" w:fill="FFFFFF"/>
              </w:rPr>
              <m:t>i</m:t>
            </m:r>
          </m:sub>
        </m:sSub>
      </m:oMath>
      <w:r>
        <w:rPr>
          <w:color w:val="000000" w:themeColor="text1"/>
          <w:shd w:val="clear" w:color="auto" w:fill="FFFFFF"/>
        </w:rPr>
        <w:t>)</w:t>
      </w:r>
      <w:r w:rsidR="00F411A4">
        <w:rPr>
          <w:color w:val="000000" w:themeColor="text1"/>
          <w:shd w:val="clear" w:color="auto" w:fill="FFFFFF"/>
        </w:rPr>
        <w:t>.</w:t>
      </w:r>
    </w:p>
    <w:p w14:paraId="033A51E3" w14:textId="5B998C69" w:rsidR="005A1DF9" w:rsidRPr="005A1DF9" w:rsidRDefault="005A1DF9" w:rsidP="00825A98">
      <w:pPr>
        <w:rPr>
          <w:i/>
          <w:iCs/>
        </w:rPr>
      </w:pPr>
      <w:r>
        <w:rPr>
          <w:i/>
          <w:iCs/>
        </w:rPr>
        <w:lastRenderedPageBreak/>
        <w:t>Urban area groupings</w:t>
      </w:r>
    </w:p>
    <w:p w14:paraId="33D1D9C0" w14:textId="2CAC829E" w:rsidR="003C7B28" w:rsidRDefault="003C7B28" w:rsidP="00847BEB"/>
    <w:p w14:paraId="455ED61F" w14:textId="6D95C88F" w:rsidR="003C7B28" w:rsidRDefault="003C7B28" w:rsidP="00847BEB">
      <w:r>
        <w:t xml:space="preserve">We </w:t>
      </w:r>
      <w:r w:rsidR="00A625BD">
        <w:t xml:space="preserve">categorize cities by geographic region using the </w:t>
      </w:r>
      <w:r w:rsidR="00265E16">
        <w:t>United Nations Statistical Division</w:t>
      </w:r>
      <w:r>
        <w:t xml:space="preserve"> sub-regional </w:t>
      </w:r>
      <w:r w:rsidR="00AA5506">
        <w:t>definitions</w:t>
      </w:r>
      <w:r w:rsidR="00225861">
        <w:t xml:space="preserve"> (</w:t>
      </w:r>
      <w:r w:rsidR="00AC0A44">
        <w:t>Fig. S</w:t>
      </w:r>
      <w:r w:rsidR="00736C52">
        <w:t>1</w:t>
      </w:r>
      <w:r w:rsidR="00225861">
        <w:t>)</w:t>
      </w:r>
      <w:r w:rsidR="00265E16">
        <w:fldChar w:fldCharType="begin"/>
      </w:r>
      <w:r w:rsidR="00C92231">
        <w:instrText xml:space="preserve"> ADDIN ZOTERO_ITEM CSL_CITATION {"citationID":"RvaAKQDF","properties":{"formattedCitation":"\\super 38\\nosupersub{}","plainCitation":"38","noteIndex":0},"citationItems":[{"id":764,"uris":["http://zotero.org/users/10202395/items/DXZ976R9"],"itemData":{"id":764,"type":"dataset","title":"Standard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265E16">
        <w:fldChar w:fldCharType="separate"/>
      </w:r>
      <w:r w:rsidR="00C92231" w:rsidRPr="00C92231">
        <w:rPr>
          <w:vertAlign w:val="superscript"/>
        </w:rPr>
        <w:t>38</w:t>
      </w:r>
      <w:r w:rsidR="00265E16">
        <w:fldChar w:fldCharType="end"/>
      </w:r>
      <w:r w:rsidR="00225861">
        <w:t xml:space="preserve"> </w:t>
      </w:r>
      <w:r w:rsidR="00A625BD">
        <w:t xml:space="preserve">and </w:t>
      </w:r>
      <w:r w:rsidR="003E788D">
        <w:t xml:space="preserve">by </w:t>
      </w:r>
      <w:r w:rsidR="00E63731">
        <w:t xml:space="preserve">climate region </w:t>
      </w:r>
      <w:r w:rsidR="00A625BD">
        <w:t xml:space="preserve">using </w:t>
      </w:r>
      <w:r w:rsidR="00E63731">
        <w:t>the</w:t>
      </w:r>
      <w:r>
        <w:t xml:space="preserve"> </w:t>
      </w:r>
      <w:proofErr w:type="spellStart"/>
      <w:r w:rsidR="0019782A" w:rsidRPr="001F69F2">
        <w:t>Köppen</w:t>
      </w:r>
      <w:proofErr w:type="spellEnd"/>
      <w:r w:rsidR="00E63731">
        <w:t>-Geiger</w:t>
      </w:r>
      <w:r w:rsidR="0019782A" w:rsidRPr="001F69F2">
        <w:t xml:space="preserve"> Climate Classification System</w:t>
      </w:r>
      <w:r w:rsidR="004C2D43">
        <w:t xml:space="preserve"> (</w:t>
      </w:r>
      <w:r w:rsidR="00AC0A44">
        <w:t>Fig. S</w:t>
      </w:r>
      <w:r w:rsidR="00736C52">
        <w:t>2</w:t>
      </w:r>
      <w:r w:rsidR="004C2D43">
        <w:t>)</w:t>
      </w:r>
      <w:r>
        <w:t>.</w:t>
      </w:r>
      <w:r w:rsidR="004C2D43">
        <w:fldChar w:fldCharType="begin"/>
      </w:r>
      <w:r w:rsidR="00C92231">
        <w:instrText xml:space="preserve"> ADDIN ZOTERO_ITEM CSL_CITATION {"citationID":"STzXovLg","properties":{"formattedCitation":"\\super 39\\nosupersub{}","plainCitation":"39","noteIndex":0},"citationItems":[{"id":765,"uris":["http://zotero.org/users/10202395/items/D9BXIT3D"],"itemData":{"id":765,"type":"article-journal","abstract":"We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4C2D43">
        <w:fldChar w:fldCharType="separate"/>
      </w:r>
      <w:r w:rsidR="00C92231" w:rsidRPr="00C92231">
        <w:rPr>
          <w:vertAlign w:val="superscript"/>
        </w:rPr>
        <w:t>39</w:t>
      </w:r>
      <w:r w:rsidR="004C2D43">
        <w:fldChar w:fldCharType="end"/>
      </w:r>
      <w:r>
        <w:t xml:space="preserve"> </w:t>
      </w:r>
      <w:r w:rsidR="00E95922">
        <w:t>The sub-regional definitions break continental regions into smaller groups and are used by the United Nations in publications.</w:t>
      </w:r>
      <w:r w:rsidR="00E95922">
        <w:fldChar w:fldCharType="begin"/>
      </w:r>
      <w:r w:rsidR="00C92231">
        <w:instrText xml:space="preserve"> ADDIN ZOTERO_ITEM CSL_CITATION {"citationID":"JPlTTysR","properties":{"formattedCitation":"\\super 38\\nosupersub{}","plainCitation":"38","noteIndex":0},"citationItems":[{"id":764,"uris":["http://zotero.org/users/10202395/items/DXZ976R9"],"itemData":{"id":764,"type":"dataset","title":"Standard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E95922">
        <w:fldChar w:fldCharType="separate"/>
      </w:r>
      <w:r w:rsidR="00C92231" w:rsidRPr="00C92231">
        <w:rPr>
          <w:vertAlign w:val="superscript"/>
        </w:rPr>
        <w:t>38</w:t>
      </w:r>
      <w:r w:rsidR="00E95922">
        <w:fldChar w:fldCharType="end"/>
      </w:r>
      <w:r w:rsidR="00E95922">
        <w:t xml:space="preserve"> The </w:t>
      </w:r>
      <w:proofErr w:type="spellStart"/>
      <w:r w:rsidR="00E95922" w:rsidRPr="001F69F2">
        <w:t>Köppen</w:t>
      </w:r>
      <w:proofErr w:type="spellEnd"/>
      <w:r w:rsidR="00E95922">
        <w:t>-Geiger</w:t>
      </w:r>
      <w:r w:rsidR="00E95922" w:rsidRPr="001F69F2">
        <w:t xml:space="preserve"> Climate Classification System</w:t>
      </w:r>
      <w:r w:rsidR="00213180">
        <w:t xml:space="preserve"> divides the climate into five broad categories based on monthly precipitation and temperature and has been used to understand global vegetation patterns.</w:t>
      </w:r>
      <w:r w:rsidR="00213180">
        <w:fldChar w:fldCharType="begin"/>
      </w:r>
      <w:r w:rsidR="00C92231">
        <w:instrText xml:space="preserve"> ADDIN ZOTERO_ITEM CSL_CITATION {"citationID":"TX8V9wGh","properties":{"formattedCitation":"\\super 39\\nosupersub{}","plainCitation":"39","noteIndex":0},"citationItems":[{"id":765,"uris":["http://zotero.org/users/10202395/items/D9BXIT3D"],"itemData":{"id":765,"type":"article-journal","abstract":"We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213180">
        <w:fldChar w:fldCharType="separate"/>
      </w:r>
      <w:r w:rsidR="00C92231" w:rsidRPr="00C92231">
        <w:rPr>
          <w:vertAlign w:val="superscript"/>
        </w:rPr>
        <w:t>39</w:t>
      </w:r>
      <w:r w:rsidR="00213180">
        <w:fldChar w:fldCharType="end"/>
      </w:r>
    </w:p>
    <w:p w14:paraId="50382E95" w14:textId="5747DD39" w:rsidR="000B6E75" w:rsidRPr="00E150CA" w:rsidRDefault="000B6E75" w:rsidP="00551D54"/>
    <w:p w14:paraId="287F2031" w14:textId="171B281F" w:rsidR="00551D54" w:rsidRDefault="00551D54" w:rsidP="00551D54">
      <w:pPr>
        <w:rPr>
          <w:b/>
          <w:bCs/>
        </w:rPr>
      </w:pPr>
      <w:r w:rsidRPr="00E150CA">
        <w:rPr>
          <w:b/>
          <w:bCs/>
        </w:rPr>
        <w:t>Results</w:t>
      </w:r>
    </w:p>
    <w:p w14:paraId="383955B0" w14:textId="07DEE5FC" w:rsidR="000C6A15" w:rsidRDefault="000C6A15" w:rsidP="00551D54">
      <w:pPr>
        <w:rPr>
          <w:b/>
          <w:bCs/>
        </w:rPr>
      </w:pPr>
    </w:p>
    <w:p w14:paraId="435EF839" w14:textId="58FB87A3" w:rsidR="00083DB1" w:rsidRDefault="000C6A15" w:rsidP="00551D54">
      <w:r w:rsidRPr="001D035D">
        <w:t xml:space="preserve">Globally, the annual average population-weighted greenest season NDVI has remained </w:t>
      </w:r>
      <w:r w:rsidR="001470F7" w:rsidRPr="001D035D">
        <w:t>relatively</w:t>
      </w:r>
      <w:r w:rsidRPr="001D035D">
        <w:t xml:space="preserve"> consistent over the past decade</w:t>
      </w:r>
      <w:r w:rsidR="006B4603">
        <w:t xml:space="preserve"> (Fig. 1)</w:t>
      </w:r>
      <w:r w:rsidRPr="001D035D">
        <w:t xml:space="preserve">. </w:t>
      </w:r>
      <w:r w:rsidR="006B4603">
        <w:t xml:space="preserve">The lowest global average in this period was </w:t>
      </w:r>
      <w:r w:rsidRPr="001D035D">
        <w:t xml:space="preserve">0.276 </w:t>
      </w:r>
      <w:r w:rsidR="006B4603">
        <w:t>(years 2018 and 2023) and the highest was</w:t>
      </w:r>
      <w:r w:rsidRPr="001D035D">
        <w:t xml:space="preserve"> 0.281</w:t>
      </w:r>
      <w:r w:rsidR="006B4603">
        <w:t>(years 2014 and 2015).</w:t>
      </w:r>
      <w:r w:rsidR="00E72C97">
        <w:t xml:space="preserve"> The </w:t>
      </w:r>
      <w:r w:rsidR="00410AAC">
        <w:t xml:space="preserve">average </w:t>
      </w:r>
      <w:r w:rsidR="0037357F">
        <w:t xml:space="preserve">range in annual </w:t>
      </w:r>
      <w:r w:rsidR="00E72C97">
        <w:t>NDVI</w:t>
      </w:r>
      <w:r w:rsidR="0037357F">
        <w:t xml:space="preserve"> over the past decade</w:t>
      </w:r>
      <w:r w:rsidR="00E72C97">
        <w:t xml:space="preserve"> across all cities was </w:t>
      </w:r>
      <w:r w:rsidR="0090348C">
        <w:t>0</w:t>
      </w:r>
      <w:r w:rsidR="00E72C97">
        <w:t>.05</w:t>
      </w:r>
      <w:r w:rsidR="00410AAC">
        <w:t>6</w:t>
      </w:r>
      <w:r w:rsidR="0037357F">
        <w:t>. S</w:t>
      </w:r>
      <w:r w:rsidR="00E72C97">
        <w:t>ome cities</w:t>
      </w:r>
      <w:r w:rsidR="0037357F">
        <w:t>’ NDVI</w:t>
      </w:r>
      <w:r w:rsidR="00E72C97">
        <w:t xml:space="preserve"> </w:t>
      </w:r>
      <w:r w:rsidR="0037357F">
        <w:t>ranged</w:t>
      </w:r>
      <w:r w:rsidR="00E72C97">
        <w:t xml:space="preserve"> less than </w:t>
      </w:r>
      <w:r w:rsidR="0090348C">
        <w:t>0</w:t>
      </w:r>
      <w:r w:rsidR="00E72C97">
        <w:t xml:space="preserve">.01 over the </w:t>
      </w:r>
      <w:r w:rsidR="0037357F">
        <w:t>last ten years</w:t>
      </w:r>
      <w:r w:rsidR="00E72C97">
        <w:t xml:space="preserve">, </w:t>
      </w:r>
      <w:r w:rsidR="0037357F">
        <w:t>while</w:t>
      </w:r>
      <w:r w:rsidR="00E72C97">
        <w:t xml:space="preserve"> others experienc</w:t>
      </w:r>
      <w:r w:rsidR="0037357F">
        <w:t>ed</w:t>
      </w:r>
      <w:r w:rsidR="00E72C97">
        <w:t xml:space="preserve"> swings of </w:t>
      </w:r>
      <w:r w:rsidR="00410AAC">
        <w:t>over 0.2</w:t>
      </w:r>
      <w:r w:rsidR="00E72C97">
        <w:t xml:space="preserve">. </w:t>
      </w:r>
      <w:r w:rsidR="005548B0">
        <w:t xml:space="preserve">Regionally, </w:t>
      </w:r>
      <w:r w:rsidR="00436152">
        <w:t xml:space="preserve">cities in </w:t>
      </w:r>
      <w:r w:rsidR="005548B0">
        <w:t>Sub-Saharan Africa</w:t>
      </w:r>
      <w:r w:rsidR="00F75F1A">
        <w:t xml:space="preserve">, Eastern Asia, </w:t>
      </w:r>
      <w:r w:rsidR="005548B0">
        <w:t xml:space="preserve">and Southern Asia </w:t>
      </w:r>
      <w:r w:rsidR="00626371">
        <w:t>had larger inter-annual variation, with a</w:t>
      </w:r>
      <w:r w:rsidR="00410AAC">
        <w:t xml:space="preserve">n average </w:t>
      </w:r>
      <w:r w:rsidR="00A00688">
        <w:t>decadal range in</w:t>
      </w:r>
      <w:r w:rsidR="00E72C97">
        <w:t xml:space="preserve"> </w:t>
      </w:r>
      <w:r w:rsidR="00626371">
        <w:t xml:space="preserve">NDVI of </w:t>
      </w:r>
      <w:r w:rsidR="00410AAC">
        <w:t>~</w:t>
      </w:r>
      <w:r w:rsidR="00626371">
        <w:t>0.07</w:t>
      </w:r>
      <w:r w:rsidR="005548B0">
        <w:t xml:space="preserve">, while </w:t>
      </w:r>
      <w:r w:rsidR="00436152">
        <w:t xml:space="preserve">cities in </w:t>
      </w:r>
      <w:r w:rsidR="005548B0">
        <w:t>Northern Africa</w:t>
      </w:r>
      <w:r w:rsidR="00F75F1A">
        <w:t xml:space="preserve"> and Central Asia </w:t>
      </w:r>
      <w:r w:rsidR="00626371">
        <w:t xml:space="preserve">generally </w:t>
      </w:r>
      <w:r w:rsidR="005548B0">
        <w:t>show a flatter trend</w:t>
      </w:r>
      <w:r w:rsidR="00337DBF">
        <w:t xml:space="preserve"> (</w:t>
      </w:r>
      <w:r w:rsidR="00A00688">
        <w:t>range in 10-year annual NDVI</w:t>
      </w:r>
      <w:r w:rsidR="00337DBF">
        <w:t xml:space="preserve">: </w:t>
      </w:r>
      <w:r w:rsidR="00410AAC">
        <w:t>~</w:t>
      </w:r>
      <w:r w:rsidR="00337DBF">
        <w:t>0.0</w:t>
      </w:r>
      <w:r w:rsidR="00410AAC">
        <w:t>3</w:t>
      </w:r>
      <w:r w:rsidR="00337DBF">
        <w:t>)</w:t>
      </w:r>
      <w:r w:rsidR="005548B0">
        <w:t xml:space="preserve">. </w:t>
      </w:r>
      <w:r w:rsidR="00626371">
        <w:t>NDVI has remained comparatively stable in arid cities, with a</w:t>
      </w:r>
      <w:r w:rsidR="002E5555">
        <w:t xml:space="preserve">n average </w:t>
      </w:r>
      <w:r w:rsidR="00626371">
        <w:t xml:space="preserve">city 10-year </w:t>
      </w:r>
      <w:r w:rsidR="00A00688">
        <w:t>range</w:t>
      </w:r>
      <w:r w:rsidR="00626371">
        <w:t xml:space="preserve"> of 0.03</w:t>
      </w:r>
      <w:r w:rsidR="002E5555">
        <w:t>7</w:t>
      </w:r>
      <w:r w:rsidR="00626371">
        <w:t xml:space="preserve">, about half that of cities in other climate zones. </w:t>
      </w:r>
      <w:r w:rsidR="00674F78">
        <w:t>All climate classifications and roughly half the geographic</w:t>
      </w:r>
      <w:r w:rsidR="00436152">
        <w:t xml:space="preserve"> regions </w:t>
      </w:r>
      <w:r w:rsidR="00674F78">
        <w:t>had</w:t>
      </w:r>
      <w:r w:rsidR="00436152">
        <w:t xml:space="preserve"> individual cities </w:t>
      </w:r>
      <w:r w:rsidR="00674F78">
        <w:t>with changes in NDVI of over 0.1 from 2014-2023</w:t>
      </w:r>
      <w:r w:rsidR="00436152">
        <w:t xml:space="preserve">. </w:t>
      </w:r>
      <w:r w:rsidR="00182372">
        <w:t xml:space="preserve">Considering the percent change in </w:t>
      </w:r>
      <w:r w:rsidR="00753D42">
        <w:t xml:space="preserve">annual average </w:t>
      </w:r>
      <w:r w:rsidR="00182372">
        <w:t>peak season NDVI</w:t>
      </w:r>
      <w:r w:rsidR="00753D42">
        <w:t xml:space="preserve"> </w:t>
      </w:r>
      <w:r w:rsidR="00182372">
        <w:t xml:space="preserve">(Fig. S3), </w:t>
      </w:r>
      <w:r w:rsidR="0075333B">
        <w:t xml:space="preserve">the greenest year </w:t>
      </w:r>
      <w:r w:rsidR="004F5C41">
        <w:t xml:space="preserve">of the past decade </w:t>
      </w:r>
      <w:r w:rsidR="0075333B">
        <w:t xml:space="preserve">was over 20% higher than the least green </w:t>
      </w:r>
      <w:r w:rsidR="00EC38D2">
        <w:t xml:space="preserve">year </w:t>
      </w:r>
      <w:r w:rsidR="0075333B">
        <w:t xml:space="preserve">in </w:t>
      </w:r>
      <w:r w:rsidR="004F5C41">
        <w:t>roughly</w:t>
      </w:r>
      <w:r w:rsidR="00753D42">
        <w:t xml:space="preserve"> half of all</w:t>
      </w:r>
      <w:r w:rsidR="00182372">
        <w:t xml:space="preserve"> cities. </w:t>
      </w:r>
    </w:p>
    <w:p w14:paraId="601605CB" w14:textId="53BEB56A" w:rsidR="00222625" w:rsidRPr="00E150CA" w:rsidRDefault="00222625" w:rsidP="00551D54">
      <w:pPr>
        <w:rPr>
          <w:b/>
          <w:bCs/>
        </w:rPr>
      </w:pPr>
      <w:r>
        <w:rPr>
          <w:b/>
          <w:bCs/>
          <w:noProof/>
        </w:rPr>
        <w:lastRenderedPageBreak/>
        <w:drawing>
          <wp:anchor distT="0" distB="0" distL="114300" distR="114300" simplePos="0" relativeHeight="251683840" behindDoc="1" locked="0" layoutInCell="1" allowOverlap="1" wp14:anchorId="5642940D" wp14:editId="7E620D57">
            <wp:simplePos x="0" y="0"/>
            <wp:positionH relativeFrom="column">
              <wp:posOffset>-203200</wp:posOffset>
            </wp:positionH>
            <wp:positionV relativeFrom="paragraph">
              <wp:posOffset>0</wp:posOffset>
            </wp:positionV>
            <wp:extent cx="6146800" cy="3869690"/>
            <wp:effectExtent l="0" t="0" r="0" b="3810"/>
            <wp:wrapTight wrapText="bothSides">
              <wp:wrapPolygon edited="0">
                <wp:start x="0" y="0"/>
                <wp:lineTo x="0" y="21550"/>
                <wp:lineTo x="21555" y="21550"/>
                <wp:lineTo x="21555" y="0"/>
                <wp:lineTo x="0" y="0"/>
              </wp:wrapPolygon>
            </wp:wrapTight>
            <wp:docPr id="1892598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98765" name="Picture 1892598765"/>
                    <pic:cNvPicPr/>
                  </pic:nvPicPr>
                  <pic:blipFill>
                    <a:blip r:embed="rId9"/>
                    <a:stretch>
                      <a:fillRect/>
                    </a:stretch>
                  </pic:blipFill>
                  <pic:spPr>
                    <a:xfrm>
                      <a:off x="0" y="0"/>
                      <a:ext cx="6146800" cy="3869690"/>
                    </a:xfrm>
                    <a:prstGeom prst="rect">
                      <a:avLst/>
                    </a:prstGeom>
                  </pic:spPr>
                </pic:pic>
              </a:graphicData>
            </a:graphic>
            <wp14:sizeRelH relativeFrom="page">
              <wp14:pctWidth>0</wp14:pctWidth>
            </wp14:sizeRelH>
            <wp14:sizeRelV relativeFrom="page">
              <wp14:pctHeight>0</wp14:pctHeight>
            </wp14:sizeRelV>
          </wp:anchor>
        </w:drawing>
      </w:r>
    </w:p>
    <w:p w14:paraId="3CBD27E3" w14:textId="757430AC" w:rsidR="0047751C" w:rsidRDefault="00083DB1" w:rsidP="00551D54">
      <w:r w:rsidRPr="0092228D">
        <w:rPr>
          <w:b/>
          <w:bCs/>
          <w:i/>
          <w:iCs/>
        </w:rPr>
        <w:t>Fig</w:t>
      </w:r>
      <w:r>
        <w:rPr>
          <w:b/>
          <w:bCs/>
          <w:i/>
          <w:iCs/>
        </w:rPr>
        <w:t>ure</w:t>
      </w:r>
      <w:r w:rsidRPr="0092228D">
        <w:rPr>
          <w:b/>
          <w:bCs/>
          <w:i/>
          <w:iCs/>
        </w:rPr>
        <w:t xml:space="preserve"> 1.</w:t>
      </w:r>
      <w:r>
        <w:rPr>
          <w:i/>
          <w:iCs/>
        </w:rPr>
        <w:t xml:space="preserve"> Population-weighted greenest season average </w:t>
      </w:r>
      <w:r w:rsidR="00597DB0">
        <w:rPr>
          <w:i/>
          <w:iCs/>
        </w:rPr>
        <w:t xml:space="preserve">Normalized </w:t>
      </w:r>
      <w:r>
        <w:rPr>
          <w:i/>
          <w:iCs/>
        </w:rPr>
        <w:t>D</w:t>
      </w:r>
      <w:r w:rsidR="00597DB0">
        <w:rPr>
          <w:i/>
          <w:iCs/>
        </w:rPr>
        <w:t xml:space="preserve">ifference </w:t>
      </w:r>
      <w:r>
        <w:rPr>
          <w:i/>
          <w:iCs/>
        </w:rPr>
        <w:t>V</w:t>
      </w:r>
      <w:r w:rsidR="00597DB0">
        <w:rPr>
          <w:i/>
          <w:iCs/>
        </w:rPr>
        <w:t xml:space="preserve">egetation </w:t>
      </w:r>
      <w:r>
        <w:rPr>
          <w:i/>
          <w:iCs/>
        </w:rPr>
        <w:t>I</w:t>
      </w:r>
      <w:r w:rsidR="00597DB0">
        <w:rPr>
          <w:i/>
          <w:iCs/>
        </w:rPr>
        <w:t>ndex (NDVI)</w:t>
      </w:r>
      <w:r>
        <w:rPr>
          <w:i/>
          <w:iCs/>
        </w:rPr>
        <w:t xml:space="preserve"> from 2014-2023 by geographic region. Each thin line represents an individual city within the geographic region, while each thick line shows the average NDVI for all cities in that region, colored by </w:t>
      </w:r>
      <w:r w:rsidR="007923E0">
        <w:rPr>
          <w:i/>
          <w:iCs/>
        </w:rPr>
        <w:t>climate classification</w:t>
      </w:r>
      <w:r>
        <w:rPr>
          <w:i/>
          <w:iCs/>
        </w:rPr>
        <w:t xml:space="preserve">. </w:t>
      </w:r>
    </w:p>
    <w:p w14:paraId="66BC6136" w14:textId="2E48617C" w:rsidR="00083DB1" w:rsidRDefault="00083DB1" w:rsidP="00551D54"/>
    <w:p w14:paraId="2F87ED76" w14:textId="0AEA7697" w:rsidR="00560272" w:rsidRDefault="00F533A8" w:rsidP="00551D54">
      <w:r>
        <w:t>The average</w:t>
      </w:r>
      <w:r w:rsidR="00744A00">
        <w:t xml:space="preserve"> population-weighted peak</w:t>
      </w:r>
      <w:r w:rsidR="00505E9F">
        <w:t xml:space="preserve"> season</w:t>
      </w:r>
      <w:r>
        <w:t xml:space="preserve"> NDVI varies greatly across global c</w:t>
      </w:r>
      <w:r w:rsidR="00933741">
        <w:t>ities (Fig</w:t>
      </w:r>
      <w:r w:rsidR="00992BCB">
        <w:t>.</w:t>
      </w:r>
      <w:r w:rsidR="00933741">
        <w:t xml:space="preserve"> </w:t>
      </w:r>
      <w:r w:rsidR="006C67EB">
        <w:t>2</w:t>
      </w:r>
      <w:r w:rsidR="00933741">
        <w:t>). In the most recent 5-year period, the global average greenest season NDVI was 0.270, ranging from 0.07</w:t>
      </w:r>
      <w:r w:rsidR="00D2161E">
        <w:t>2</w:t>
      </w:r>
      <w:r w:rsidR="00933741">
        <w:t xml:space="preserve"> to 0.58</w:t>
      </w:r>
      <w:r w:rsidR="00D2161E">
        <w:t>0</w:t>
      </w:r>
      <w:r w:rsidR="00362015">
        <w:t xml:space="preserve"> across cities</w:t>
      </w:r>
      <w:r w:rsidR="00933741">
        <w:t xml:space="preserve">. </w:t>
      </w:r>
      <w:r w:rsidR="00B86455">
        <w:t>Peak season NDVI is correlated with geographic region (Fig. S</w:t>
      </w:r>
      <w:r w:rsidR="00736C52">
        <w:t>4</w:t>
      </w:r>
      <w:r w:rsidR="00B86455">
        <w:t xml:space="preserve">) and </w:t>
      </w:r>
      <w:proofErr w:type="spellStart"/>
      <w:r w:rsidR="00B86455">
        <w:t>Köppen</w:t>
      </w:r>
      <w:proofErr w:type="spellEnd"/>
      <w:r w:rsidR="00B86455">
        <w:t>-Geiger climate classification (Fig. S5). Peak-season 2019-2023 NDVI was highest on average in Melanesia (0.417), North America (0.384), and</w:t>
      </w:r>
      <w:r w:rsidR="00560272">
        <w:t xml:space="preserve"> most of</w:t>
      </w:r>
      <w:r w:rsidR="00B86455">
        <w:t xml:space="preserve"> Europe including Eastern (0.354), Northern (0.350), and Western (0.346) Europe.</w:t>
      </w:r>
      <w:r w:rsidR="00BA124C">
        <w:t xml:space="preserve"> </w:t>
      </w:r>
      <w:r w:rsidR="00A04320">
        <w:t xml:space="preserve">Western Asia and North Africa were the least green, </w:t>
      </w:r>
      <w:r w:rsidR="00736C52">
        <w:t xml:space="preserve">with NDVI </w:t>
      </w:r>
      <w:r w:rsidR="00A04320">
        <w:t xml:space="preserve">averages of 0.149 and 0.175 across their cities, respectively. </w:t>
      </w:r>
      <w:r w:rsidR="00560272">
        <w:t>In terms of climate classification</w:t>
      </w:r>
      <w:r w:rsidR="00A40822">
        <w:t>, t</w:t>
      </w:r>
      <w:r w:rsidR="00202B9E">
        <w:t>he average greenest</w:t>
      </w:r>
      <w:r w:rsidR="000011F2">
        <w:t xml:space="preserve"> </w:t>
      </w:r>
      <w:r w:rsidR="00202B9E">
        <w:t xml:space="preserve">season NDVI for 2019-2023 was 0.193 in arid, 0.281 in temperate, 0.319 in tropical, and 0.327 </w:t>
      </w:r>
      <w:r w:rsidR="004E6D40">
        <w:t>across</w:t>
      </w:r>
      <w:r w:rsidR="00202B9E">
        <w:t xml:space="preserve"> continental cities.</w:t>
      </w:r>
      <w:r w:rsidR="0087108D">
        <w:t xml:space="preserve"> </w:t>
      </w:r>
    </w:p>
    <w:p w14:paraId="28B46418" w14:textId="5FD430AE" w:rsidR="00560272" w:rsidRDefault="00560272" w:rsidP="00551D54"/>
    <w:p w14:paraId="05C2EE37" w14:textId="00954451" w:rsidR="00A43575" w:rsidRDefault="00A43575" w:rsidP="00551D54">
      <w:r>
        <w:t>Globally, the five-year greenest season average NDVI decreased slightly from 0.279 in 2014-2018 to 0.270 in 2019 to 2023</w:t>
      </w:r>
      <w:r w:rsidR="00D11EF4">
        <w:t>, with an average city-level percent change of -0.46%</w:t>
      </w:r>
      <w:r w:rsidR="006C67EB">
        <w:t xml:space="preserve">. </w:t>
      </w:r>
      <w:r w:rsidR="00560272">
        <w:t>However, th</w:t>
      </w:r>
      <w:r w:rsidR="006C67EB">
        <w:t>is</w:t>
      </w:r>
      <w:r w:rsidR="005F46DB">
        <w:t xml:space="preserve"> </w:t>
      </w:r>
      <w:r w:rsidR="00560272">
        <w:t>relatively small global change mask</w:t>
      </w:r>
      <w:r w:rsidR="006C67EB">
        <w:t>s</w:t>
      </w:r>
      <w:r w:rsidR="00560272">
        <w:t xml:space="preserve"> large differences across individual cities. </w:t>
      </w:r>
      <w:r w:rsidR="005F46DB">
        <w:t>T</w:t>
      </w:r>
      <w:r>
        <w:t xml:space="preserve">he percent change </w:t>
      </w:r>
      <w:r w:rsidR="005F46DB">
        <w:t xml:space="preserve">between these two periods ranged from </w:t>
      </w:r>
      <w:r>
        <w:t>-22.29% to 29.38%</w:t>
      </w:r>
      <w:r w:rsidR="005F46DB">
        <w:t xml:space="preserve"> across the 1,041 cities</w:t>
      </w:r>
      <w:r>
        <w:t>.</w:t>
      </w:r>
      <w:r w:rsidR="00E83875">
        <w:t xml:space="preserve"> </w:t>
      </w:r>
    </w:p>
    <w:p w14:paraId="50D6EB31" w14:textId="796A8BA6" w:rsidR="00ED662B" w:rsidRDefault="00ED662B" w:rsidP="00551D54"/>
    <w:p w14:paraId="04BD5B0C" w14:textId="4B6EB4B0" w:rsidR="00ED662B" w:rsidRDefault="00BF7C36" w:rsidP="00551D54">
      <w:r>
        <w:rPr>
          <w:noProof/>
        </w:rPr>
        <w:lastRenderedPageBreak/>
        <w:drawing>
          <wp:anchor distT="0" distB="0" distL="114300" distR="114300" simplePos="0" relativeHeight="251680768" behindDoc="1" locked="0" layoutInCell="1" allowOverlap="1" wp14:anchorId="119A7A3A" wp14:editId="1D0A4D72">
            <wp:simplePos x="0" y="0"/>
            <wp:positionH relativeFrom="column">
              <wp:posOffset>0</wp:posOffset>
            </wp:positionH>
            <wp:positionV relativeFrom="paragraph">
              <wp:posOffset>0</wp:posOffset>
            </wp:positionV>
            <wp:extent cx="5943600" cy="5943600"/>
            <wp:effectExtent l="0" t="0" r="0" b="0"/>
            <wp:wrapTight wrapText="bothSides">
              <wp:wrapPolygon edited="0">
                <wp:start x="138" y="0"/>
                <wp:lineTo x="0" y="323"/>
                <wp:lineTo x="0" y="462"/>
                <wp:lineTo x="231" y="738"/>
                <wp:lineTo x="231" y="6646"/>
                <wp:lineTo x="46" y="7200"/>
                <wp:lineTo x="0" y="7615"/>
                <wp:lineTo x="0" y="7662"/>
                <wp:lineTo x="231" y="8123"/>
                <wp:lineTo x="231" y="14031"/>
                <wp:lineTo x="0" y="14585"/>
                <wp:lineTo x="0" y="14769"/>
                <wp:lineTo x="231" y="15508"/>
                <wp:lineTo x="231" y="21323"/>
                <wp:lineTo x="15138" y="21323"/>
                <wp:lineTo x="20631" y="21138"/>
                <wp:lineTo x="20585" y="14769"/>
                <wp:lineTo x="21415" y="14031"/>
                <wp:lineTo x="21508" y="92"/>
                <wp:lineTo x="415" y="0"/>
                <wp:lineTo x="138" y="0"/>
              </wp:wrapPolygon>
            </wp:wrapTight>
            <wp:docPr id="2006781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81520" name="Picture 2006781520"/>
                    <pic:cNvPicPr/>
                  </pic:nvPicPr>
                  <pic:blipFill>
                    <a:blip r:embed="rId10"/>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4CC64F68" w14:textId="6F5346CB" w:rsidR="00ED662B" w:rsidRPr="00ED662B" w:rsidRDefault="00ED662B" w:rsidP="00ED662B">
      <w:pPr>
        <w:rPr>
          <w:b/>
          <w:bCs/>
          <w:i/>
          <w:iCs/>
        </w:rPr>
      </w:pPr>
      <w:r w:rsidRPr="00ED662B">
        <w:rPr>
          <w:b/>
          <w:bCs/>
          <w:i/>
          <w:iCs/>
        </w:rPr>
        <w:t xml:space="preserve">Figure </w:t>
      </w:r>
      <w:r w:rsidR="00015676">
        <w:rPr>
          <w:b/>
          <w:bCs/>
          <w:i/>
          <w:iCs/>
        </w:rPr>
        <w:t>2</w:t>
      </w:r>
      <w:r w:rsidRPr="00ED662B">
        <w:rPr>
          <w:b/>
          <w:bCs/>
          <w:i/>
          <w:iCs/>
        </w:rPr>
        <w:t xml:space="preserve">. </w:t>
      </w:r>
      <w:r w:rsidR="00D05A94">
        <w:rPr>
          <w:i/>
          <w:iCs/>
        </w:rPr>
        <w:t>Average p</w:t>
      </w:r>
      <w:r w:rsidRPr="00ED662B">
        <w:rPr>
          <w:i/>
          <w:iCs/>
        </w:rPr>
        <w:t xml:space="preserve">opulation-weighted </w:t>
      </w:r>
      <w:r w:rsidR="00DE5536">
        <w:rPr>
          <w:i/>
          <w:iCs/>
        </w:rPr>
        <w:t>greenest season</w:t>
      </w:r>
      <w:r w:rsidRPr="00ED662B">
        <w:rPr>
          <w:i/>
          <w:iCs/>
        </w:rPr>
        <w:t xml:space="preserve"> N</w:t>
      </w:r>
      <w:r w:rsidR="00670F3D">
        <w:rPr>
          <w:i/>
          <w:iCs/>
        </w:rPr>
        <w:t xml:space="preserve">ormalized </w:t>
      </w:r>
      <w:r w:rsidRPr="00ED662B">
        <w:rPr>
          <w:i/>
          <w:iCs/>
        </w:rPr>
        <w:t>D</w:t>
      </w:r>
      <w:r w:rsidR="00670F3D">
        <w:rPr>
          <w:i/>
          <w:iCs/>
        </w:rPr>
        <w:t xml:space="preserve">ifference </w:t>
      </w:r>
      <w:r w:rsidR="00670F3D" w:rsidRPr="00ED662B">
        <w:rPr>
          <w:i/>
          <w:iCs/>
        </w:rPr>
        <w:t>V</w:t>
      </w:r>
      <w:r w:rsidR="00670F3D">
        <w:rPr>
          <w:i/>
          <w:iCs/>
        </w:rPr>
        <w:t xml:space="preserve">egetation </w:t>
      </w:r>
      <w:r w:rsidRPr="00ED662B">
        <w:rPr>
          <w:i/>
          <w:iCs/>
        </w:rPr>
        <w:t>I</w:t>
      </w:r>
      <w:r w:rsidR="00670F3D">
        <w:rPr>
          <w:i/>
          <w:iCs/>
        </w:rPr>
        <w:t>ndex</w:t>
      </w:r>
      <w:r w:rsidR="00DE5536">
        <w:rPr>
          <w:i/>
          <w:iCs/>
        </w:rPr>
        <w:t xml:space="preserve"> </w:t>
      </w:r>
      <w:r w:rsidR="000D7E31">
        <w:rPr>
          <w:i/>
          <w:iCs/>
        </w:rPr>
        <w:t xml:space="preserve">(NDVI) </w:t>
      </w:r>
      <w:r w:rsidR="00DE5536">
        <w:rPr>
          <w:i/>
          <w:iCs/>
        </w:rPr>
        <w:t>for 2014-2018</w:t>
      </w:r>
      <w:r w:rsidR="00EE198F">
        <w:rPr>
          <w:i/>
          <w:iCs/>
        </w:rPr>
        <w:t xml:space="preserve"> (panel A)</w:t>
      </w:r>
      <w:r w:rsidR="00DE5536">
        <w:rPr>
          <w:i/>
          <w:iCs/>
        </w:rPr>
        <w:t xml:space="preserve"> and 2019-2023 </w:t>
      </w:r>
      <w:r w:rsidR="00EE198F">
        <w:rPr>
          <w:i/>
          <w:iCs/>
        </w:rPr>
        <w:t xml:space="preserve">(panel B) </w:t>
      </w:r>
      <w:r w:rsidR="00DE5536">
        <w:rPr>
          <w:i/>
          <w:iCs/>
        </w:rPr>
        <w:t>and the percent change between the two time periods</w:t>
      </w:r>
      <w:r w:rsidR="00EE198F">
        <w:rPr>
          <w:i/>
          <w:iCs/>
        </w:rPr>
        <w:t xml:space="preserve"> (panel C)</w:t>
      </w:r>
      <w:r w:rsidR="00575730">
        <w:rPr>
          <w:i/>
          <w:iCs/>
        </w:rPr>
        <w:t xml:space="preserve"> for 1,041 cities globally</w:t>
      </w:r>
      <w:r w:rsidR="00DE5536">
        <w:rPr>
          <w:i/>
          <w:iCs/>
        </w:rPr>
        <w:t>.</w:t>
      </w:r>
      <w:r w:rsidR="00EE198F">
        <w:rPr>
          <w:i/>
          <w:iCs/>
        </w:rPr>
        <w:t xml:space="preserve"> </w:t>
      </w:r>
    </w:p>
    <w:p w14:paraId="4D355332" w14:textId="68CFC6C4" w:rsidR="006C67EB" w:rsidRDefault="006C67EB" w:rsidP="003771C7"/>
    <w:p w14:paraId="1E45EFD8" w14:textId="24FCF47F" w:rsidR="006C67EB" w:rsidRDefault="006C67EB" w:rsidP="003771C7">
      <w:r>
        <w:t xml:space="preserve">Regional </w:t>
      </w:r>
      <w:r w:rsidR="000D7E31">
        <w:t xml:space="preserve">NDVI </w:t>
      </w:r>
      <w:r>
        <w:t>average</w:t>
      </w:r>
      <w:r w:rsidR="00A47D59">
        <w:t xml:space="preserve">s </w:t>
      </w:r>
      <w:r>
        <w:t>across the two 5-year periods were relatively stable</w:t>
      </w:r>
      <w:r w:rsidR="00402760">
        <w:t xml:space="preserve"> (Fig 3A)</w:t>
      </w:r>
      <w:r>
        <w:t xml:space="preserve">. </w:t>
      </w:r>
      <w:r w:rsidR="00C10E7C">
        <w:t xml:space="preserve">The median regional </w:t>
      </w:r>
      <w:r>
        <w:t>NDVI changed by more than 0.01 in only four geographic regions: Melanesia (-0.01</w:t>
      </w:r>
      <w:r w:rsidR="00C10E7C">
        <w:t>8</w:t>
      </w:r>
      <w:r>
        <w:t>), South-eastern Asia (-0.0</w:t>
      </w:r>
      <w:r w:rsidR="00C10E7C">
        <w:t>22</w:t>
      </w:r>
      <w:r>
        <w:t>), Sub-Saharan Africa (-0.01</w:t>
      </w:r>
      <w:r w:rsidR="00C10E7C">
        <w:t>0</w:t>
      </w:r>
      <w:r>
        <w:t xml:space="preserve">) and Eastern Asia (+0.014). </w:t>
      </w:r>
      <w:r w:rsidR="00C10E7C">
        <w:t xml:space="preserve">The </w:t>
      </w:r>
      <w:r w:rsidR="003A4C10">
        <w:t xml:space="preserve">regional </w:t>
      </w:r>
      <w:r w:rsidR="006A7E0D">
        <w:t>range</w:t>
      </w:r>
      <w:r w:rsidR="00C10E7C">
        <w:t xml:space="preserve"> </w:t>
      </w:r>
      <w:r w:rsidR="003A4C10">
        <w:t xml:space="preserve">of absolute changes in NDVI ranged from 0.028 in Southern Europe to 0.095 in </w:t>
      </w:r>
      <w:r w:rsidR="00812492">
        <w:t>E</w:t>
      </w:r>
      <w:r w:rsidR="003A4C10">
        <w:t xml:space="preserve">astern Asia. </w:t>
      </w:r>
      <w:r w:rsidR="00A70F65">
        <w:t>Every region had cities that became greener and others that became less green from 2014-2018 to 2019-2023.</w:t>
      </w:r>
    </w:p>
    <w:p w14:paraId="583E63A8" w14:textId="173C6A1B" w:rsidR="00A70F65" w:rsidRDefault="00A70F65" w:rsidP="003771C7"/>
    <w:p w14:paraId="68FB2AF5" w14:textId="461363C3" w:rsidR="004902E4" w:rsidRDefault="00812492" w:rsidP="003771C7">
      <w:r>
        <w:lastRenderedPageBreak/>
        <w:t>There was a similarly</w:t>
      </w:r>
      <w:r w:rsidR="009E57CF">
        <w:t xml:space="preserve"> large </w:t>
      </w:r>
      <w:r w:rsidR="006F29B1">
        <w:t>spread</w:t>
      </w:r>
      <w:r w:rsidR="009E57CF">
        <w:t xml:space="preserve"> </w:t>
      </w:r>
      <w:r w:rsidR="00180E9E">
        <w:t>within each</w:t>
      </w:r>
      <w:r w:rsidR="009E57CF">
        <w:t xml:space="preserve"> region and notable </w:t>
      </w:r>
      <w:r w:rsidR="00180E9E">
        <w:t xml:space="preserve">differences across regions </w:t>
      </w:r>
      <w:r w:rsidR="00E16E03">
        <w:t xml:space="preserve">in </w:t>
      </w:r>
      <w:r w:rsidR="00EA38BA">
        <w:t xml:space="preserve">the </w:t>
      </w:r>
      <w:r w:rsidR="00E16E03">
        <w:t xml:space="preserve">percent change </w:t>
      </w:r>
      <w:r w:rsidR="00EA38BA">
        <w:t>in NDVI between 2014-</w:t>
      </w:r>
      <w:r w:rsidR="007116D9">
        <w:t>20</w:t>
      </w:r>
      <w:r w:rsidR="00EA38BA">
        <w:t>18 and 2019-</w:t>
      </w:r>
      <w:r w:rsidR="007116D9">
        <w:t>20</w:t>
      </w:r>
      <w:r w:rsidR="00EA38BA">
        <w:t>23</w:t>
      </w:r>
      <w:r w:rsidR="008875C4">
        <w:t xml:space="preserve"> </w:t>
      </w:r>
      <w:r w:rsidR="0087108D">
        <w:t xml:space="preserve">(Fig. </w:t>
      </w:r>
      <w:r w:rsidR="006F2027">
        <w:t>3B</w:t>
      </w:r>
      <w:r w:rsidR="0087108D">
        <w:t>)</w:t>
      </w:r>
      <w:r w:rsidR="00E16E03">
        <w:t xml:space="preserve">. </w:t>
      </w:r>
      <w:r w:rsidR="004339B3">
        <w:t xml:space="preserve">The median percent change was greater than 5% in South-eastern Asia (-6.3%) and Eastern Asia (+6.2%). </w:t>
      </w:r>
      <w:r w:rsidR="00E16E03">
        <w:t>Sub-Saharan Africa ha</w:t>
      </w:r>
      <w:r w:rsidR="00CB3595">
        <w:t>d</w:t>
      </w:r>
      <w:r w:rsidR="00E16E03">
        <w:t xml:space="preserve"> 6 of the 10 cities with the largest </w:t>
      </w:r>
      <w:r w:rsidR="00533BBB">
        <w:t xml:space="preserve">percent </w:t>
      </w:r>
      <w:r w:rsidR="00E16E03">
        <w:t>decreases</w:t>
      </w:r>
      <w:r w:rsidR="00B86E60">
        <w:t xml:space="preserve"> in NDVI</w:t>
      </w:r>
      <w:r w:rsidR="00E16E03">
        <w:t xml:space="preserve"> from 2014-</w:t>
      </w:r>
      <w:r w:rsidR="002F28B1">
        <w:t>20</w:t>
      </w:r>
      <w:r w:rsidR="00E16E03">
        <w:t>18 to 2019-</w:t>
      </w:r>
      <w:r w:rsidR="007116D9">
        <w:t>20</w:t>
      </w:r>
      <w:r w:rsidR="00E16E03">
        <w:t>23. By contrast, 39 of the top 50 cities with the greatest percent increase in NDVI between these two time period</w:t>
      </w:r>
      <w:r w:rsidR="00EB7037">
        <w:t>s</w:t>
      </w:r>
      <w:r w:rsidR="00E16E03">
        <w:t xml:space="preserve"> </w:t>
      </w:r>
      <w:r w:rsidR="00CB3595">
        <w:t xml:space="preserve">were </w:t>
      </w:r>
      <w:r w:rsidR="00E16E03">
        <w:t>in Eastern Asia</w:t>
      </w:r>
      <w:r w:rsidR="0087108D">
        <w:t>.</w:t>
      </w:r>
      <w:r>
        <w:t xml:space="preserve"> </w:t>
      </w:r>
      <w:r w:rsidR="00220EF2">
        <w:t xml:space="preserve">The relative magnitude of percent changes in NDVI generally mirrored changes in absolute terms. </w:t>
      </w:r>
      <w:r w:rsidR="00FF19E2">
        <w:t>There were many outlier cities across several regions. F</w:t>
      </w:r>
      <w:r w:rsidR="00284BC1">
        <w:t>or example, f</w:t>
      </w:r>
      <w:r w:rsidR="00FF19E2">
        <w:t xml:space="preserve">ive Venezuelan cities: Barcelona, Maturin, Barquisimeto, Maracay, and Valencia had increases in NDVI across the two periods despite a general decline in urban greenspace across Latin America and the Caribbean. </w:t>
      </w:r>
      <w:proofErr w:type="spellStart"/>
      <w:r w:rsidR="00FF19E2">
        <w:t>Buram</w:t>
      </w:r>
      <w:proofErr w:type="spellEnd"/>
      <w:r w:rsidR="00FF19E2">
        <w:t>, Sudan</w:t>
      </w:r>
      <w:r w:rsidR="00284BC1">
        <w:t xml:space="preserve"> in Northern Africa</w:t>
      </w:r>
      <w:r w:rsidR="00FF19E2">
        <w:t xml:space="preserve"> and Gonda, India </w:t>
      </w:r>
      <w:r w:rsidR="00284BC1">
        <w:t xml:space="preserve">in Southern Asia </w:t>
      </w:r>
      <w:r w:rsidR="00FF19E2">
        <w:t xml:space="preserve">were also positive greenspace outliers. </w:t>
      </w:r>
      <w:r w:rsidR="00C63335">
        <w:t xml:space="preserve">In contrast, many cities were negative </w:t>
      </w:r>
      <w:r w:rsidR="008B7742">
        <w:t xml:space="preserve">greenspace </w:t>
      </w:r>
      <w:r w:rsidR="00C63335">
        <w:t>outliers</w:t>
      </w:r>
      <w:r w:rsidR="008B7742">
        <w:t xml:space="preserve"> in their regions</w:t>
      </w:r>
      <w:r w:rsidR="00C63335">
        <w:t xml:space="preserve"> including Auckland, New Zealand; San Antonio and Providence, United States; </w:t>
      </w:r>
      <w:proofErr w:type="spellStart"/>
      <w:r w:rsidR="00C63335">
        <w:t>Mataram</w:t>
      </w:r>
      <w:proofErr w:type="spellEnd"/>
      <w:r w:rsidR="00C63335">
        <w:t xml:space="preserve">, Indonesia; Lakhimpur, India; </w:t>
      </w:r>
      <w:proofErr w:type="spellStart"/>
      <w:r w:rsidR="00C63335">
        <w:t>Drachevo</w:t>
      </w:r>
      <w:proofErr w:type="spellEnd"/>
      <w:r w:rsidR="00C63335">
        <w:t xml:space="preserve">, Macedonia; and Dortmund and Wuppertal, Germany. </w:t>
      </w:r>
      <w:r w:rsidR="008B7742">
        <w:t xml:space="preserve">There is likely a mix of driving factors contributing to each of these cities’ greenspace changes. Some of the negative outliers such as Auckland, San Antonio, </w:t>
      </w:r>
      <w:proofErr w:type="spellStart"/>
      <w:r w:rsidR="008B7742">
        <w:t>Mataram</w:t>
      </w:r>
      <w:proofErr w:type="spellEnd"/>
      <w:r w:rsidR="008B7742">
        <w:t xml:space="preserve">, </w:t>
      </w:r>
      <w:proofErr w:type="spellStart"/>
      <w:r w:rsidR="008B7742">
        <w:t>Lakhimpu</w:t>
      </w:r>
      <w:proofErr w:type="spellEnd"/>
      <w:r w:rsidR="008B7742">
        <w:t xml:space="preserve">, and </w:t>
      </w:r>
      <w:proofErr w:type="spellStart"/>
      <w:r w:rsidR="008B7742">
        <w:t>Drachevo</w:t>
      </w:r>
      <w:proofErr w:type="spellEnd"/>
      <w:r w:rsidR="008B7742">
        <w:t xml:space="preserve"> have experienced urbanization over the past decade that may be contributing to their decline in greenspaces. Other cities situated near one another such as the five cities of northern Venezuela and the two German cities likely have experienced similar temperature and rainfall changes due to weather and climate change.  </w:t>
      </w:r>
    </w:p>
    <w:p w14:paraId="083DCD71" w14:textId="325C0E36" w:rsidR="00CB3595" w:rsidRDefault="00CB3595" w:rsidP="003771C7"/>
    <w:p w14:paraId="331211FB" w14:textId="53D3DD4E" w:rsidR="007C73A9" w:rsidRDefault="00FF19E2" w:rsidP="00551D54">
      <w:r>
        <w:rPr>
          <w:b/>
          <w:bCs/>
          <w:i/>
          <w:iCs/>
          <w:noProof/>
        </w:rPr>
        <w:lastRenderedPageBreak/>
        <w:drawing>
          <wp:anchor distT="0" distB="0" distL="114300" distR="114300" simplePos="0" relativeHeight="251681792" behindDoc="1" locked="0" layoutInCell="1" allowOverlap="1" wp14:anchorId="351FBE47" wp14:editId="0C953221">
            <wp:simplePos x="0" y="0"/>
            <wp:positionH relativeFrom="column">
              <wp:posOffset>0</wp:posOffset>
            </wp:positionH>
            <wp:positionV relativeFrom="paragraph">
              <wp:posOffset>229235</wp:posOffset>
            </wp:positionV>
            <wp:extent cx="5943600" cy="5943600"/>
            <wp:effectExtent l="0" t="0" r="0" b="0"/>
            <wp:wrapTight wrapText="bothSides">
              <wp:wrapPolygon edited="0">
                <wp:start x="138" y="0"/>
                <wp:lineTo x="0" y="323"/>
                <wp:lineTo x="0" y="462"/>
                <wp:lineTo x="3831" y="738"/>
                <wp:lineTo x="3646" y="1246"/>
                <wp:lineTo x="3600" y="1985"/>
                <wp:lineTo x="6554" y="2215"/>
                <wp:lineTo x="4523" y="2215"/>
                <wp:lineTo x="3415" y="2492"/>
                <wp:lineTo x="3277" y="4154"/>
                <wp:lineTo x="4523" y="4431"/>
                <wp:lineTo x="6554" y="4431"/>
                <wp:lineTo x="4062" y="4615"/>
                <wp:lineTo x="4062" y="4985"/>
                <wp:lineTo x="6554" y="5169"/>
                <wp:lineTo x="3831" y="5215"/>
                <wp:lineTo x="3738" y="5354"/>
                <wp:lineTo x="3923" y="5908"/>
                <wp:lineTo x="3415" y="6231"/>
                <wp:lineTo x="2954" y="6600"/>
                <wp:lineTo x="1154" y="6969"/>
                <wp:lineTo x="692" y="7108"/>
                <wp:lineTo x="692" y="7754"/>
                <wp:lineTo x="4615" y="8262"/>
                <wp:lineTo x="4615" y="8631"/>
                <wp:lineTo x="6554" y="8862"/>
                <wp:lineTo x="1754" y="8862"/>
                <wp:lineTo x="1754" y="9415"/>
                <wp:lineTo x="10800" y="9600"/>
                <wp:lineTo x="6969" y="9600"/>
                <wp:lineTo x="6877" y="9831"/>
                <wp:lineTo x="8538" y="10338"/>
                <wp:lineTo x="0" y="10754"/>
                <wp:lineTo x="0" y="11262"/>
                <wp:lineTo x="6554" y="11815"/>
                <wp:lineTo x="3831" y="11815"/>
                <wp:lineTo x="3554" y="11862"/>
                <wp:lineTo x="3554" y="12646"/>
                <wp:lineTo x="4154" y="13292"/>
                <wp:lineTo x="3415" y="13708"/>
                <wp:lineTo x="3462" y="14031"/>
                <wp:lineTo x="5908" y="14031"/>
                <wp:lineTo x="3323" y="14215"/>
                <wp:lineTo x="3323" y="14585"/>
                <wp:lineTo x="6554" y="14769"/>
                <wp:lineTo x="4292" y="14815"/>
                <wp:lineTo x="4015" y="14908"/>
                <wp:lineTo x="4015" y="15508"/>
                <wp:lineTo x="3738" y="16200"/>
                <wp:lineTo x="3969" y="16985"/>
                <wp:lineTo x="2954" y="17308"/>
                <wp:lineTo x="3000" y="17677"/>
                <wp:lineTo x="738" y="17862"/>
                <wp:lineTo x="738" y="18277"/>
                <wp:lineTo x="6554" y="18462"/>
                <wp:lineTo x="2908" y="18462"/>
                <wp:lineTo x="2862" y="18831"/>
                <wp:lineTo x="4569" y="19200"/>
                <wp:lineTo x="1708" y="19708"/>
                <wp:lineTo x="1708" y="20031"/>
                <wp:lineTo x="6969" y="20677"/>
                <wp:lineTo x="7523" y="20677"/>
                <wp:lineTo x="7523" y="21046"/>
                <wp:lineTo x="9415" y="21369"/>
                <wp:lineTo x="11492" y="21462"/>
                <wp:lineTo x="11723" y="21462"/>
                <wp:lineTo x="18138" y="21369"/>
                <wp:lineTo x="21462" y="21138"/>
                <wp:lineTo x="21462" y="11031"/>
                <wp:lineTo x="20031" y="9738"/>
                <wp:lineTo x="21508" y="9462"/>
                <wp:lineTo x="21508" y="185"/>
                <wp:lineTo x="415" y="0"/>
                <wp:lineTo x="138" y="0"/>
              </wp:wrapPolygon>
            </wp:wrapTight>
            <wp:docPr id="2468390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39066" name="Picture 246839066"/>
                    <pic:cNvPicPr/>
                  </pic:nvPicPr>
                  <pic:blipFill>
                    <a:blip r:embed="rId11"/>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1904F4FD" w14:textId="01F13F15" w:rsidR="005B2BD0" w:rsidRDefault="005B2BD0" w:rsidP="00551D54">
      <w:pPr>
        <w:rPr>
          <w:i/>
          <w:iCs/>
        </w:rPr>
      </w:pPr>
    </w:p>
    <w:p w14:paraId="199095B6" w14:textId="45014584" w:rsidR="0049174D" w:rsidRDefault="0049174D" w:rsidP="00551D54"/>
    <w:p w14:paraId="5E7D9206" w14:textId="1F461E02" w:rsidR="004902E4" w:rsidRDefault="004902E4" w:rsidP="00551D54">
      <w:pPr>
        <w:rPr>
          <w:b/>
          <w:bCs/>
          <w:i/>
          <w:iCs/>
        </w:rPr>
      </w:pPr>
    </w:p>
    <w:p w14:paraId="72F33471" w14:textId="3334218A" w:rsidR="004902E4" w:rsidRDefault="004902E4" w:rsidP="00551D54">
      <w:pPr>
        <w:rPr>
          <w:b/>
          <w:bCs/>
          <w:i/>
          <w:iCs/>
        </w:rPr>
      </w:pPr>
    </w:p>
    <w:p w14:paraId="7CEE42A4" w14:textId="093EA894" w:rsidR="004902E4" w:rsidRDefault="004902E4" w:rsidP="00551D54">
      <w:pPr>
        <w:rPr>
          <w:b/>
          <w:bCs/>
          <w:i/>
          <w:iCs/>
        </w:rPr>
      </w:pPr>
    </w:p>
    <w:p w14:paraId="467D8E44" w14:textId="43D5F801" w:rsidR="004902E4" w:rsidRDefault="004902E4" w:rsidP="00551D54">
      <w:pPr>
        <w:rPr>
          <w:b/>
          <w:bCs/>
          <w:i/>
          <w:iCs/>
        </w:rPr>
      </w:pPr>
    </w:p>
    <w:p w14:paraId="76C55FA4" w14:textId="029807B9" w:rsidR="004902E4" w:rsidRDefault="004902E4" w:rsidP="00551D54">
      <w:pPr>
        <w:rPr>
          <w:b/>
          <w:bCs/>
          <w:i/>
          <w:iCs/>
        </w:rPr>
      </w:pPr>
    </w:p>
    <w:p w14:paraId="61009364" w14:textId="1D6CF104" w:rsidR="004902E4" w:rsidRDefault="004902E4" w:rsidP="00551D54">
      <w:pPr>
        <w:rPr>
          <w:b/>
          <w:bCs/>
          <w:i/>
          <w:iCs/>
        </w:rPr>
      </w:pPr>
    </w:p>
    <w:p w14:paraId="587EADB0" w14:textId="7766F1C1" w:rsidR="004902E4" w:rsidRDefault="004902E4" w:rsidP="00551D54">
      <w:pPr>
        <w:rPr>
          <w:b/>
          <w:bCs/>
          <w:i/>
          <w:iCs/>
        </w:rPr>
      </w:pPr>
    </w:p>
    <w:p w14:paraId="3F570FEC" w14:textId="43557F03" w:rsidR="004902E4" w:rsidRDefault="004902E4" w:rsidP="00551D54">
      <w:pPr>
        <w:rPr>
          <w:b/>
          <w:bCs/>
          <w:i/>
          <w:iCs/>
        </w:rPr>
      </w:pPr>
    </w:p>
    <w:p w14:paraId="44EAF2DA" w14:textId="41F66058" w:rsidR="004902E4" w:rsidRDefault="004902E4" w:rsidP="00551D54">
      <w:pPr>
        <w:rPr>
          <w:b/>
          <w:bCs/>
          <w:i/>
          <w:iCs/>
        </w:rPr>
      </w:pPr>
    </w:p>
    <w:p w14:paraId="58FC3A85" w14:textId="23DAEA09" w:rsidR="004902E4" w:rsidRDefault="004902E4" w:rsidP="00551D54">
      <w:pPr>
        <w:rPr>
          <w:b/>
          <w:bCs/>
          <w:i/>
          <w:iCs/>
        </w:rPr>
      </w:pPr>
    </w:p>
    <w:p w14:paraId="32B731F7" w14:textId="20511B7C" w:rsidR="004902E4" w:rsidRDefault="004902E4" w:rsidP="00551D54">
      <w:pPr>
        <w:rPr>
          <w:b/>
          <w:bCs/>
          <w:i/>
          <w:iCs/>
        </w:rPr>
      </w:pPr>
    </w:p>
    <w:p w14:paraId="029A9A04" w14:textId="62983112" w:rsidR="004902E4" w:rsidRDefault="004902E4" w:rsidP="00551D54">
      <w:pPr>
        <w:rPr>
          <w:b/>
          <w:bCs/>
          <w:i/>
          <w:iCs/>
        </w:rPr>
      </w:pPr>
    </w:p>
    <w:p w14:paraId="7FA3C823" w14:textId="039F7541" w:rsidR="004902E4" w:rsidRDefault="004902E4" w:rsidP="00551D54">
      <w:pPr>
        <w:rPr>
          <w:b/>
          <w:bCs/>
          <w:i/>
          <w:iCs/>
        </w:rPr>
      </w:pPr>
    </w:p>
    <w:p w14:paraId="34563256" w14:textId="1761FFCE" w:rsidR="004902E4" w:rsidRDefault="004902E4" w:rsidP="00551D54">
      <w:pPr>
        <w:rPr>
          <w:b/>
          <w:bCs/>
          <w:i/>
          <w:iCs/>
        </w:rPr>
      </w:pPr>
    </w:p>
    <w:p w14:paraId="4CAA7256" w14:textId="259F365D" w:rsidR="004902E4" w:rsidRDefault="004902E4" w:rsidP="00551D54">
      <w:pPr>
        <w:rPr>
          <w:b/>
          <w:bCs/>
          <w:i/>
          <w:iCs/>
        </w:rPr>
      </w:pPr>
    </w:p>
    <w:p w14:paraId="5C928683" w14:textId="67F54DEC" w:rsidR="004902E4" w:rsidRDefault="004902E4" w:rsidP="00551D54">
      <w:pPr>
        <w:rPr>
          <w:b/>
          <w:bCs/>
          <w:i/>
          <w:iCs/>
        </w:rPr>
      </w:pPr>
    </w:p>
    <w:p w14:paraId="224FA2A8" w14:textId="48BB4328" w:rsidR="004902E4" w:rsidRDefault="004902E4" w:rsidP="00551D54">
      <w:pPr>
        <w:rPr>
          <w:b/>
          <w:bCs/>
          <w:i/>
          <w:iCs/>
        </w:rPr>
      </w:pPr>
    </w:p>
    <w:p w14:paraId="310C15D9" w14:textId="530C2900" w:rsidR="004902E4" w:rsidRDefault="004902E4" w:rsidP="00551D54">
      <w:pPr>
        <w:rPr>
          <w:b/>
          <w:bCs/>
          <w:i/>
          <w:iCs/>
        </w:rPr>
      </w:pPr>
    </w:p>
    <w:p w14:paraId="3A29B291" w14:textId="148DCC2E" w:rsidR="004902E4" w:rsidRDefault="004902E4" w:rsidP="00551D54">
      <w:pPr>
        <w:rPr>
          <w:b/>
          <w:bCs/>
          <w:i/>
          <w:iCs/>
        </w:rPr>
      </w:pPr>
    </w:p>
    <w:p w14:paraId="575F5BB0" w14:textId="1EDEB8C2" w:rsidR="004902E4" w:rsidRDefault="004902E4" w:rsidP="00551D54">
      <w:pPr>
        <w:rPr>
          <w:b/>
          <w:bCs/>
          <w:i/>
          <w:iCs/>
        </w:rPr>
      </w:pPr>
    </w:p>
    <w:p w14:paraId="6B5716CF" w14:textId="6162BF38" w:rsidR="00702E03" w:rsidRDefault="00702E03" w:rsidP="00551D54">
      <w:pPr>
        <w:rPr>
          <w:b/>
          <w:bCs/>
          <w:i/>
          <w:iCs/>
        </w:rPr>
      </w:pPr>
    </w:p>
    <w:p w14:paraId="11ACC793" w14:textId="244EB1E5" w:rsidR="00702E03" w:rsidRDefault="00702E03" w:rsidP="00551D54">
      <w:pPr>
        <w:rPr>
          <w:b/>
          <w:bCs/>
          <w:i/>
          <w:iCs/>
        </w:rPr>
      </w:pPr>
    </w:p>
    <w:p w14:paraId="4CB0FDBB" w14:textId="77777777" w:rsidR="0049350F" w:rsidRDefault="0049350F" w:rsidP="00551D54">
      <w:pPr>
        <w:rPr>
          <w:b/>
          <w:bCs/>
          <w:i/>
          <w:iCs/>
        </w:rPr>
      </w:pPr>
    </w:p>
    <w:p w14:paraId="69AB887B" w14:textId="77777777" w:rsidR="00EC455B" w:rsidRDefault="00EC455B" w:rsidP="00551D54">
      <w:pPr>
        <w:rPr>
          <w:b/>
          <w:bCs/>
          <w:i/>
          <w:iCs/>
        </w:rPr>
      </w:pPr>
    </w:p>
    <w:p w14:paraId="4FA2757B" w14:textId="77777777" w:rsidR="00EC455B" w:rsidRDefault="00EC455B" w:rsidP="00551D54">
      <w:pPr>
        <w:rPr>
          <w:b/>
          <w:bCs/>
          <w:i/>
          <w:iCs/>
        </w:rPr>
      </w:pPr>
    </w:p>
    <w:p w14:paraId="58261D5C" w14:textId="741E7604" w:rsidR="0049174D" w:rsidRDefault="0049174D" w:rsidP="00551D54">
      <w:pPr>
        <w:rPr>
          <w:i/>
          <w:iCs/>
        </w:rPr>
      </w:pPr>
      <w:r w:rsidRPr="0049174D">
        <w:rPr>
          <w:b/>
          <w:bCs/>
          <w:i/>
          <w:iCs/>
        </w:rPr>
        <w:t xml:space="preserve">Figure </w:t>
      </w:r>
      <w:r w:rsidR="00015676">
        <w:rPr>
          <w:b/>
          <w:bCs/>
          <w:i/>
          <w:iCs/>
        </w:rPr>
        <w:t>3</w:t>
      </w:r>
      <w:r w:rsidRPr="0049174D">
        <w:rPr>
          <w:b/>
          <w:bCs/>
          <w:i/>
          <w:iCs/>
        </w:rPr>
        <w:t>.</w:t>
      </w:r>
      <w:r w:rsidRPr="0049174D">
        <w:rPr>
          <w:i/>
          <w:iCs/>
        </w:rPr>
        <w:t xml:space="preserve"> </w:t>
      </w:r>
      <w:r w:rsidR="00597DB0">
        <w:rPr>
          <w:i/>
          <w:iCs/>
        </w:rPr>
        <w:t>C</w:t>
      </w:r>
      <w:r w:rsidR="00A014FF">
        <w:rPr>
          <w:i/>
          <w:iCs/>
        </w:rPr>
        <w:t xml:space="preserve">hange in </w:t>
      </w:r>
      <w:r w:rsidR="003074C8">
        <w:rPr>
          <w:i/>
          <w:iCs/>
        </w:rPr>
        <w:t xml:space="preserve">average </w:t>
      </w:r>
      <w:r w:rsidR="00A014FF">
        <w:rPr>
          <w:i/>
          <w:iCs/>
        </w:rPr>
        <w:t xml:space="preserve">population-weighted greenest season Normalized Difference Vegetation Index </w:t>
      </w:r>
      <w:r w:rsidR="000D7E31">
        <w:rPr>
          <w:i/>
          <w:iCs/>
        </w:rPr>
        <w:t xml:space="preserve">(NDVI) </w:t>
      </w:r>
      <w:r w:rsidR="00A014FF">
        <w:rPr>
          <w:i/>
          <w:iCs/>
        </w:rPr>
        <w:t xml:space="preserve">from 2014-2018 to 2019-2023 </w:t>
      </w:r>
      <w:r w:rsidR="00597DB0">
        <w:rPr>
          <w:i/>
          <w:iCs/>
        </w:rPr>
        <w:t xml:space="preserve">in absolute </w:t>
      </w:r>
      <w:r w:rsidR="00A014FF">
        <w:rPr>
          <w:i/>
          <w:iCs/>
        </w:rPr>
        <w:t xml:space="preserve">(panel A) </w:t>
      </w:r>
      <w:r w:rsidR="00597DB0">
        <w:rPr>
          <w:i/>
          <w:iCs/>
        </w:rPr>
        <w:t>and relative</w:t>
      </w:r>
      <w:r w:rsidR="00A014FF">
        <w:rPr>
          <w:i/>
          <w:iCs/>
        </w:rPr>
        <w:t xml:space="preserve"> (panel B)</w:t>
      </w:r>
      <w:r w:rsidR="001A3B3D">
        <w:rPr>
          <w:i/>
          <w:iCs/>
        </w:rPr>
        <w:t xml:space="preserve"> </w:t>
      </w:r>
      <w:r w:rsidR="00597DB0">
        <w:rPr>
          <w:i/>
          <w:iCs/>
        </w:rPr>
        <w:t xml:space="preserve">terms, </w:t>
      </w:r>
      <w:r w:rsidR="00A014FF">
        <w:rPr>
          <w:i/>
          <w:iCs/>
        </w:rPr>
        <w:t>by geographic region</w:t>
      </w:r>
      <w:r w:rsidR="00E6576A">
        <w:rPr>
          <w:i/>
          <w:iCs/>
        </w:rPr>
        <w:t>, for 1,041 cities globally</w:t>
      </w:r>
      <w:r w:rsidR="003A6EB2">
        <w:rPr>
          <w:i/>
          <w:iCs/>
        </w:rPr>
        <w:t xml:space="preserve">. </w:t>
      </w:r>
      <w:r w:rsidR="00620701">
        <w:rPr>
          <w:i/>
          <w:iCs/>
        </w:rPr>
        <w:t>Each dot represents a city, colored by geographic region.</w:t>
      </w:r>
      <w:r w:rsidR="0049350F">
        <w:rPr>
          <w:i/>
          <w:iCs/>
        </w:rPr>
        <w:t xml:space="preserve"> Regions are arranged by the average latitude of their included cities.</w:t>
      </w:r>
    </w:p>
    <w:p w14:paraId="55E71BF5" w14:textId="6B71DC41" w:rsidR="00346FF4" w:rsidRDefault="00346FF4" w:rsidP="006A4AC4"/>
    <w:p w14:paraId="7414928F" w14:textId="43566076" w:rsidR="006A4AC4" w:rsidRDefault="006A4AC4" w:rsidP="00551D54">
      <w:r>
        <w:t xml:space="preserve">In general, cities classified as “Arid” by the </w:t>
      </w:r>
      <w:proofErr w:type="spellStart"/>
      <w:r>
        <w:t>Köppen</w:t>
      </w:r>
      <w:proofErr w:type="spellEnd"/>
      <w:r>
        <w:t>-Geiger climate classification did not experience large changes in NDVI between the two time periods (median change</w:t>
      </w:r>
      <w:r w:rsidR="00632344">
        <w:t>:</w:t>
      </w:r>
      <w:r>
        <w:t xml:space="preserve"> &lt;0.00</w:t>
      </w:r>
      <w:r w:rsidR="004E0137">
        <w:t>0</w:t>
      </w:r>
      <w:r w:rsidR="00632344">
        <w:t>, range: -0.046, 0.041</w:t>
      </w:r>
      <w:r>
        <w:t>)</w:t>
      </w:r>
      <w:r w:rsidR="0031206C">
        <w:t xml:space="preserve"> </w:t>
      </w:r>
      <w:r>
        <w:t xml:space="preserve">(Fig. </w:t>
      </w:r>
      <w:r w:rsidR="00346FF4">
        <w:t>4A</w:t>
      </w:r>
      <w:r>
        <w:t xml:space="preserve">). </w:t>
      </w:r>
      <w:r w:rsidR="00661877">
        <w:t xml:space="preserve">The tropical climate classification </w:t>
      </w:r>
      <w:r w:rsidR="00632344">
        <w:t xml:space="preserve">became less green </w:t>
      </w:r>
      <w:r w:rsidR="00661877">
        <w:t>from 2014-</w:t>
      </w:r>
      <w:r w:rsidR="007116D9">
        <w:t>201</w:t>
      </w:r>
      <w:r w:rsidR="00661877">
        <w:t>8 to 2019-</w:t>
      </w:r>
      <w:r w:rsidR="007116D9">
        <w:t>20</w:t>
      </w:r>
      <w:r w:rsidR="00661877">
        <w:t>23,</w:t>
      </w:r>
      <w:r w:rsidR="00632344">
        <w:t xml:space="preserve"> with a median city change of -</w:t>
      </w:r>
      <w:r w:rsidR="0099642C">
        <w:t>0</w:t>
      </w:r>
      <w:r w:rsidR="00632344">
        <w:t>.010 (range: -</w:t>
      </w:r>
      <w:r w:rsidR="0099642C">
        <w:t>0</w:t>
      </w:r>
      <w:r w:rsidR="00632344">
        <w:t>.077, 0.033)</w:t>
      </w:r>
      <w:r w:rsidR="004E0137">
        <w:t xml:space="preserve">, while continental cities generally increased in NDVI (median: 0.006, range: -.035, 0.048). Like arid cities, the </w:t>
      </w:r>
      <w:r w:rsidR="004E0137">
        <w:lastRenderedPageBreak/>
        <w:t xml:space="preserve">median change in urban greenspace across temperate cities was close to zero (-0.001), </w:t>
      </w:r>
      <w:r w:rsidR="009937AF">
        <w:t xml:space="preserve">with increases and decreases across individual cities </w:t>
      </w:r>
      <w:r w:rsidR="004E0137">
        <w:t xml:space="preserve">(range: -0.045, </w:t>
      </w:r>
      <w:r w:rsidR="0099642C">
        <w:t>0</w:t>
      </w:r>
      <w:r w:rsidR="004E0137">
        <w:t>.064).</w:t>
      </w:r>
    </w:p>
    <w:p w14:paraId="5F4F61FE" w14:textId="63BF5A05" w:rsidR="00D81AD7" w:rsidRDefault="00D81AD7" w:rsidP="00551D54"/>
    <w:p w14:paraId="728AACCD" w14:textId="2918EAAE" w:rsidR="00D81AD7" w:rsidRDefault="00E8527A" w:rsidP="00551D54">
      <w:pPr>
        <w:rPr>
          <w:i/>
          <w:iCs/>
        </w:rPr>
      </w:pPr>
      <w:r>
        <w:t>The median percent change in population-weighted peak season NDVI was -0.01% in arid, -</w:t>
      </w:r>
      <w:r w:rsidR="00BB7EA8">
        <w:t>0</w:t>
      </w:r>
      <w:r>
        <w:t>.2% in temperate, +1.7% in continental, and -3.1% in tropical cities</w:t>
      </w:r>
      <w:r w:rsidR="00595207">
        <w:t xml:space="preserve"> (Fig. 4B)</w:t>
      </w:r>
      <w:r>
        <w:t xml:space="preserve">. </w:t>
      </w:r>
      <w:r w:rsidR="00241086">
        <w:t xml:space="preserve">Temperate cities had the largest spread in relative terms (44.8 percentage points) compared to continental (20.8), tropical (37.4) and arid (29.1) cities. </w:t>
      </w:r>
      <w:r w:rsidR="002F18D4">
        <w:t xml:space="preserve">NDVI decreased by about 20% in three tropical cities (Goma, Democratic Republic of </w:t>
      </w:r>
      <w:proofErr w:type="gramStart"/>
      <w:r w:rsidR="002F18D4">
        <w:t>the Congo</w:t>
      </w:r>
      <w:proofErr w:type="gramEnd"/>
      <w:r w:rsidR="002F18D4">
        <w:t xml:space="preserve">; </w:t>
      </w:r>
      <w:proofErr w:type="spellStart"/>
      <w:r w:rsidR="002F18D4">
        <w:t>Yaounde</w:t>
      </w:r>
      <w:proofErr w:type="spellEnd"/>
      <w:r w:rsidR="002F18D4">
        <w:t xml:space="preserve">, Cameroon; and </w:t>
      </w:r>
      <w:proofErr w:type="spellStart"/>
      <w:r w:rsidR="002F18D4">
        <w:t>Mataram</w:t>
      </w:r>
      <w:proofErr w:type="spellEnd"/>
      <w:r w:rsidR="002F18D4">
        <w:t xml:space="preserve">, Indonesia) and increased by over 20% in </w:t>
      </w:r>
      <w:r w:rsidR="006C1F22">
        <w:t>three temperate cities (Zhengzhou, Shiyan, and Zhenjiang, China) and two continental cities (Pyongyang, North Korea</w:t>
      </w:r>
      <w:r w:rsidR="00DC3D1D">
        <w:t xml:space="preserve">; and </w:t>
      </w:r>
      <w:r w:rsidR="006C1F22" w:rsidRPr="006C1F22">
        <w:t>Rizhao</w:t>
      </w:r>
      <w:r w:rsidR="006C1F22">
        <w:t xml:space="preserve">, China).  </w:t>
      </w:r>
    </w:p>
    <w:p w14:paraId="7B7D81F4" w14:textId="7800012D" w:rsidR="00346FF4" w:rsidRDefault="00D33D88" w:rsidP="00551D54">
      <w:pPr>
        <w:rPr>
          <w:i/>
          <w:iCs/>
        </w:rPr>
      </w:pPr>
      <w:r>
        <w:rPr>
          <w:b/>
          <w:bCs/>
          <w:i/>
          <w:iCs/>
          <w:noProof/>
        </w:rPr>
        <w:drawing>
          <wp:anchor distT="0" distB="0" distL="114300" distR="114300" simplePos="0" relativeHeight="251682816" behindDoc="1" locked="0" layoutInCell="1" allowOverlap="1" wp14:anchorId="4FF52554" wp14:editId="134B8FDE">
            <wp:simplePos x="0" y="0"/>
            <wp:positionH relativeFrom="column">
              <wp:posOffset>-15240</wp:posOffset>
            </wp:positionH>
            <wp:positionV relativeFrom="paragraph">
              <wp:posOffset>156845</wp:posOffset>
            </wp:positionV>
            <wp:extent cx="5943600" cy="5943600"/>
            <wp:effectExtent l="0" t="0" r="0" b="0"/>
            <wp:wrapTight wrapText="bothSides">
              <wp:wrapPolygon edited="0">
                <wp:start x="138" y="0"/>
                <wp:lineTo x="0" y="323"/>
                <wp:lineTo x="0" y="462"/>
                <wp:lineTo x="2862" y="738"/>
                <wp:lineTo x="1985" y="1477"/>
                <wp:lineTo x="1985" y="1662"/>
                <wp:lineTo x="2631" y="2215"/>
                <wp:lineTo x="2862" y="2215"/>
                <wp:lineTo x="2862" y="2954"/>
                <wp:lineTo x="1292" y="3415"/>
                <wp:lineTo x="692" y="3646"/>
                <wp:lineTo x="692" y="3923"/>
                <wp:lineTo x="2215" y="4431"/>
                <wp:lineTo x="2862" y="4431"/>
                <wp:lineTo x="2862" y="5169"/>
                <wp:lineTo x="831" y="5769"/>
                <wp:lineTo x="923" y="6046"/>
                <wp:lineTo x="2538" y="6646"/>
                <wp:lineTo x="2862" y="6646"/>
                <wp:lineTo x="2862" y="7385"/>
                <wp:lineTo x="1292" y="7938"/>
                <wp:lineTo x="1385" y="8215"/>
                <wp:lineTo x="2677" y="8862"/>
                <wp:lineTo x="2862" y="8862"/>
                <wp:lineTo x="2862" y="9462"/>
                <wp:lineTo x="3462" y="9600"/>
                <wp:lineTo x="3415" y="9923"/>
                <wp:lineTo x="6692" y="10338"/>
                <wp:lineTo x="0" y="10754"/>
                <wp:lineTo x="0" y="11262"/>
                <wp:lineTo x="2862" y="11815"/>
                <wp:lineTo x="1985" y="12231"/>
                <wp:lineTo x="1985" y="12508"/>
                <wp:lineTo x="2862" y="12554"/>
                <wp:lineTo x="2862" y="14031"/>
                <wp:lineTo x="738" y="14400"/>
                <wp:lineTo x="738" y="14769"/>
                <wp:lineTo x="2862" y="14769"/>
                <wp:lineTo x="2862" y="16246"/>
                <wp:lineTo x="877" y="16523"/>
                <wp:lineTo x="877" y="16985"/>
                <wp:lineTo x="2862" y="16985"/>
                <wp:lineTo x="2862" y="18462"/>
                <wp:lineTo x="1338" y="18692"/>
                <wp:lineTo x="1338" y="19108"/>
                <wp:lineTo x="2862" y="19200"/>
                <wp:lineTo x="2862" y="20215"/>
                <wp:lineTo x="3692" y="20677"/>
                <wp:lineTo x="4154" y="20677"/>
                <wp:lineTo x="4154" y="20908"/>
                <wp:lineTo x="7800" y="21369"/>
                <wp:lineTo x="9646" y="21462"/>
                <wp:lineTo x="9877" y="21462"/>
                <wp:lineTo x="16200" y="21369"/>
                <wp:lineTo x="21323" y="21046"/>
                <wp:lineTo x="21415" y="19938"/>
                <wp:lineTo x="21462" y="11031"/>
                <wp:lineTo x="17585" y="10338"/>
                <wp:lineTo x="19523" y="9923"/>
                <wp:lineTo x="19338" y="9600"/>
                <wp:lineTo x="21508" y="9462"/>
                <wp:lineTo x="21508" y="185"/>
                <wp:lineTo x="415" y="0"/>
                <wp:lineTo x="138" y="0"/>
              </wp:wrapPolygon>
            </wp:wrapTight>
            <wp:docPr id="7608265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26567" name="Picture 760826567"/>
                    <pic:cNvPicPr/>
                  </pic:nvPicPr>
                  <pic:blipFill>
                    <a:blip r:embed="rId12"/>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70CC2C59" w14:textId="1CFAC3D7" w:rsidR="00346FF4" w:rsidRDefault="00346FF4" w:rsidP="00551D54">
      <w:pPr>
        <w:rPr>
          <w:i/>
          <w:iCs/>
        </w:rPr>
      </w:pPr>
    </w:p>
    <w:p w14:paraId="678D4FA7" w14:textId="47CF5412" w:rsidR="00346FF4" w:rsidRDefault="00346FF4" w:rsidP="00551D54">
      <w:pPr>
        <w:rPr>
          <w:i/>
          <w:iCs/>
        </w:rPr>
      </w:pPr>
    </w:p>
    <w:p w14:paraId="2D30E13B" w14:textId="380C094F" w:rsidR="00346FF4" w:rsidRDefault="00346FF4" w:rsidP="00551D54">
      <w:pPr>
        <w:rPr>
          <w:i/>
          <w:iCs/>
        </w:rPr>
      </w:pPr>
    </w:p>
    <w:p w14:paraId="1663D727" w14:textId="40CDF41D" w:rsidR="00346FF4" w:rsidRDefault="00346FF4" w:rsidP="00551D54">
      <w:pPr>
        <w:rPr>
          <w:i/>
          <w:iCs/>
        </w:rPr>
      </w:pPr>
    </w:p>
    <w:p w14:paraId="67DBD47F" w14:textId="381AE343" w:rsidR="00346FF4" w:rsidRDefault="00346FF4" w:rsidP="00551D54">
      <w:pPr>
        <w:rPr>
          <w:i/>
          <w:iCs/>
        </w:rPr>
      </w:pPr>
    </w:p>
    <w:p w14:paraId="35334F05" w14:textId="7A8D5C4D" w:rsidR="00346FF4" w:rsidRDefault="00346FF4" w:rsidP="00551D54">
      <w:pPr>
        <w:rPr>
          <w:i/>
          <w:iCs/>
        </w:rPr>
      </w:pPr>
    </w:p>
    <w:p w14:paraId="075249C8" w14:textId="1C1AE372" w:rsidR="00346FF4" w:rsidRDefault="00346FF4" w:rsidP="00551D54">
      <w:pPr>
        <w:rPr>
          <w:i/>
          <w:iCs/>
        </w:rPr>
      </w:pPr>
    </w:p>
    <w:p w14:paraId="53039100" w14:textId="4E944E6D" w:rsidR="007E27F5" w:rsidRDefault="007E27F5" w:rsidP="00551D54">
      <w:pPr>
        <w:rPr>
          <w:i/>
          <w:iCs/>
        </w:rPr>
      </w:pPr>
    </w:p>
    <w:p w14:paraId="73D5A35A" w14:textId="2A91866A" w:rsidR="007E27F5" w:rsidRDefault="007E27F5" w:rsidP="00551D54">
      <w:pPr>
        <w:rPr>
          <w:i/>
          <w:iCs/>
        </w:rPr>
      </w:pPr>
    </w:p>
    <w:p w14:paraId="2B670F03" w14:textId="2BDE49AE" w:rsidR="007E27F5" w:rsidRDefault="007E27F5" w:rsidP="00551D54">
      <w:pPr>
        <w:rPr>
          <w:i/>
          <w:iCs/>
        </w:rPr>
      </w:pPr>
    </w:p>
    <w:p w14:paraId="3E17FB03" w14:textId="09BD6265" w:rsidR="007E27F5" w:rsidRDefault="007E27F5" w:rsidP="00551D54">
      <w:pPr>
        <w:rPr>
          <w:i/>
          <w:iCs/>
        </w:rPr>
      </w:pPr>
    </w:p>
    <w:p w14:paraId="3563E5E4" w14:textId="4174696D" w:rsidR="007E27F5" w:rsidRDefault="007E27F5" w:rsidP="00551D54">
      <w:pPr>
        <w:rPr>
          <w:i/>
          <w:iCs/>
        </w:rPr>
      </w:pPr>
    </w:p>
    <w:p w14:paraId="7802E473" w14:textId="29FD3EEF" w:rsidR="007E27F5" w:rsidRDefault="007E27F5" w:rsidP="00551D54">
      <w:pPr>
        <w:rPr>
          <w:i/>
          <w:iCs/>
        </w:rPr>
      </w:pPr>
    </w:p>
    <w:p w14:paraId="6BE79226" w14:textId="73642379" w:rsidR="007E27F5" w:rsidRDefault="007E27F5" w:rsidP="00551D54">
      <w:pPr>
        <w:rPr>
          <w:i/>
          <w:iCs/>
        </w:rPr>
      </w:pPr>
    </w:p>
    <w:p w14:paraId="076C7589" w14:textId="63B1D230" w:rsidR="007E27F5" w:rsidRDefault="007E27F5" w:rsidP="00551D54">
      <w:pPr>
        <w:rPr>
          <w:i/>
          <w:iCs/>
        </w:rPr>
      </w:pPr>
    </w:p>
    <w:p w14:paraId="14939B27" w14:textId="37D97798" w:rsidR="007E27F5" w:rsidRDefault="007E27F5" w:rsidP="00551D54">
      <w:pPr>
        <w:rPr>
          <w:i/>
          <w:iCs/>
        </w:rPr>
      </w:pPr>
    </w:p>
    <w:p w14:paraId="7986EA36" w14:textId="2CCDDB3C" w:rsidR="007E27F5" w:rsidRDefault="007E27F5" w:rsidP="00551D54">
      <w:pPr>
        <w:rPr>
          <w:i/>
          <w:iCs/>
        </w:rPr>
      </w:pPr>
    </w:p>
    <w:p w14:paraId="7E89FE51" w14:textId="1EE79AE5" w:rsidR="007E27F5" w:rsidRDefault="007E27F5" w:rsidP="00551D54">
      <w:pPr>
        <w:rPr>
          <w:i/>
          <w:iCs/>
        </w:rPr>
      </w:pPr>
    </w:p>
    <w:p w14:paraId="6A995FC5" w14:textId="6098102A" w:rsidR="007E27F5" w:rsidRDefault="007E27F5" w:rsidP="00551D54">
      <w:pPr>
        <w:rPr>
          <w:i/>
          <w:iCs/>
        </w:rPr>
      </w:pPr>
    </w:p>
    <w:p w14:paraId="6467C3FA" w14:textId="094ABD77" w:rsidR="007E27F5" w:rsidRDefault="007E27F5" w:rsidP="00551D54">
      <w:pPr>
        <w:rPr>
          <w:i/>
          <w:iCs/>
        </w:rPr>
      </w:pPr>
    </w:p>
    <w:p w14:paraId="669EB7CF" w14:textId="7323FEA7" w:rsidR="007E27F5" w:rsidRDefault="007E27F5" w:rsidP="00551D54">
      <w:pPr>
        <w:rPr>
          <w:i/>
          <w:iCs/>
        </w:rPr>
      </w:pPr>
    </w:p>
    <w:p w14:paraId="475231FA" w14:textId="72E15AA0" w:rsidR="007E27F5" w:rsidRDefault="007E27F5" w:rsidP="00551D54">
      <w:pPr>
        <w:rPr>
          <w:i/>
          <w:iCs/>
        </w:rPr>
      </w:pPr>
    </w:p>
    <w:p w14:paraId="50050021" w14:textId="064F4AAB" w:rsidR="007E27F5" w:rsidRDefault="007E27F5" w:rsidP="00551D54">
      <w:pPr>
        <w:rPr>
          <w:i/>
          <w:iCs/>
        </w:rPr>
      </w:pPr>
    </w:p>
    <w:p w14:paraId="018DF7FB" w14:textId="267369D9" w:rsidR="007E27F5" w:rsidRDefault="007E27F5" w:rsidP="007E27F5">
      <w:pPr>
        <w:rPr>
          <w:i/>
          <w:iCs/>
        </w:rPr>
      </w:pPr>
      <w:r w:rsidRPr="0049174D">
        <w:rPr>
          <w:b/>
          <w:bCs/>
          <w:i/>
          <w:iCs/>
        </w:rPr>
        <w:lastRenderedPageBreak/>
        <w:t xml:space="preserve">Figure </w:t>
      </w:r>
      <w:r>
        <w:rPr>
          <w:b/>
          <w:bCs/>
          <w:i/>
          <w:iCs/>
        </w:rPr>
        <w:t>4</w:t>
      </w:r>
      <w:r w:rsidRPr="0049174D">
        <w:rPr>
          <w:b/>
          <w:bCs/>
          <w:i/>
          <w:iCs/>
        </w:rPr>
        <w:t>.</w:t>
      </w:r>
      <w:r w:rsidRPr="0049174D">
        <w:rPr>
          <w:i/>
          <w:iCs/>
        </w:rPr>
        <w:t xml:space="preserve"> </w:t>
      </w:r>
      <w:r>
        <w:rPr>
          <w:i/>
          <w:iCs/>
        </w:rPr>
        <w:t>Change in</w:t>
      </w:r>
      <w:r w:rsidR="00B47F84">
        <w:rPr>
          <w:i/>
          <w:iCs/>
        </w:rPr>
        <w:t xml:space="preserve"> city</w:t>
      </w:r>
      <w:r>
        <w:rPr>
          <w:i/>
          <w:iCs/>
        </w:rPr>
        <w:t xml:space="preserve"> </w:t>
      </w:r>
      <w:r w:rsidR="001E26CD">
        <w:rPr>
          <w:i/>
          <w:iCs/>
        </w:rPr>
        <w:t xml:space="preserve">average </w:t>
      </w:r>
      <w:r>
        <w:rPr>
          <w:i/>
          <w:iCs/>
        </w:rPr>
        <w:t xml:space="preserve">population-weighted greenest season Normalized Difference Vegetation Index </w:t>
      </w:r>
      <w:r w:rsidR="000D7E31">
        <w:rPr>
          <w:i/>
          <w:iCs/>
        </w:rPr>
        <w:t xml:space="preserve">(NDVI) </w:t>
      </w:r>
      <w:r>
        <w:rPr>
          <w:i/>
          <w:iCs/>
        </w:rPr>
        <w:t>from 2014-2018 to 2019-2023 in absolute (panel A) and relative (panel B) terms, by</w:t>
      </w:r>
      <w:r w:rsidR="007923E0">
        <w:rPr>
          <w:i/>
          <w:iCs/>
        </w:rPr>
        <w:t xml:space="preserve"> Köppen-Geiger</w:t>
      </w:r>
      <w:r>
        <w:rPr>
          <w:i/>
          <w:iCs/>
        </w:rPr>
        <w:t xml:space="preserve"> climate classification.</w:t>
      </w:r>
      <w:r w:rsidR="00A91321" w:rsidRPr="00A91321">
        <w:rPr>
          <w:i/>
          <w:iCs/>
        </w:rPr>
        <w:t xml:space="preserve"> </w:t>
      </w:r>
      <w:r w:rsidR="00A91321">
        <w:rPr>
          <w:i/>
          <w:iCs/>
        </w:rPr>
        <w:t>Each dot represents a city, colored by climate classification.</w:t>
      </w:r>
      <w:r>
        <w:rPr>
          <w:i/>
          <w:iCs/>
        </w:rPr>
        <w:t xml:space="preserve"> </w:t>
      </w:r>
      <w:r w:rsidR="0020779B">
        <w:rPr>
          <w:i/>
          <w:iCs/>
        </w:rPr>
        <w:t xml:space="preserve">One city classified as “Polar” was removed from the figure (El Alto, Bolivia; change in </w:t>
      </w:r>
      <w:r w:rsidR="00906451">
        <w:rPr>
          <w:i/>
          <w:iCs/>
        </w:rPr>
        <w:t>NDVI: -</w:t>
      </w:r>
      <w:r w:rsidR="0020779B">
        <w:rPr>
          <w:i/>
          <w:iCs/>
        </w:rPr>
        <w:t xml:space="preserve">0.013 (-10.5%)). </w:t>
      </w:r>
    </w:p>
    <w:p w14:paraId="5089F917" w14:textId="4A54B924" w:rsidR="007E27F5" w:rsidRDefault="007E27F5" w:rsidP="00551D54">
      <w:pPr>
        <w:rPr>
          <w:i/>
          <w:iCs/>
        </w:rPr>
      </w:pPr>
    </w:p>
    <w:p w14:paraId="20BB1544" w14:textId="0C0F4B17" w:rsidR="005C0060" w:rsidRDefault="005C0060" w:rsidP="005C0060">
      <w:r>
        <w:t xml:space="preserve">Globally, NDVI changes from 2014-2018 to 2019-2023 were associated with an estimated </w:t>
      </w:r>
      <w:r w:rsidR="00C97E06">
        <w:t>mean</w:t>
      </w:r>
      <w:r>
        <w:t xml:space="preserve"> of </w:t>
      </w:r>
      <w:r w:rsidR="00BB6EFB" w:rsidRPr="00BB6EFB">
        <w:t xml:space="preserve">0.19 </w:t>
      </w:r>
      <w:r>
        <w:t xml:space="preserve">(95% CI: </w:t>
      </w:r>
      <w:r w:rsidR="00BB6EFB">
        <w:t>0.15</w:t>
      </w:r>
      <w:r>
        <w:t xml:space="preserve">, </w:t>
      </w:r>
      <w:r w:rsidR="00BB6EFB">
        <w:t>0.25</w:t>
      </w:r>
      <w:r>
        <w:t xml:space="preserve">) more all-cause premature deaths per 100,000 annually to the 2020 population (Fig. </w:t>
      </w:r>
      <w:r w:rsidR="00BE60DF">
        <w:t>5</w:t>
      </w:r>
      <w:r>
        <w:t>). The premature mortality impact from urban greenspace change was not evenly distributed around the world</w:t>
      </w:r>
      <w:r w:rsidR="005F0ECE">
        <w:t>, with fewer associated deaths in areas that experience</w:t>
      </w:r>
      <w:r w:rsidR="00165473">
        <w:t>d</w:t>
      </w:r>
      <w:r w:rsidR="005F0ECE">
        <w:t xml:space="preserve"> increases in NDVI across the time periods and more associated deaths in areas where NDVI decreased</w:t>
      </w:r>
      <w:r w:rsidR="00BE60DF">
        <w:t xml:space="preserve"> (Fig. 5A</w:t>
      </w:r>
      <w:r w:rsidR="00370984">
        <w:t xml:space="preserve"> &amp; 5B</w:t>
      </w:r>
      <w:r w:rsidR="00BE60DF">
        <w:t>)</w:t>
      </w:r>
      <w:r>
        <w:t xml:space="preserve">. </w:t>
      </w:r>
      <w:r w:rsidR="005F0ECE">
        <w:t xml:space="preserve">The range in associated mortality from greenspace changes spanned fewer to more deaths, reflecting that there were cities across all regions that experienced both increases and decreases in NDVI. </w:t>
      </w:r>
      <w:r>
        <w:t xml:space="preserve">Changes in associated deaths closely mirrored trends in NDVI, with the largest </w:t>
      </w:r>
      <w:r w:rsidR="00085466">
        <w:t xml:space="preserve">median </w:t>
      </w:r>
      <w:r>
        <w:t xml:space="preserve">reductions in Eastern Asia. </w:t>
      </w:r>
      <w:r w:rsidR="00780EEA">
        <w:t xml:space="preserve">Due to several city outliers with large increases in urban greenspace, </w:t>
      </w:r>
      <w:r w:rsidR="00085466">
        <w:t>Eastern Europe had the largest mean reductions in deaths, with an estimated average of 7.05 (95%</w:t>
      </w:r>
      <w:r w:rsidR="00616FAE">
        <w:t xml:space="preserve"> </w:t>
      </w:r>
      <w:r w:rsidR="00085466">
        <w:t xml:space="preserve">CI: 5.14, 11.00) avoided deaths per 100,000.  </w:t>
      </w:r>
      <w:r>
        <w:t xml:space="preserve">Eastern Asia had a </w:t>
      </w:r>
      <w:r w:rsidR="00B75AD6">
        <w:t xml:space="preserve">mean </w:t>
      </w:r>
      <w:r>
        <w:t xml:space="preserve">reduction of </w:t>
      </w:r>
      <w:r w:rsidR="00DD7A8E">
        <w:t>4.</w:t>
      </w:r>
      <w:r w:rsidR="00B75AD6">
        <w:t>18</w:t>
      </w:r>
      <w:r w:rsidR="00DD7A8E">
        <w:t xml:space="preserve"> (</w:t>
      </w:r>
      <w:r w:rsidR="00B75AD6">
        <w:t>95% CI: 2.70, 7.33</w:t>
      </w:r>
      <w:r w:rsidR="00DD7A8E">
        <w:t>)</w:t>
      </w:r>
      <w:r>
        <w:t xml:space="preserve"> annual premature deaths per 100,000 population, though even within this region there was substantial variation across cities, ranging from</w:t>
      </w:r>
      <w:r w:rsidR="000E0AD4">
        <w:t xml:space="preserve"> </w:t>
      </w:r>
      <w:r w:rsidR="00DD7A8E">
        <w:t>21.25</w:t>
      </w:r>
      <w:r w:rsidR="000E0AD4">
        <w:t xml:space="preserve"> fewer premature deaths per 100,000 in Shiyan, China to</w:t>
      </w:r>
      <w:r>
        <w:t xml:space="preserve"> </w:t>
      </w:r>
      <w:r w:rsidR="00DD7A8E">
        <w:t>13.72</w:t>
      </w:r>
      <w:r>
        <w:t xml:space="preserve"> more premature deaths per 100,000 in Hiroshima, Japan. Southeastern Asia and Sub-Saharan Africa had the highest increase in health burdens, with </w:t>
      </w:r>
      <w:r w:rsidR="00B75AD6">
        <w:t xml:space="preserve">means </w:t>
      </w:r>
      <w:r>
        <w:t xml:space="preserve">of </w:t>
      </w:r>
      <w:r w:rsidR="00B75AD6">
        <w:t>3.4</w:t>
      </w:r>
      <w:r w:rsidR="00DD7A8E">
        <w:t xml:space="preserve"> (</w:t>
      </w:r>
      <w:r w:rsidR="00B75AD6">
        <w:t>95%</w:t>
      </w:r>
      <w:r w:rsidR="00E57E5E">
        <w:t xml:space="preserve"> </w:t>
      </w:r>
      <w:r w:rsidR="00B75AD6">
        <w:t>CI: 2.17, 6.03</w:t>
      </w:r>
      <w:r w:rsidR="00DD7A8E">
        <w:t>)</w:t>
      </w:r>
      <w:r>
        <w:t xml:space="preserve"> and </w:t>
      </w:r>
      <w:r w:rsidR="00B75AD6">
        <w:t>4.58</w:t>
      </w:r>
      <w:r w:rsidR="00DD7A8E">
        <w:t xml:space="preserve"> (</w:t>
      </w:r>
      <w:r w:rsidR="00B75AD6">
        <w:t>95% CI: 2.99, 7.93</w:t>
      </w:r>
      <w:r w:rsidR="00DD7A8E">
        <w:t>)</w:t>
      </w:r>
      <w:r>
        <w:t xml:space="preserve"> more deaths per 100,000 respectively. Substantial intra-regional variation existed for these regions as well- ranging from </w:t>
      </w:r>
      <w:r w:rsidR="00DD7A8E">
        <w:t>3.75</w:t>
      </w:r>
      <w:r w:rsidR="00F92D13">
        <w:t xml:space="preserve"> fewer</w:t>
      </w:r>
      <w:r w:rsidR="00F92D13" w:rsidRPr="00F92D13">
        <w:t xml:space="preserve"> </w:t>
      </w:r>
      <w:r w:rsidR="00F92D13">
        <w:t>deaths to</w:t>
      </w:r>
      <w:r w:rsidR="00DD7A8E">
        <w:t xml:space="preserve"> 21.84</w:t>
      </w:r>
      <w:r>
        <w:t xml:space="preserve"> more deaths per 100,000 in South-eastern Asia and from </w:t>
      </w:r>
      <w:r w:rsidR="00DD7A8E">
        <w:t>9.04</w:t>
      </w:r>
      <w:r w:rsidR="00F92D13">
        <w:t xml:space="preserve"> fewer deaths to </w:t>
      </w:r>
      <w:r w:rsidR="00DD7A8E">
        <w:t>21.45</w:t>
      </w:r>
      <w:r>
        <w:t xml:space="preserve"> more deaths per 100,000 in Sub-Saharan Africa.</w:t>
      </w:r>
      <w:r w:rsidR="00BB7EA8" w:rsidRPr="00BB7EA8">
        <w:t xml:space="preserve"> </w:t>
      </w:r>
      <w:r w:rsidR="00B75AD6">
        <w:t>In absolute terms, Eastern Asia had the largest health gains from changes in NDVI with an estimated 20,</w:t>
      </w:r>
      <w:r w:rsidR="008A51B6">
        <w:t>600</w:t>
      </w:r>
      <w:r w:rsidR="00B75AD6">
        <w:t xml:space="preserve"> avoided deaths (95%CI: 13,</w:t>
      </w:r>
      <w:r w:rsidR="008A51B6">
        <w:t>300</w:t>
      </w:r>
      <w:r w:rsidR="00B75AD6">
        <w:t>, 36,</w:t>
      </w:r>
      <w:r w:rsidR="008A51B6">
        <w:t>100</w:t>
      </w:r>
      <w:r w:rsidR="00B75AD6">
        <w:t xml:space="preserve">) across all cities. Sub-Saharan Africa has the greatest </w:t>
      </w:r>
      <w:r w:rsidR="001821A1">
        <w:t xml:space="preserve">absolute </w:t>
      </w:r>
      <w:r w:rsidR="00B75AD6">
        <w:t>health burden from urban greenspace changes, with a total of 9,1</w:t>
      </w:r>
      <w:r w:rsidR="008A51B6">
        <w:t>00</w:t>
      </w:r>
      <w:r w:rsidR="00B75AD6">
        <w:t xml:space="preserve"> more deaths (95% CI: </w:t>
      </w:r>
      <w:r w:rsidR="008A51B6">
        <w:t>6,000</w:t>
      </w:r>
      <w:r w:rsidR="00B75AD6">
        <w:t>, 15</w:t>
      </w:r>
      <w:r w:rsidR="008A51B6">
        <w:t>,</w:t>
      </w:r>
      <w:r w:rsidR="00B75AD6">
        <w:t>80</w:t>
      </w:r>
      <w:r w:rsidR="008A51B6">
        <w:t>0</w:t>
      </w:r>
      <w:r w:rsidR="00B75AD6">
        <w:t xml:space="preserve">). </w:t>
      </w:r>
    </w:p>
    <w:p w14:paraId="57051E70" w14:textId="7F1415BB" w:rsidR="005C0060" w:rsidRDefault="005C0060" w:rsidP="00346FF4"/>
    <w:p w14:paraId="5ABED03B" w14:textId="1C7B316D" w:rsidR="00346FF4" w:rsidRDefault="000030D9" w:rsidP="00346FF4">
      <w:r>
        <w:t xml:space="preserve">We also considered </w:t>
      </w:r>
      <w:r w:rsidR="00B47F84">
        <w:t>NDVI-associated mortality changes by climate classification</w:t>
      </w:r>
      <w:r w:rsidR="00370984">
        <w:t xml:space="preserve"> (Fig. 5C &amp;5D)</w:t>
      </w:r>
      <w:r>
        <w:t>. Arid cities had stable NDVI values over time, and this was reflected in</w:t>
      </w:r>
      <w:r w:rsidR="00B47F84">
        <w:t xml:space="preserve"> t</w:t>
      </w:r>
      <w:r w:rsidR="00346FF4">
        <w:t xml:space="preserve">he </w:t>
      </w:r>
      <w:r w:rsidR="002D71DD">
        <w:t xml:space="preserve">average </w:t>
      </w:r>
      <w:r>
        <w:t xml:space="preserve">associated </w:t>
      </w:r>
      <w:r w:rsidR="00346FF4">
        <w:t>change</w:t>
      </w:r>
      <w:r>
        <w:t>s</w:t>
      </w:r>
      <w:r w:rsidR="00346FF4">
        <w:t xml:space="preserve"> in mortality</w:t>
      </w:r>
      <w:r>
        <w:t xml:space="preserve">, which was very close to zero at </w:t>
      </w:r>
      <w:r w:rsidR="00346FF4">
        <w:t>0.0</w:t>
      </w:r>
      <w:r w:rsidR="002D71DD">
        <w:t>9 (95% CI: 0.60, 1.55)</w:t>
      </w:r>
      <w:r w:rsidR="00346FF4">
        <w:t xml:space="preserve"> fewer</w:t>
      </w:r>
      <w:r>
        <w:t xml:space="preserve"> deaths per 100,000 </w:t>
      </w:r>
      <w:r w:rsidR="001F396A">
        <w:t xml:space="preserve">(range: </w:t>
      </w:r>
      <w:r w:rsidR="00AA7C74">
        <w:t>12.90</w:t>
      </w:r>
      <w:r w:rsidR="001F396A">
        <w:t xml:space="preserve"> fewer to </w:t>
      </w:r>
      <w:r w:rsidR="00AA7C74">
        <w:t>12.14</w:t>
      </w:r>
      <w:r w:rsidR="001F396A">
        <w:t xml:space="preserve"> more)</w:t>
      </w:r>
      <w:r w:rsidR="00370984">
        <w:t>.</w:t>
      </w:r>
      <w:r w:rsidR="001F396A">
        <w:t xml:space="preserve"> </w:t>
      </w:r>
      <w:r w:rsidR="00346FF4">
        <w:t xml:space="preserve">Temperate cities were similarly </w:t>
      </w:r>
      <w:proofErr w:type="gramStart"/>
      <w:r w:rsidR="00346FF4">
        <w:t>fairly evenly</w:t>
      </w:r>
      <w:proofErr w:type="gramEnd"/>
      <w:r w:rsidR="00346FF4">
        <w:t xml:space="preserve"> distributed between those with fewer and more deaths associated with changes in NDVI </w:t>
      </w:r>
      <w:r w:rsidR="000440D9">
        <w:t>but</w:t>
      </w:r>
      <w:r w:rsidR="00346FF4">
        <w:t xml:space="preserve"> had a larger spread than arid cities. Temperate cities had a </w:t>
      </w:r>
      <w:r w:rsidR="002D71DD">
        <w:t xml:space="preserve">mean </w:t>
      </w:r>
      <w:r w:rsidR="00346FF4">
        <w:t xml:space="preserve">change of </w:t>
      </w:r>
      <w:r w:rsidR="0007308F">
        <w:t>0.</w:t>
      </w:r>
      <w:r w:rsidR="002D71DD">
        <w:t>76</w:t>
      </w:r>
      <w:r w:rsidR="00346FF4">
        <w:t xml:space="preserve"> </w:t>
      </w:r>
      <w:r w:rsidR="002D71DD">
        <w:t xml:space="preserve">(95% CI: 0.45, 1.32) fewer </w:t>
      </w:r>
      <w:r w:rsidR="00546D86">
        <w:t xml:space="preserve">deaths per 100,000 </w:t>
      </w:r>
      <w:r w:rsidR="001F396A">
        <w:t xml:space="preserve">(range: </w:t>
      </w:r>
      <w:r w:rsidR="0007308F">
        <w:t>21.15</w:t>
      </w:r>
      <w:r w:rsidR="001F396A">
        <w:t xml:space="preserve"> fewer to </w:t>
      </w:r>
      <w:r w:rsidR="0007308F">
        <w:t>14.83</w:t>
      </w:r>
      <w:r w:rsidR="001F396A">
        <w:t xml:space="preserve"> more).</w:t>
      </w:r>
      <w:r w:rsidR="00346FF4">
        <w:t xml:space="preserve"> </w:t>
      </w:r>
      <w:r w:rsidR="000440D9">
        <w:t>Tropical cities became</w:t>
      </w:r>
      <w:r w:rsidR="00DA2B23">
        <w:t>,</w:t>
      </w:r>
      <w:r w:rsidR="000440D9">
        <w:t xml:space="preserve"> on average</w:t>
      </w:r>
      <w:r w:rsidR="00DA2B23">
        <w:t>,</w:t>
      </w:r>
      <w:r w:rsidR="000440D9">
        <w:t xml:space="preserve"> less green over the past decade and had</w:t>
      </w:r>
      <w:r w:rsidR="00346FF4">
        <w:t xml:space="preserve"> a </w:t>
      </w:r>
      <w:r w:rsidR="002D71DD">
        <w:t xml:space="preserve">mean </w:t>
      </w:r>
      <w:r w:rsidR="00346FF4">
        <w:t xml:space="preserve">of </w:t>
      </w:r>
      <w:r w:rsidR="0007308F">
        <w:t>2.</w:t>
      </w:r>
      <w:r w:rsidR="002D71DD">
        <w:t>68 (95% CI: 1.75, 4.60)</w:t>
      </w:r>
      <w:r w:rsidR="00346FF4">
        <w:t xml:space="preserve"> more</w:t>
      </w:r>
      <w:r w:rsidR="00546D86">
        <w:t xml:space="preserve"> associated deaths per 100,000</w:t>
      </w:r>
      <w:r w:rsidR="00346FF4">
        <w:t xml:space="preserve"> </w:t>
      </w:r>
      <w:r w:rsidR="001F396A">
        <w:t>(range:</w:t>
      </w:r>
      <w:r w:rsidR="0007308F">
        <w:t xml:space="preserve"> 10.97</w:t>
      </w:r>
      <w:r w:rsidR="001F396A">
        <w:t xml:space="preserve"> fewer to </w:t>
      </w:r>
      <w:r w:rsidR="0007308F">
        <w:t>21.84</w:t>
      </w:r>
      <w:r w:rsidR="001F396A">
        <w:t xml:space="preserve"> more)</w:t>
      </w:r>
      <w:r w:rsidR="000440D9">
        <w:t xml:space="preserve">. In contrast, </w:t>
      </w:r>
      <w:r w:rsidR="00346FF4">
        <w:t xml:space="preserve">continental cities became slightly greener on and had a </w:t>
      </w:r>
      <w:r w:rsidR="008C087B">
        <w:t xml:space="preserve">mean </w:t>
      </w:r>
      <w:r w:rsidR="00346FF4">
        <w:t xml:space="preserve">of </w:t>
      </w:r>
      <w:r w:rsidR="002D71DD">
        <w:t>4.31 (95% CI: 2.88, 7.31)</w:t>
      </w:r>
      <w:r w:rsidR="0001260F">
        <w:t xml:space="preserve"> </w:t>
      </w:r>
      <w:r w:rsidR="00346FF4">
        <w:t>fewer</w:t>
      </w:r>
      <w:r w:rsidR="00546D86">
        <w:t xml:space="preserve"> associated deaths per 100,000</w:t>
      </w:r>
      <w:r w:rsidR="00346FF4">
        <w:t xml:space="preserve"> </w:t>
      </w:r>
      <w:r w:rsidR="001F396A">
        <w:t xml:space="preserve">(range: </w:t>
      </w:r>
      <w:r w:rsidR="0001260F">
        <w:t>24.44</w:t>
      </w:r>
      <w:r w:rsidR="001F396A">
        <w:t xml:space="preserve"> fewer to </w:t>
      </w:r>
      <w:r w:rsidR="0001260F">
        <w:t>14.50</w:t>
      </w:r>
      <w:r w:rsidR="001F396A">
        <w:t xml:space="preserve"> more)</w:t>
      </w:r>
      <w:r w:rsidR="00346FF4">
        <w:t>. The spread across all climate classifications spanned redu</w:t>
      </w:r>
      <w:r w:rsidR="00CC129C">
        <w:t>ctions</w:t>
      </w:r>
      <w:r w:rsidR="00346FF4">
        <w:t xml:space="preserve"> and </w:t>
      </w:r>
      <w:r w:rsidR="00CC129C">
        <w:t>additions in</w:t>
      </w:r>
      <w:r w:rsidR="00346FF4">
        <w:t xml:space="preserve"> deaths</w:t>
      </w:r>
      <w:r w:rsidR="00B64E23">
        <w:t>.</w:t>
      </w:r>
      <w:r w:rsidR="00EC4809">
        <w:t xml:space="preserve"> In absolute terms, there was an estimated 3,3</w:t>
      </w:r>
      <w:r w:rsidR="008A51B6">
        <w:t>00</w:t>
      </w:r>
      <w:r w:rsidR="00EC4809">
        <w:t xml:space="preserve"> fewer (95% CI: 2</w:t>
      </w:r>
      <w:r w:rsidR="008A51B6">
        <w:t>5</w:t>
      </w:r>
      <w:r w:rsidR="00EC4809">
        <w:t>,</w:t>
      </w:r>
      <w:r w:rsidR="008A51B6">
        <w:t>000</w:t>
      </w:r>
      <w:r w:rsidR="00EC4809">
        <w:t xml:space="preserve"> fewer- 16,</w:t>
      </w:r>
      <w:r w:rsidR="008A51B6">
        <w:t>600</w:t>
      </w:r>
      <w:r w:rsidR="00EC4809">
        <w:t xml:space="preserve"> more) greenspace-associated deaths</w:t>
      </w:r>
      <w:r w:rsidR="006010B2">
        <w:t xml:space="preserve"> globally</w:t>
      </w:r>
      <w:r w:rsidR="00EC4809">
        <w:t xml:space="preserve">. </w:t>
      </w:r>
      <w:r w:rsidR="008C087B">
        <w:t xml:space="preserve">Continental cities </w:t>
      </w:r>
      <w:r w:rsidR="009D4513">
        <w:t>had the greatest reductions, with an estimated 10,9</w:t>
      </w:r>
      <w:r w:rsidR="008A51B6">
        <w:t>00</w:t>
      </w:r>
      <w:r w:rsidR="009D4513">
        <w:t xml:space="preserve"> (95% CI: 7,30</w:t>
      </w:r>
      <w:r w:rsidR="008A51B6">
        <w:t>0</w:t>
      </w:r>
      <w:r w:rsidR="009D4513">
        <w:t>, 10,9</w:t>
      </w:r>
      <w:r w:rsidR="008A51B6">
        <w:t>00</w:t>
      </w:r>
      <w:r w:rsidR="009D4513">
        <w:t>) fewer deaths, while tropical cities had the greatest increases (17,3</w:t>
      </w:r>
      <w:r w:rsidR="008A51B6">
        <w:t>00</w:t>
      </w:r>
      <w:r w:rsidR="009D4513">
        <w:t>, 95% CI: 11,30</w:t>
      </w:r>
      <w:r w:rsidR="008A51B6">
        <w:t>0</w:t>
      </w:r>
      <w:r w:rsidR="009D4513">
        <w:t>, 29,8</w:t>
      </w:r>
      <w:r w:rsidR="008A51B6">
        <w:t>00</w:t>
      </w:r>
      <w:r w:rsidR="009D4513">
        <w:t>).</w:t>
      </w:r>
      <w:r w:rsidR="008C087B">
        <w:t xml:space="preserve"> </w:t>
      </w:r>
      <w:r w:rsidR="00C9580E">
        <w:t>Region</w:t>
      </w:r>
      <w:r w:rsidR="00FA6E41">
        <w:t>-</w:t>
      </w:r>
      <w:r w:rsidR="00C9580E">
        <w:t xml:space="preserve"> and climate classification</w:t>
      </w:r>
      <w:r w:rsidR="00FA6E41">
        <w:t xml:space="preserve">-wide </w:t>
      </w:r>
      <w:r w:rsidR="006E1AF3">
        <w:t>total</w:t>
      </w:r>
      <w:r w:rsidR="00F91ED5">
        <w:t xml:space="preserve"> attributable </w:t>
      </w:r>
      <w:r w:rsidR="00FA6E41">
        <w:t xml:space="preserve">deaths per 100,000 and the corresponding 95% </w:t>
      </w:r>
      <w:r w:rsidR="00FA6E41">
        <w:lastRenderedPageBreak/>
        <w:t>CIs can be found in the appendix (Fig. S</w:t>
      </w:r>
      <w:r w:rsidR="0012232D">
        <w:t>6</w:t>
      </w:r>
      <w:r w:rsidR="00B64E23">
        <w:t>, Table S1-S2</w:t>
      </w:r>
      <w:r w:rsidR="00FA6E41">
        <w:t>)</w:t>
      </w:r>
      <w:r w:rsidR="00727C61">
        <w:t>. Individual city mortality estimates are also provide</w:t>
      </w:r>
      <w:r w:rsidR="00CC66DA">
        <w:t>d</w:t>
      </w:r>
      <w:r w:rsidR="00727C61">
        <w:t xml:space="preserve"> (Table S3). </w:t>
      </w:r>
    </w:p>
    <w:p w14:paraId="6547561A" w14:textId="2955FD63" w:rsidR="00346FF4" w:rsidRDefault="00D33D88" w:rsidP="00346FF4">
      <w:pPr>
        <w:rPr>
          <w:i/>
          <w:iCs/>
        </w:rPr>
      </w:pPr>
      <w:r>
        <w:rPr>
          <w:noProof/>
        </w:rPr>
        <w:drawing>
          <wp:anchor distT="0" distB="0" distL="114300" distR="114300" simplePos="0" relativeHeight="251679744" behindDoc="1" locked="0" layoutInCell="1" allowOverlap="1" wp14:anchorId="06302DD6" wp14:editId="4ACE76E8">
            <wp:simplePos x="0" y="0"/>
            <wp:positionH relativeFrom="column">
              <wp:posOffset>-45720</wp:posOffset>
            </wp:positionH>
            <wp:positionV relativeFrom="paragraph">
              <wp:posOffset>294005</wp:posOffset>
            </wp:positionV>
            <wp:extent cx="5943600" cy="5943600"/>
            <wp:effectExtent l="0" t="0" r="0" b="0"/>
            <wp:wrapTight wrapText="bothSides">
              <wp:wrapPolygon edited="0">
                <wp:start x="138" y="0"/>
                <wp:lineTo x="0" y="323"/>
                <wp:lineTo x="0" y="462"/>
                <wp:lineTo x="3092" y="738"/>
                <wp:lineTo x="3277" y="1477"/>
                <wp:lineTo x="3138" y="2031"/>
                <wp:lineTo x="3369" y="2077"/>
                <wp:lineTo x="4015" y="2262"/>
                <wp:lineTo x="3046" y="2538"/>
                <wp:lineTo x="2908" y="4062"/>
                <wp:lineTo x="4431" y="4431"/>
                <wp:lineTo x="3738" y="4523"/>
                <wp:lineTo x="3323" y="4615"/>
                <wp:lineTo x="3323" y="5169"/>
                <wp:lineTo x="3508" y="5908"/>
                <wp:lineTo x="2631" y="6185"/>
                <wp:lineTo x="2677" y="6508"/>
                <wp:lineTo x="646" y="6738"/>
                <wp:lineTo x="600" y="7062"/>
                <wp:lineTo x="2538" y="7385"/>
                <wp:lineTo x="2538" y="7569"/>
                <wp:lineTo x="3692" y="8123"/>
                <wp:lineTo x="4062" y="8123"/>
                <wp:lineTo x="1569" y="8446"/>
                <wp:lineTo x="1569" y="8723"/>
                <wp:lineTo x="5815" y="8862"/>
                <wp:lineTo x="5446" y="9369"/>
                <wp:lineTo x="5446" y="9600"/>
                <wp:lineTo x="6831" y="10338"/>
                <wp:lineTo x="7154" y="10338"/>
                <wp:lineTo x="738" y="10708"/>
                <wp:lineTo x="0" y="10800"/>
                <wp:lineTo x="0" y="11308"/>
                <wp:lineTo x="4154" y="11815"/>
                <wp:lineTo x="5815" y="11815"/>
                <wp:lineTo x="5815" y="12554"/>
                <wp:lineTo x="5031" y="12738"/>
                <wp:lineTo x="5031" y="12969"/>
                <wp:lineTo x="5815" y="13292"/>
                <wp:lineTo x="5815" y="14031"/>
                <wp:lineTo x="3923" y="14446"/>
                <wp:lineTo x="3923" y="14769"/>
                <wp:lineTo x="5815" y="14769"/>
                <wp:lineTo x="5815" y="15508"/>
                <wp:lineTo x="4015" y="16246"/>
                <wp:lineTo x="4015" y="16431"/>
                <wp:lineTo x="5400" y="16985"/>
                <wp:lineTo x="5815" y="16985"/>
                <wp:lineTo x="5815" y="17723"/>
                <wp:lineTo x="4477" y="17908"/>
                <wp:lineTo x="4477" y="18185"/>
                <wp:lineTo x="5815" y="18462"/>
                <wp:lineTo x="5862" y="19938"/>
                <wp:lineTo x="5446" y="20169"/>
                <wp:lineTo x="5446" y="20354"/>
                <wp:lineTo x="6323" y="20677"/>
                <wp:lineTo x="6277" y="21046"/>
                <wp:lineTo x="7477" y="21369"/>
                <wp:lineTo x="8862" y="21462"/>
                <wp:lineTo x="9185" y="21462"/>
                <wp:lineTo x="12738" y="21369"/>
                <wp:lineTo x="20954" y="20908"/>
                <wp:lineTo x="20908" y="20677"/>
                <wp:lineTo x="21508" y="20400"/>
                <wp:lineTo x="21508" y="20169"/>
                <wp:lineTo x="20723" y="19938"/>
                <wp:lineTo x="21323" y="19938"/>
                <wp:lineTo x="21508" y="19754"/>
                <wp:lineTo x="21508" y="10985"/>
                <wp:lineTo x="11031" y="10338"/>
                <wp:lineTo x="17308" y="10338"/>
                <wp:lineTo x="21554" y="10062"/>
                <wp:lineTo x="21508" y="231"/>
                <wp:lineTo x="21138" y="185"/>
                <wp:lineTo x="12877" y="0"/>
                <wp:lineTo x="138" y="0"/>
              </wp:wrapPolygon>
            </wp:wrapTight>
            <wp:docPr id="1337524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24212" name="Picture 1337524212"/>
                    <pic:cNvPicPr/>
                  </pic:nvPicPr>
                  <pic:blipFill>
                    <a:blip r:embed="rId13"/>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7C7D073E" w14:textId="52DCC8E2" w:rsidR="00346FF4" w:rsidRDefault="00346FF4" w:rsidP="007E0BEF"/>
    <w:p w14:paraId="5958EDB6" w14:textId="088408FD" w:rsidR="007E0BEF" w:rsidRDefault="007E0BEF" w:rsidP="00551D54">
      <w:pPr>
        <w:rPr>
          <w:i/>
          <w:iCs/>
        </w:rPr>
      </w:pPr>
    </w:p>
    <w:p w14:paraId="4D8609CC" w14:textId="285F4818" w:rsidR="008443E7" w:rsidRDefault="008443E7" w:rsidP="00551D54">
      <w:pPr>
        <w:rPr>
          <w:i/>
          <w:iCs/>
        </w:rPr>
      </w:pPr>
    </w:p>
    <w:p w14:paraId="34534C29" w14:textId="5B1F2D37" w:rsidR="00EB77D4" w:rsidRDefault="00EB77D4" w:rsidP="00551D54">
      <w:pPr>
        <w:rPr>
          <w:i/>
          <w:iCs/>
        </w:rPr>
      </w:pPr>
    </w:p>
    <w:p w14:paraId="6295336C" w14:textId="18AA53BA" w:rsidR="00D10EF1" w:rsidRDefault="00D10EF1" w:rsidP="00551D54"/>
    <w:p w14:paraId="6EEB7B1B" w14:textId="59C8AC74" w:rsidR="00D10EF1" w:rsidRDefault="00D10EF1" w:rsidP="00551D54"/>
    <w:p w14:paraId="2E546CDB" w14:textId="4AC489A7" w:rsidR="00D10EF1" w:rsidRDefault="00D10EF1" w:rsidP="00551D54"/>
    <w:p w14:paraId="04C88F3A" w14:textId="6C949D2E" w:rsidR="00D10EF1" w:rsidRDefault="00D10EF1" w:rsidP="00551D54"/>
    <w:p w14:paraId="217736CB" w14:textId="1C5ED93D" w:rsidR="00D10EF1" w:rsidRDefault="00D10EF1" w:rsidP="00551D54"/>
    <w:p w14:paraId="1360A723" w14:textId="6B77D4DB" w:rsidR="00D10EF1" w:rsidRDefault="00D10EF1" w:rsidP="00551D54"/>
    <w:p w14:paraId="48DDCE01" w14:textId="23315990" w:rsidR="00D10EF1" w:rsidRDefault="00D10EF1" w:rsidP="00551D54"/>
    <w:p w14:paraId="5328D707" w14:textId="4A5FE395" w:rsidR="00D10EF1" w:rsidRDefault="00D10EF1" w:rsidP="00551D54"/>
    <w:p w14:paraId="241637EF" w14:textId="01CC8D35" w:rsidR="00D10EF1" w:rsidRDefault="00D10EF1" w:rsidP="00551D54"/>
    <w:p w14:paraId="75483409" w14:textId="3F3E6D8A" w:rsidR="00D10EF1" w:rsidRDefault="00D10EF1" w:rsidP="00551D54"/>
    <w:p w14:paraId="76F2E8D0" w14:textId="09EE33AB" w:rsidR="00D10EF1" w:rsidRDefault="00D10EF1" w:rsidP="00551D54"/>
    <w:p w14:paraId="56C983B7" w14:textId="5CD83A4E" w:rsidR="00D10EF1" w:rsidRDefault="00D10EF1" w:rsidP="00551D54"/>
    <w:p w14:paraId="10608FB6" w14:textId="4CDF3D76" w:rsidR="00D10EF1" w:rsidRDefault="00D10EF1" w:rsidP="00551D54"/>
    <w:p w14:paraId="3C280A3B" w14:textId="68331570" w:rsidR="00D10EF1" w:rsidRDefault="00D10EF1" w:rsidP="00551D54"/>
    <w:p w14:paraId="6969E91C" w14:textId="5BD76FE5" w:rsidR="00D10EF1" w:rsidRDefault="00D10EF1" w:rsidP="00551D54"/>
    <w:p w14:paraId="762A7D68" w14:textId="6C995CBB" w:rsidR="00D10EF1" w:rsidRDefault="00D10EF1" w:rsidP="00551D54"/>
    <w:p w14:paraId="1BED62CF" w14:textId="79D91A77" w:rsidR="00D10EF1" w:rsidRDefault="00D10EF1" w:rsidP="00551D54"/>
    <w:p w14:paraId="780EC024" w14:textId="18D9487C" w:rsidR="00D10EF1" w:rsidRDefault="00D10EF1" w:rsidP="00551D54"/>
    <w:p w14:paraId="107E2AE9" w14:textId="62BE7D42" w:rsidR="00D10EF1" w:rsidRDefault="00D10EF1" w:rsidP="00551D54"/>
    <w:p w14:paraId="7B69F0DA" w14:textId="40D8405E" w:rsidR="00D10EF1" w:rsidRDefault="00D10EF1" w:rsidP="00551D54"/>
    <w:p w14:paraId="376AF94E" w14:textId="432A257F" w:rsidR="00D10EF1" w:rsidRDefault="00D10EF1" w:rsidP="00551D54"/>
    <w:p w14:paraId="590A787A" w14:textId="42ED60B0" w:rsidR="00D10EF1" w:rsidRDefault="00D10EF1" w:rsidP="00551D54"/>
    <w:p w14:paraId="0ACAE32D" w14:textId="27A31AD4" w:rsidR="00D10EF1" w:rsidRDefault="00D10EF1" w:rsidP="00551D54"/>
    <w:p w14:paraId="376CE52A" w14:textId="3748F728" w:rsidR="00D10EF1" w:rsidRDefault="00D10EF1" w:rsidP="00551D54"/>
    <w:p w14:paraId="4825F050" w14:textId="053E7F98" w:rsidR="007727CC" w:rsidRDefault="007727CC" w:rsidP="00551D54">
      <w:pPr>
        <w:rPr>
          <w:b/>
          <w:bCs/>
          <w:i/>
          <w:iCs/>
        </w:rPr>
      </w:pPr>
    </w:p>
    <w:p w14:paraId="2D2F5804" w14:textId="47406AC5" w:rsidR="007727CC" w:rsidRDefault="007727CC" w:rsidP="00551D54">
      <w:pPr>
        <w:rPr>
          <w:b/>
          <w:bCs/>
          <w:i/>
          <w:iCs/>
        </w:rPr>
      </w:pPr>
    </w:p>
    <w:p w14:paraId="03C0D2F7" w14:textId="21D8D4D4" w:rsidR="007727CC" w:rsidRDefault="007727CC" w:rsidP="00551D54">
      <w:pPr>
        <w:rPr>
          <w:b/>
          <w:bCs/>
          <w:i/>
          <w:iCs/>
        </w:rPr>
      </w:pPr>
    </w:p>
    <w:p w14:paraId="5E7C09EB" w14:textId="2263ED3B" w:rsidR="0049174D" w:rsidRDefault="00D10EF1" w:rsidP="00551D54">
      <w:pPr>
        <w:rPr>
          <w:i/>
          <w:iCs/>
        </w:rPr>
      </w:pPr>
      <w:r w:rsidRPr="00D57F4C">
        <w:rPr>
          <w:b/>
          <w:bCs/>
          <w:i/>
          <w:iCs/>
        </w:rPr>
        <w:t xml:space="preserve">Figure </w:t>
      </w:r>
      <w:r w:rsidR="001C1F37">
        <w:rPr>
          <w:b/>
          <w:bCs/>
          <w:i/>
          <w:iCs/>
        </w:rPr>
        <w:t>5</w:t>
      </w:r>
      <w:r w:rsidRPr="00D57F4C">
        <w:rPr>
          <w:b/>
          <w:bCs/>
          <w:i/>
          <w:iCs/>
        </w:rPr>
        <w:t xml:space="preserve">. </w:t>
      </w:r>
      <w:r w:rsidR="005F0ECE">
        <w:rPr>
          <w:i/>
          <w:iCs/>
        </w:rPr>
        <w:t>C</w:t>
      </w:r>
      <w:r w:rsidRPr="00D57F4C">
        <w:rPr>
          <w:i/>
          <w:iCs/>
        </w:rPr>
        <w:t>hange</w:t>
      </w:r>
      <w:r>
        <w:rPr>
          <w:i/>
          <w:iCs/>
        </w:rPr>
        <w:t>s</w:t>
      </w:r>
      <w:r w:rsidRPr="00D57F4C">
        <w:rPr>
          <w:i/>
          <w:iCs/>
        </w:rPr>
        <w:t xml:space="preserve"> </w:t>
      </w:r>
      <w:r w:rsidR="008F40D9">
        <w:rPr>
          <w:i/>
          <w:iCs/>
        </w:rPr>
        <w:t xml:space="preserve">in </w:t>
      </w:r>
      <w:r w:rsidR="00B47F84">
        <w:rPr>
          <w:i/>
          <w:iCs/>
        </w:rPr>
        <w:t xml:space="preserve">city-level </w:t>
      </w:r>
      <w:r w:rsidRPr="00D57F4C">
        <w:rPr>
          <w:i/>
          <w:iCs/>
        </w:rPr>
        <w:t xml:space="preserve">mortality </w:t>
      </w:r>
      <w:r>
        <w:rPr>
          <w:i/>
          <w:iCs/>
        </w:rPr>
        <w:t>per 100,000 population</w:t>
      </w:r>
      <w:r w:rsidR="0012232D">
        <w:rPr>
          <w:i/>
          <w:iCs/>
        </w:rPr>
        <w:t xml:space="preserve"> (panels A &amp;C) and in absolute terms (panels B &amp; D)</w:t>
      </w:r>
      <w:r w:rsidR="002B0627" w:rsidRPr="002B0627">
        <w:rPr>
          <w:i/>
          <w:iCs/>
        </w:rPr>
        <w:t xml:space="preserve"> </w:t>
      </w:r>
      <w:r w:rsidR="005F0ECE">
        <w:rPr>
          <w:i/>
          <w:iCs/>
        </w:rPr>
        <w:t xml:space="preserve">associated with </w:t>
      </w:r>
      <w:r w:rsidR="002B0627">
        <w:rPr>
          <w:i/>
          <w:iCs/>
        </w:rPr>
        <w:t xml:space="preserve">changes in </w:t>
      </w:r>
      <w:r w:rsidR="00236756">
        <w:rPr>
          <w:i/>
          <w:iCs/>
        </w:rPr>
        <w:t xml:space="preserve">average </w:t>
      </w:r>
      <w:r w:rsidR="002B0627">
        <w:rPr>
          <w:i/>
          <w:iCs/>
        </w:rPr>
        <w:t>population-weighted peak season N</w:t>
      </w:r>
      <w:r w:rsidR="00236756">
        <w:rPr>
          <w:i/>
          <w:iCs/>
        </w:rPr>
        <w:t xml:space="preserve">ormalized </w:t>
      </w:r>
      <w:r w:rsidR="002B0627">
        <w:rPr>
          <w:i/>
          <w:iCs/>
        </w:rPr>
        <w:t>D</w:t>
      </w:r>
      <w:r w:rsidR="00236756">
        <w:rPr>
          <w:i/>
          <w:iCs/>
        </w:rPr>
        <w:t xml:space="preserve">ifference </w:t>
      </w:r>
      <w:r w:rsidR="002B0627">
        <w:rPr>
          <w:i/>
          <w:iCs/>
        </w:rPr>
        <w:t>V</w:t>
      </w:r>
      <w:r w:rsidR="00236756">
        <w:rPr>
          <w:i/>
          <w:iCs/>
        </w:rPr>
        <w:t xml:space="preserve">egetation </w:t>
      </w:r>
      <w:r w:rsidR="002B0627">
        <w:rPr>
          <w:i/>
          <w:iCs/>
        </w:rPr>
        <w:t>I</w:t>
      </w:r>
      <w:r w:rsidR="00236756">
        <w:rPr>
          <w:i/>
          <w:iCs/>
        </w:rPr>
        <w:t>ndex</w:t>
      </w:r>
      <w:r w:rsidR="009164DD">
        <w:rPr>
          <w:i/>
          <w:iCs/>
        </w:rPr>
        <w:t xml:space="preserve"> (NDVI) </w:t>
      </w:r>
      <w:r w:rsidR="002B0627">
        <w:rPr>
          <w:i/>
          <w:iCs/>
        </w:rPr>
        <w:t xml:space="preserve">from 2014-2018 to 2019-2023 </w:t>
      </w:r>
      <w:r>
        <w:rPr>
          <w:i/>
          <w:iCs/>
        </w:rPr>
        <w:t>to the 2020 population</w:t>
      </w:r>
      <w:r w:rsidR="00236756">
        <w:rPr>
          <w:i/>
          <w:iCs/>
        </w:rPr>
        <w:t>,</w:t>
      </w:r>
      <w:r>
        <w:rPr>
          <w:i/>
          <w:iCs/>
        </w:rPr>
        <w:t xml:space="preserve"> </w:t>
      </w:r>
      <w:r w:rsidR="002B0627">
        <w:rPr>
          <w:i/>
          <w:iCs/>
        </w:rPr>
        <w:t xml:space="preserve">by geographical region (panel A) and climate classification </w:t>
      </w:r>
      <w:r>
        <w:rPr>
          <w:i/>
          <w:iCs/>
        </w:rPr>
        <w:t>(panel B)</w:t>
      </w:r>
      <w:r w:rsidR="002B0627">
        <w:rPr>
          <w:i/>
          <w:iCs/>
        </w:rPr>
        <w:t>.</w:t>
      </w:r>
      <w:r w:rsidR="00967827">
        <w:rPr>
          <w:i/>
          <w:iCs/>
        </w:rPr>
        <w:t xml:space="preserve"> Regions are arranged by the average latitude of their cities.</w:t>
      </w:r>
      <w:r w:rsidR="002B0627">
        <w:rPr>
          <w:i/>
          <w:iCs/>
        </w:rPr>
        <w:t xml:space="preserve"> </w:t>
      </w:r>
      <w:r>
        <w:rPr>
          <w:i/>
          <w:iCs/>
        </w:rPr>
        <w:t>One city classified as</w:t>
      </w:r>
      <w:r w:rsidR="001463C7">
        <w:rPr>
          <w:i/>
          <w:iCs/>
        </w:rPr>
        <w:t xml:space="preserve"> </w:t>
      </w:r>
      <w:r>
        <w:rPr>
          <w:i/>
          <w:iCs/>
        </w:rPr>
        <w:t xml:space="preserve">“Polar” was dropped from </w:t>
      </w:r>
      <w:r w:rsidR="002B0627">
        <w:rPr>
          <w:i/>
          <w:iCs/>
        </w:rPr>
        <w:t xml:space="preserve">panel B </w:t>
      </w:r>
      <w:r>
        <w:rPr>
          <w:i/>
          <w:iCs/>
        </w:rPr>
        <w:t xml:space="preserve">(El Alto, Bolivia, </w:t>
      </w:r>
      <w:r w:rsidR="00FD0BDA">
        <w:rPr>
          <w:i/>
          <w:iCs/>
        </w:rPr>
        <w:t>4.78</w:t>
      </w:r>
      <w:r>
        <w:rPr>
          <w:i/>
          <w:iCs/>
        </w:rPr>
        <w:t xml:space="preserve"> </w:t>
      </w:r>
      <w:r w:rsidR="002509BF">
        <w:rPr>
          <w:i/>
          <w:iCs/>
        </w:rPr>
        <w:t xml:space="preserve">more </w:t>
      </w:r>
      <w:r>
        <w:rPr>
          <w:i/>
          <w:iCs/>
        </w:rPr>
        <w:t>deaths per 100,000 population).</w:t>
      </w:r>
    </w:p>
    <w:p w14:paraId="28512080" w14:textId="77777777" w:rsidR="00DF2DD5" w:rsidRPr="0049174D" w:rsidRDefault="00DF2DD5" w:rsidP="00551D54"/>
    <w:p w14:paraId="776DAF88" w14:textId="77777777" w:rsidR="00551D54" w:rsidRPr="00E150CA" w:rsidRDefault="00551D54" w:rsidP="00551D54">
      <w:pPr>
        <w:rPr>
          <w:b/>
          <w:bCs/>
        </w:rPr>
      </w:pPr>
      <w:r w:rsidRPr="00E150CA">
        <w:rPr>
          <w:b/>
          <w:bCs/>
        </w:rPr>
        <w:lastRenderedPageBreak/>
        <w:t>Discussion</w:t>
      </w:r>
    </w:p>
    <w:p w14:paraId="7F0F4C41" w14:textId="77777777" w:rsidR="003057CF" w:rsidRDefault="003057CF" w:rsidP="00551D54"/>
    <w:p w14:paraId="3A13A9A1" w14:textId="78006D54" w:rsidR="00E72C97" w:rsidRDefault="009164DD" w:rsidP="00551D54">
      <w:r>
        <w:t>U</w:t>
      </w:r>
      <w:r w:rsidR="00455EE4">
        <w:t>rban</w:t>
      </w:r>
      <w:r w:rsidR="00613582">
        <w:t xml:space="preserve"> greenspace varies greatly </w:t>
      </w:r>
      <w:r w:rsidR="00C42F55">
        <w:t>(</w:t>
      </w:r>
      <w:r>
        <w:t xml:space="preserve">NDVI </w:t>
      </w:r>
      <w:r w:rsidR="00C42F55">
        <w:t>mean: 0.270, range: 0.072, 0.580)</w:t>
      </w:r>
      <w:r w:rsidR="00BC60B4">
        <w:t xml:space="preserve"> across the 1,041 cities studied</w:t>
      </w:r>
      <w:r w:rsidR="00C42F55">
        <w:t xml:space="preserve"> </w:t>
      </w:r>
      <w:r w:rsidR="00613582">
        <w:t>and is related to region and climate classification.</w:t>
      </w:r>
      <w:r w:rsidR="00507D1B">
        <w:t xml:space="preserve"> </w:t>
      </w:r>
      <w:r w:rsidR="00613582">
        <w:t xml:space="preserve">Overall, </w:t>
      </w:r>
      <w:r w:rsidR="00EE0D06">
        <w:t>urban greenspace has remained stable from 2014-2018 to 2019-2023</w:t>
      </w:r>
      <w:r w:rsidR="00613582">
        <w:t xml:space="preserve">. However, </w:t>
      </w:r>
      <w:r w:rsidR="00EE0D06">
        <w:t>individual cities experienced over 20% changes</w:t>
      </w:r>
      <w:r>
        <w:t xml:space="preserve"> in city average NDVI</w:t>
      </w:r>
      <w:r w:rsidR="00EE0D06">
        <w:t xml:space="preserve"> in either direction</w:t>
      </w:r>
      <w:r w:rsidR="00613582">
        <w:t xml:space="preserve">. </w:t>
      </w:r>
      <w:r w:rsidR="00E517CA">
        <w:t xml:space="preserve">Regionally, </w:t>
      </w:r>
      <w:r>
        <w:t xml:space="preserve">NDVI changed </w:t>
      </w:r>
      <w:r w:rsidR="00E517CA">
        <w:t xml:space="preserve">over 5% in South-eastern Asia (-6.3%) and Eastern Asia (+6.2%), while cities classified as arid were the most stable. </w:t>
      </w:r>
      <w:r w:rsidR="004E7988">
        <w:t>We estimate</w:t>
      </w:r>
      <w:r w:rsidR="00EE0D06">
        <w:t>d</w:t>
      </w:r>
      <w:r w:rsidR="004E7988">
        <w:t xml:space="preserve"> that </w:t>
      </w:r>
      <w:r>
        <w:t xml:space="preserve">NDVI </w:t>
      </w:r>
      <w:r w:rsidR="004E7988">
        <w:t xml:space="preserve">changes from 2014-2018 to 2019-2023 were associated with </w:t>
      </w:r>
      <w:r w:rsidR="0076188F">
        <w:t xml:space="preserve">an average of </w:t>
      </w:r>
      <w:r w:rsidR="00E33108" w:rsidRPr="00BB6EFB">
        <w:t xml:space="preserve">0.19 </w:t>
      </w:r>
      <w:r w:rsidR="00E33108">
        <w:t xml:space="preserve">(95% CI: 0.15, 0.25) </w:t>
      </w:r>
      <w:r w:rsidR="004E7988">
        <w:t>additional deaths per 100,000 across the 1,041 cities.</w:t>
      </w:r>
      <w:r w:rsidR="00EF3256">
        <w:t xml:space="preserve"> </w:t>
      </w:r>
      <w:r w:rsidR="009E1007">
        <w:t xml:space="preserve">While the </w:t>
      </w:r>
      <w:r w:rsidR="00EF3256">
        <w:t>global estimate</w:t>
      </w:r>
      <w:r w:rsidR="009E1007">
        <w:t xml:space="preserve"> showed almost no change</w:t>
      </w:r>
      <w:r w:rsidR="00EF3256">
        <w:t>, mortality changes associated with urban greenspace</w:t>
      </w:r>
      <w:r>
        <w:t xml:space="preserve"> ranged widely</w:t>
      </w:r>
      <w:r w:rsidR="00AB7DA9">
        <w:t xml:space="preserve">, with </w:t>
      </w:r>
      <w:r w:rsidR="00B559F0">
        <w:t xml:space="preserve">over 100-fold higher and lower death rates across </w:t>
      </w:r>
      <w:r w:rsidR="00AB7DA9">
        <w:t xml:space="preserve">individual </w:t>
      </w:r>
      <w:r w:rsidR="00B559F0">
        <w:t>cities</w:t>
      </w:r>
      <w:r w:rsidR="00AB7DA9">
        <w:t>.</w:t>
      </w:r>
      <w:r w:rsidR="00D9092A">
        <w:t xml:space="preserve"> </w:t>
      </w:r>
    </w:p>
    <w:p w14:paraId="366E8B3D" w14:textId="77777777" w:rsidR="00AF772E" w:rsidRDefault="00AF772E" w:rsidP="00551D54"/>
    <w:p w14:paraId="0A3C8A23" w14:textId="3CCB97AC" w:rsidR="00E445DA" w:rsidRDefault="008964A8" w:rsidP="00551D54">
      <w:r>
        <w:t xml:space="preserve">Our urban greenspace </w:t>
      </w:r>
      <w:r w:rsidR="00DD0A0D">
        <w:t xml:space="preserve">estimates </w:t>
      </w:r>
      <w:r>
        <w:t xml:space="preserve">align closely with previous work using </w:t>
      </w:r>
      <w:r w:rsidR="00E445DA">
        <w:t xml:space="preserve">a </w:t>
      </w:r>
      <w:r>
        <w:t>similar spatial scale</w:t>
      </w:r>
      <w:r w:rsidR="00AB68EB">
        <w:t xml:space="preserve"> and inclusion criteria</w:t>
      </w:r>
      <w:r>
        <w:t xml:space="preserve"> and are considerably lower than </w:t>
      </w:r>
      <w:r w:rsidR="00E445DA">
        <w:t xml:space="preserve">a </w:t>
      </w:r>
      <w:r w:rsidR="00035998">
        <w:t>stud</w:t>
      </w:r>
      <w:r w:rsidR="00E445DA">
        <w:t>y</w:t>
      </w:r>
      <w:r>
        <w:t xml:space="preserve"> using a coarser spatial resolution</w:t>
      </w:r>
      <w:r w:rsidR="00C25A2E">
        <w:t xml:space="preserve"> and more inclusive urban definition</w:t>
      </w:r>
      <w:r w:rsidR="00E445DA">
        <w:t>.</w:t>
      </w:r>
      <w:r w:rsidR="00D04E43">
        <w:t xml:space="preserve"> </w:t>
      </w:r>
      <w:r w:rsidR="00E445DA">
        <w:t xml:space="preserve">Brochu et al. quantified urban greenspace </w:t>
      </w:r>
      <w:r w:rsidR="002C0757">
        <w:t xml:space="preserve">across the 35 most populous U.S. </w:t>
      </w:r>
      <w:r w:rsidR="00E445DA">
        <w:t>cities using</w:t>
      </w:r>
      <w:r w:rsidR="00D04E43">
        <w:t xml:space="preserve"> census tracts as </w:t>
      </w:r>
      <w:r w:rsidR="00B6780A">
        <w:t>the</w:t>
      </w:r>
      <w:r w:rsidR="00D04E43">
        <w:t xml:space="preserve"> unit of analysis</w:t>
      </w:r>
      <w:r w:rsidR="00E445DA">
        <w:t xml:space="preserve">, </w:t>
      </w:r>
      <w:r w:rsidR="00D04E43">
        <w:t xml:space="preserve">which are </w:t>
      </w:r>
      <w:r w:rsidR="00E313E4">
        <w:t>generally</w:t>
      </w:r>
      <w:r w:rsidR="00D04E43">
        <w:t xml:space="preserve"> spatially analogous to our 100m pixels</w:t>
      </w:r>
      <w:r w:rsidR="00E445DA">
        <w:t xml:space="preserve"> in urban areas</w:t>
      </w:r>
      <w:r w:rsidR="00D04E43">
        <w:t>.</w:t>
      </w:r>
      <w:r w:rsidR="00760E36">
        <w:fldChar w:fldCharType="begin"/>
      </w:r>
      <w:r w:rsidR="00E34A08">
        <w:instrText xml:space="preserve"> ADDIN ZOTERO_ITEM CSL_CITATION {"citationID":"Dlvl6cmq","properties":{"formattedCitation":"\\super 19\\nosupersub{}","plainCitation":"19","noteIndex":0},"citationItems":[{"id":259,"uris":["http://zotero.org/users/10202395/items/AXXINCTS"],"itemData":{"id":259,"type":"article-journal","abstract":"Across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760E36">
        <w:fldChar w:fldCharType="separate"/>
      </w:r>
      <w:r w:rsidR="00E34A08" w:rsidRPr="00E34A08">
        <w:rPr>
          <w:vertAlign w:val="superscript"/>
        </w:rPr>
        <w:t>19</w:t>
      </w:r>
      <w:r w:rsidR="00760E36">
        <w:fldChar w:fldCharType="end"/>
      </w:r>
      <w:r w:rsidR="00D04E43">
        <w:t xml:space="preserve"> </w:t>
      </w:r>
      <w:r w:rsidR="00297C49">
        <w:t xml:space="preserve">They </w:t>
      </w:r>
      <w:r w:rsidR="00D04E43">
        <w:t>report</w:t>
      </w:r>
      <w:r w:rsidR="00792E78">
        <w:t>ed</w:t>
      </w:r>
      <w:r w:rsidR="00AF772E">
        <w:t xml:space="preserve"> a mean NDVI of 0.35</w:t>
      </w:r>
      <w:r w:rsidR="00297C49">
        <w:t>-</w:t>
      </w:r>
      <w:r w:rsidR="00AF772E">
        <w:t>0.40</w:t>
      </w:r>
      <w:r w:rsidR="00674844">
        <w:t xml:space="preserve"> </w:t>
      </w:r>
      <w:r w:rsidR="005A7519">
        <w:t>between 2000-2019</w:t>
      </w:r>
      <w:r w:rsidR="00297C49">
        <w:t xml:space="preserve">, </w:t>
      </w:r>
      <w:r w:rsidR="00D04E43">
        <w:t xml:space="preserve">which aligns </w:t>
      </w:r>
      <w:r w:rsidR="004E0C6E">
        <w:t xml:space="preserve">well </w:t>
      </w:r>
      <w:r w:rsidR="00D04E43">
        <w:t xml:space="preserve">with our population-weighted peak season NDVI estimates of 0.39 in 2014-2018 and 0.38 in 2019-2023 across all North American cities. </w:t>
      </w:r>
      <w:r w:rsidR="00E445DA">
        <w:t xml:space="preserve">Barboza et al. </w:t>
      </w:r>
      <w:r w:rsidR="00AB68EB">
        <w:t xml:space="preserve">estimated an average baseline NDVI of 0.52 (range: 0.11-0.72) across </w:t>
      </w:r>
      <w:r w:rsidR="00AB68EB">
        <w:rPr>
          <w:color w:val="000000"/>
          <w:shd w:val="clear" w:color="auto" w:fill="FFFFFF"/>
        </w:rPr>
        <w:t xml:space="preserve">978 </w:t>
      </w:r>
      <w:r w:rsidR="00AB68EB">
        <w:t>European cities</w:t>
      </w:r>
      <w:r w:rsidR="00E445DA">
        <w:t>.</w:t>
      </w:r>
      <w:r w:rsidR="00E445DA">
        <w:rPr>
          <w:color w:val="000000"/>
          <w:shd w:val="clear" w:color="auto" w:fill="FFFFFF"/>
        </w:rPr>
        <w:fldChar w:fldCharType="begin"/>
      </w:r>
      <w:r w:rsidR="00E34A08">
        <w:rPr>
          <w:color w:val="000000"/>
          <w:shd w:val="clear" w:color="auto" w:fill="FFFFFF"/>
        </w:rPr>
        <w:instrText xml:space="preserve"> ADDIN ZOTERO_ITEM CSL_CITATION {"citationID":"aOC1CNyC","properties":{"formattedCitation":"\\super 18\\nosupersub{}","plainCitation":"18","noteIndex":0},"citationItems":[{"id":191,"uris":["http://zotero.org/users/10202395/items/DXI3UYCR"],"itemData":{"id":191,"type":"article-journal","container-title":"The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445DA">
        <w:rPr>
          <w:color w:val="000000"/>
          <w:shd w:val="clear" w:color="auto" w:fill="FFFFFF"/>
        </w:rPr>
        <w:fldChar w:fldCharType="separate"/>
      </w:r>
      <w:r w:rsidR="00E34A08" w:rsidRPr="00E34A08">
        <w:rPr>
          <w:color w:val="000000"/>
          <w:vertAlign w:val="superscript"/>
        </w:rPr>
        <w:t>18</w:t>
      </w:r>
      <w:r w:rsidR="00E445DA">
        <w:rPr>
          <w:color w:val="000000"/>
          <w:shd w:val="clear" w:color="auto" w:fill="FFFFFF"/>
        </w:rPr>
        <w:fldChar w:fldCharType="end"/>
      </w:r>
      <w:r w:rsidR="00E445DA">
        <w:rPr>
          <w:color w:val="000000"/>
          <w:shd w:val="clear" w:color="auto" w:fill="FFFFFF"/>
        </w:rPr>
        <w:t xml:space="preserve"> </w:t>
      </w:r>
      <w:r w:rsidR="00E445DA">
        <w:t>Our baseline NDVI estimates were substantially lower, with a mean estimate of 0.</w:t>
      </w:r>
      <w:r w:rsidR="00BE0233">
        <w:t>33</w:t>
      </w:r>
      <w:r w:rsidR="00E445DA">
        <w:t xml:space="preserve"> (range: 0.13, 0.46) across European </w:t>
      </w:r>
      <w:r w:rsidR="00BE0233">
        <w:t>cities</w:t>
      </w:r>
      <w:r w:rsidR="00E445DA">
        <w:t xml:space="preserve">. </w:t>
      </w:r>
      <w:r w:rsidR="00AB68EB">
        <w:t>Barboza et al.</w:t>
      </w:r>
      <w:r w:rsidR="00E445DA">
        <w:t xml:space="preserve"> averaged NDVI using a 300m buffer around each </w:t>
      </w:r>
      <w:r w:rsidR="00AB68EB">
        <w:t xml:space="preserve">250m </w:t>
      </w:r>
      <w:r w:rsidR="00E445DA">
        <w:t>pixel</w:t>
      </w:r>
      <w:r w:rsidR="00AB68EB">
        <w:t>, which could partially explain this discrepancy</w:t>
      </w:r>
      <w:r w:rsidR="00E445DA">
        <w:t>. In previous Lancet Countdown reports, NDVI was averaged to the 1km resolution, which produced</w:t>
      </w:r>
      <w:r w:rsidR="00AB68EB">
        <w:t xml:space="preserve"> </w:t>
      </w:r>
      <w:r w:rsidR="00E445DA">
        <w:t>higher estimates of NDVI, with a</w:t>
      </w:r>
      <w:r w:rsidR="00AB68EB">
        <w:t xml:space="preserve"> WHO European </w:t>
      </w:r>
      <w:r w:rsidR="00F35A3A">
        <w:t xml:space="preserve">region </w:t>
      </w:r>
      <w:r w:rsidR="00E445DA">
        <w:t>average of 0.3</w:t>
      </w:r>
      <w:r w:rsidR="00AB68EB">
        <w:t>7</w:t>
      </w:r>
      <w:r w:rsidR="00E445DA">
        <w:t>.</w:t>
      </w:r>
      <w:r w:rsidR="00E445DA">
        <w:fldChar w:fldCharType="begin"/>
      </w:r>
      <w:r w:rsidR="00E34A08">
        <w:instrText xml:space="preserve"> ADDIN ZOTERO_ITEM CSL_CITATION {"citationID":"yoP0IWmY","properties":{"formattedCitation":"\\super 20\\nosupersub{}","plainCitation":"20","noteIndex":0},"citationItems":[{"id":754,"uris":["http://zotero.org/users/10202395/items/5RX5BIJN"],"itemData":{"id":754,"type":"article-journal","container-title":"The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E445DA">
        <w:fldChar w:fldCharType="separate"/>
      </w:r>
      <w:r w:rsidR="00E34A08" w:rsidRPr="00E34A08">
        <w:rPr>
          <w:vertAlign w:val="superscript"/>
        </w:rPr>
        <w:t>20</w:t>
      </w:r>
      <w:r w:rsidR="00E445DA">
        <w:fldChar w:fldCharType="end"/>
      </w:r>
      <w:r w:rsidR="00E445DA">
        <w:t xml:space="preserve"> Coarser resolution data </w:t>
      </w:r>
      <w:r w:rsidR="00AE0D66">
        <w:t>may</w:t>
      </w:r>
      <w:r w:rsidR="00E445DA">
        <w:t xml:space="preserve"> increase the </w:t>
      </w:r>
      <w:r w:rsidR="00AB68EB">
        <w:t xml:space="preserve">NDVI </w:t>
      </w:r>
      <w:r w:rsidR="00E445DA">
        <w:t xml:space="preserve">estimate </w:t>
      </w:r>
      <w:r w:rsidR="00AB68EB">
        <w:t>in</w:t>
      </w:r>
      <w:r w:rsidR="00E445DA">
        <w:t xml:space="preserve"> dense urban centers, by averaging </w:t>
      </w:r>
      <w:r w:rsidR="00AB68EB">
        <w:t xml:space="preserve">values from </w:t>
      </w:r>
      <w:r w:rsidR="00E445DA">
        <w:t>greener areas outside the city center.</w:t>
      </w:r>
      <w:r w:rsidR="00AB68EB">
        <w:t xml:space="preserve"> Furthermore, </w:t>
      </w:r>
      <w:r w:rsidR="00A554FB">
        <w:t xml:space="preserve">we limited </w:t>
      </w:r>
      <w:r w:rsidR="00AB68EB">
        <w:t>th</w:t>
      </w:r>
      <w:r w:rsidR="00A554FB">
        <w:t>e</w:t>
      </w:r>
      <w:r w:rsidR="00AB68EB">
        <w:t xml:space="preserve"> analysis to</w:t>
      </w:r>
      <w:r w:rsidR="00A554FB">
        <w:t xml:space="preserve"> cities with over 500,000 inhabitants, while the Barboza </w:t>
      </w:r>
      <w:r w:rsidR="0059464E">
        <w:t xml:space="preserve">et al. </w:t>
      </w:r>
      <w:r w:rsidR="00A554FB">
        <w:t xml:space="preserve">study </w:t>
      </w:r>
      <w:r w:rsidR="004F5056">
        <w:t>used the</w:t>
      </w:r>
      <w:r w:rsidR="00A554FB">
        <w:t xml:space="preserve"> Organization for Economic Cooperation and Development</w:t>
      </w:r>
      <w:r w:rsidR="004F5056">
        <w:t xml:space="preserve"> city definition</w:t>
      </w:r>
      <w:r w:rsidR="00A554FB">
        <w:t>, which includes urban areas with as few as 50,000 residents.</w:t>
      </w:r>
      <w:r w:rsidR="005D6065">
        <w:t xml:space="preserve"> Smaller cities may be </w:t>
      </w:r>
      <w:r w:rsidR="00711CF3">
        <w:t>greener</w:t>
      </w:r>
      <w:r w:rsidR="005D6065">
        <w:t xml:space="preserve"> due to the need for less infrastructure.</w:t>
      </w:r>
    </w:p>
    <w:p w14:paraId="05F876B8" w14:textId="77777777" w:rsidR="00E445DA" w:rsidRDefault="00E445DA" w:rsidP="00551D54"/>
    <w:p w14:paraId="078D64BE" w14:textId="429E7D42" w:rsidR="009F0F64" w:rsidRPr="00741FA6" w:rsidRDefault="00E445DA" w:rsidP="00551D54">
      <w:pPr>
        <w:rPr>
          <w:color w:val="000000" w:themeColor="text1"/>
        </w:rPr>
      </w:pPr>
      <w:r>
        <w:t xml:space="preserve">Our health impact estimates differ from past work, as we compare </w:t>
      </w:r>
      <w:r w:rsidR="00E63B04">
        <w:t xml:space="preserve">historical changes </w:t>
      </w:r>
      <w:r>
        <w:t>(both negative and positive)</w:t>
      </w:r>
      <w:r w:rsidR="00103044">
        <w:t>,</w:t>
      </w:r>
      <w:r>
        <w:t xml:space="preserve"> whereas previous studies have looked at the impact of</w:t>
      </w:r>
      <w:r w:rsidR="00846322">
        <w:t xml:space="preserve"> hypothetical</w:t>
      </w:r>
      <w:r>
        <w:t xml:space="preserve"> addi</w:t>
      </w:r>
      <w:r w:rsidR="00846322">
        <w:t>tions in</w:t>
      </w:r>
      <w:r>
        <w:t xml:space="preserve"> greenspace.</w:t>
      </w:r>
      <w:r w:rsidR="002C0757">
        <w:t xml:space="preserve"> </w:t>
      </w:r>
      <w:r>
        <w:t xml:space="preserve">Brochu et al. estimated that </w:t>
      </w:r>
      <w:r w:rsidR="007C4CBA">
        <w:t xml:space="preserve">0.1 </w:t>
      </w:r>
      <w:r>
        <w:t>increases in NDVI were associated with 200, 170, and 150 fewer deaths</w:t>
      </w:r>
      <w:r w:rsidR="007C4CBA">
        <w:t xml:space="preserve"> </w:t>
      </w:r>
      <w:r w:rsidR="00031544">
        <w:t xml:space="preserve">per 100,000 </w:t>
      </w:r>
      <w:r w:rsidR="007C4CBA">
        <w:t>across 35 American cities</w:t>
      </w:r>
      <w:r>
        <w:t xml:space="preserve"> among those 65 and older</w:t>
      </w:r>
      <w:r w:rsidR="007C4CBA">
        <w:t xml:space="preserve"> </w:t>
      </w:r>
      <w:r>
        <w:t xml:space="preserve">in 2000, 2010, and 2019, respectively. </w:t>
      </w:r>
      <w:r w:rsidR="00103044">
        <w:t xml:space="preserve">We estimated that </w:t>
      </w:r>
      <w:r w:rsidR="00031544">
        <w:t xml:space="preserve">NDVI </w:t>
      </w:r>
      <w:r w:rsidR="00103044">
        <w:t xml:space="preserve">changes were associated with an average of </w:t>
      </w:r>
      <w:r w:rsidR="00AC46B6">
        <w:t>2.67</w:t>
      </w:r>
      <w:r w:rsidR="00103044">
        <w:t xml:space="preserve"> more deaths per 100,000 across the entire </w:t>
      </w:r>
      <w:r w:rsidR="00966C47">
        <w:t xml:space="preserve">set of </w:t>
      </w:r>
      <w:r w:rsidR="00103044">
        <w:t xml:space="preserve">North American </w:t>
      </w:r>
      <w:r w:rsidR="00966C47">
        <w:t>cities</w:t>
      </w:r>
      <w:r w:rsidR="00103044">
        <w:t xml:space="preserve">. </w:t>
      </w:r>
      <w:r w:rsidR="00966C47">
        <w:t xml:space="preserve">Our results include the total population rather than those 65 and older and </w:t>
      </w:r>
      <w:r w:rsidR="004728FB">
        <w:t>are</w:t>
      </w:r>
      <w:r w:rsidR="00966C47">
        <w:t xml:space="preserve"> inclusive of 57 cities including 8 Canadian cities. For these reasons, the magnitude of the results is not directly comparable. Furthermore, w</w:t>
      </w:r>
      <w:r w:rsidR="00103044">
        <w:t>e found that NDVI decreased</w:t>
      </w:r>
      <w:r w:rsidR="008F3CB0">
        <w:t xml:space="preserve"> in North American cities</w:t>
      </w:r>
      <w:r w:rsidR="00103044">
        <w:t xml:space="preserve"> over our study period, explaining the difference in sign of our results. </w:t>
      </w:r>
      <w:r w:rsidR="002C0757">
        <w:t xml:space="preserve">Barboza et al. </w:t>
      </w:r>
      <w:r w:rsidR="009F0F64">
        <w:t xml:space="preserve">estimated health impacts of increasing NDVI to </w:t>
      </w:r>
      <w:r w:rsidR="009F0F64" w:rsidRPr="00E150CA">
        <w:rPr>
          <w:color w:val="000000"/>
          <w:shd w:val="clear" w:color="auto" w:fill="FFFFFF"/>
        </w:rPr>
        <w:t>the World Health Organization’s recommendation of universal access to greenspace</w:t>
      </w:r>
      <w:r w:rsidR="009F0F64">
        <w:rPr>
          <w:color w:val="000000"/>
          <w:shd w:val="clear" w:color="auto" w:fill="FFFFFF"/>
        </w:rPr>
        <w:t xml:space="preserve"> and</w:t>
      </w:r>
      <w:r w:rsidR="009F0F64" w:rsidRPr="00AB68EB">
        <w:rPr>
          <w:color w:val="000000"/>
          <w:shd w:val="clear" w:color="auto" w:fill="FFFFFF"/>
        </w:rPr>
        <w:t xml:space="preserve"> </w:t>
      </w:r>
      <w:r w:rsidR="009F0F64">
        <w:rPr>
          <w:color w:val="000000"/>
          <w:shd w:val="clear" w:color="auto" w:fill="FFFFFF"/>
        </w:rPr>
        <w:t xml:space="preserve">reported </w:t>
      </w:r>
      <w:r w:rsidR="009F0F64">
        <w:t xml:space="preserve">large variability across </w:t>
      </w:r>
      <w:r w:rsidR="009F0F64">
        <w:rPr>
          <w:color w:val="000000"/>
          <w:shd w:val="clear" w:color="auto" w:fill="FFFFFF"/>
        </w:rPr>
        <w:t>European cities</w:t>
      </w:r>
      <w:r w:rsidR="009F0F64">
        <w:t xml:space="preserve"> ranging from 1-59 fewer deaths per 100,000 inhabitants among adults 20 years and older</w:t>
      </w:r>
      <w:r w:rsidR="00BC3162">
        <w:t>.</w:t>
      </w:r>
      <w:r w:rsidR="00103044">
        <w:t xml:space="preserve"> Our health impact estimate of the associated mortality change from NDVI changes across European cities was </w:t>
      </w:r>
      <w:r w:rsidR="00AC46B6">
        <w:t>0.41</w:t>
      </w:r>
      <w:r w:rsidR="00103044">
        <w:t xml:space="preserve"> </w:t>
      </w:r>
      <w:r w:rsidR="00103044" w:rsidRPr="00741FA6">
        <w:rPr>
          <w:color w:val="000000" w:themeColor="text1"/>
        </w:rPr>
        <w:lastRenderedPageBreak/>
        <w:t>fewer deaths per 100,000</w:t>
      </w:r>
      <w:r w:rsidR="00924544" w:rsidRPr="00741FA6">
        <w:rPr>
          <w:color w:val="000000" w:themeColor="text1"/>
        </w:rPr>
        <w:t xml:space="preserve"> (range: </w:t>
      </w:r>
      <w:r w:rsidR="00AC46B6" w:rsidRPr="00741FA6">
        <w:rPr>
          <w:color w:val="000000" w:themeColor="text1"/>
        </w:rPr>
        <w:t>24.44</w:t>
      </w:r>
      <w:r w:rsidR="00924544" w:rsidRPr="00741FA6">
        <w:rPr>
          <w:color w:val="000000" w:themeColor="text1"/>
        </w:rPr>
        <w:t xml:space="preserve"> fewer to </w:t>
      </w:r>
      <w:r w:rsidR="00AC46B6" w:rsidRPr="00741FA6">
        <w:rPr>
          <w:color w:val="000000" w:themeColor="text1"/>
        </w:rPr>
        <w:t>13.75</w:t>
      </w:r>
      <w:r w:rsidR="00924544" w:rsidRPr="00741FA6">
        <w:rPr>
          <w:color w:val="000000" w:themeColor="text1"/>
        </w:rPr>
        <w:t xml:space="preserve"> more)</w:t>
      </w:r>
      <w:r w:rsidR="00103044" w:rsidRPr="00741FA6">
        <w:rPr>
          <w:color w:val="000000" w:themeColor="text1"/>
        </w:rPr>
        <w:t>.</w:t>
      </w:r>
      <w:r w:rsidR="00DD427C" w:rsidRPr="00741FA6">
        <w:rPr>
          <w:color w:val="000000" w:themeColor="text1"/>
        </w:rPr>
        <w:t xml:space="preserve"> Though we included the total population rather than restricting to adults,</w:t>
      </w:r>
      <w:r w:rsidR="006D1DC3" w:rsidRPr="00741FA6">
        <w:rPr>
          <w:color w:val="000000" w:themeColor="text1"/>
        </w:rPr>
        <w:t xml:space="preserve"> European cities experienced both positive and negative changes in NDVI over the study period, </w:t>
      </w:r>
      <w:r w:rsidR="00DD427C" w:rsidRPr="00741FA6">
        <w:rPr>
          <w:color w:val="000000" w:themeColor="text1"/>
        </w:rPr>
        <w:t>resulting in health estimates that were</w:t>
      </w:r>
      <w:r w:rsidR="006D1DC3" w:rsidRPr="00741FA6">
        <w:rPr>
          <w:color w:val="000000" w:themeColor="text1"/>
        </w:rPr>
        <w:t xml:space="preserve"> smaller in magnitude than those found by Barboza et al.</w:t>
      </w:r>
      <w:r w:rsidR="00DD427C" w:rsidRPr="00741FA6">
        <w:rPr>
          <w:color w:val="000000" w:themeColor="text1"/>
        </w:rPr>
        <w:t xml:space="preserve"> Our use of total population may overestimate the health benefits of increased greenspace and health losses from decreases.</w:t>
      </w:r>
    </w:p>
    <w:p w14:paraId="078C4639" w14:textId="7FEDD242" w:rsidR="00507D1B" w:rsidRPr="00741FA6" w:rsidRDefault="00E445DA" w:rsidP="00551D54">
      <w:pPr>
        <w:rPr>
          <w:color w:val="000000" w:themeColor="text1"/>
        </w:rPr>
      </w:pPr>
      <w:r w:rsidRPr="00741FA6">
        <w:rPr>
          <w:color w:val="000000" w:themeColor="text1"/>
        </w:rPr>
        <w:t xml:space="preserve"> </w:t>
      </w:r>
    </w:p>
    <w:p w14:paraId="52ACE9AC" w14:textId="530B04CD" w:rsidR="00951FAF" w:rsidRDefault="00190084" w:rsidP="00551D54">
      <w:pPr>
        <w:rPr>
          <w:ins w:id="0" w:author="Martin, Greta Katherine" w:date="2025-08-05T14:34:00Z" w16du:dateUtc="2025-08-05T18:34:00Z"/>
        </w:rPr>
      </w:pPr>
      <w:r w:rsidRPr="00741FA6">
        <w:rPr>
          <w:color w:val="000000" w:themeColor="text1"/>
        </w:rPr>
        <w:t>There are several key limitations to our study. We use one exposure-response function globally that is based</w:t>
      </w:r>
      <w:del w:id="1" w:author="Martin, Greta Katherine" w:date="2025-08-06T09:35:00Z" w16du:dateUtc="2025-08-06T13:35:00Z">
        <w:r w:rsidRPr="00741FA6" w:rsidDel="004D2877">
          <w:rPr>
            <w:color w:val="000000" w:themeColor="text1"/>
          </w:rPr>
          <w:delText xml:space="preserve"> on</w:delText>
        </w:r>
      </w:del>
      <w:r w:rsidRPr="00741FA6">
        <w:rPr>
          <w:color w:val="000000" w:themeColor="text1"/>
        </w:rPr>
        <w:t xml:space="preserve"> primarily </w:t>
      </w:r>
      <w:ins w:id="2" w:author="Martin, Greta Katherine" w:date="2025-08-06T09:35:00Z" w16du:dateUtc="2025-08-06T13:35:00Z">
        <w:r w:rsidR="004D2877">
          <w:rPr>
            <w:color w:val="000000" w:themeColor="text1"/>
          </w:rPr>
          <w:t xml:space="preserve">on </w:t>
        </w:r>
      </w:ins>
      <w:r w:rsidRPr="00741FA6">
        <w:rPr>
          <w:color w:val="000000" w:themeColor="text1"/>
        </w:rPr>
        <w:t xml:space="preserve">European and North American </w:t>
      </w:r>
      <w:del w:id="3" w:author="Martin, Greta Katherine" w:date="2025-08-06T09:35:00Z" w16du:dateUtc="2025-08-06T13:35:00Z">
        <w:r w:rsidRPr="00741FA6" w:rsidDel="004D2877">
          <w:rPr>
            <w:color w:val="000000" w:themeColor="text1"/>
          </w:rPr>
          <w:delText>populations</w:delText>
        </w:r>
      </w:del>
      <w:ins w:id="4" w:author="Martin, Greta Katherine" w:date="2025-08-06T09:35:00Z" w16du:dateUtc="2025-08-06T13:35:00Z">
        <w:r w:rsidR="004D2877">
          <w:rPr>
            <w:color w:val="000000" w:themeColor="text1"/>
          </w:rPr>
          <w:t>studies</w:t>
        </w:r>
      </w:ins>
      <w:ins w:id="5" w:author="Martin, Greta Katherine" w:date="2025-08-06T09:36:00Z" w16du:dateUtc="2025-08-06T13:36:00Z">
        <w:r w:rsidR="004D2877">
          <w:rPr>
            <w:color w:val="000000" w:themeColor="text1"/>
          </w:rPr>
          <w:t xml:space="preserve"> in temperate and continental climate zones</w:t>
        </w:r>
      </w:ins>
      <w:ins w:id="6" w:author="Martin, Greta Katherine" w:date="2025-08-06T09:24:00Z" w16du:dateUtc="2025-08-06T13:24:00Z">
        <w:r w:rsidR="004D2877">
          <w:rPr>
            <w:color w:val="000000" w:themeColor="text1"/>
          </w:rPr>
          <w:t>,</w:t>
        </w:r>
      </w:ins>
      <w:ins w:id="7" w:author="Martin, Greta Katherine" w:date="2025-08-06T09:27:00Z" w16du:dateUtc="2025-08-06T13:27:00Z">
        <w:r w:rsidR="004D2877">
          <w:t xml:space="preserve"> where g</w:t>
        </w:r>
      </w:ins>
      <w:del w:id="8" w:author="Martin, Greta Katherine" w:date="2025-08-06T09:27:00Z" w16du:dateUtc="2025-08-06T13:27:00Z">
        <w:r w:rsidRPr="00741FA6" w:rsidDel="004D2877">
          <w:rPr>
            <w:color w:val="000000" w:themeColor="text1"/>
          </w:rPr>
          <w:delText>.</w:delText>
        </w:r>
        <w:r w:rsidR="00F80B47" w:rsidRPr="00741FA6" w:rsidDel="004D2877">
          <w:rPr>
            <w:color w:val="000000" w:themeColor="text1"/>
          </w:rPr>
          <w:delText xml:space="preserve"> </w:delText>
        </w:r>
      </w:del>
      <w:moveToRangeStart w:id="9" w:author="Martin, Greta Katherine" w:date="2025-08-05T17:47:00Z" w:name="move205308491"/>
      <w:moveTo w:id="10" w:author="Martin, Greta Katherine" w:date="2025-08-05T17:47:00Z" w16du:dateUtc="2025-08-05T21:47:00Z">
        <w:del w:id="11" w:author="Martin, Greta Katherine" w:date="2025-08-05T17:48:00Z" w16du:dateUtc="2025-08-05T21:48:00Z">
          <w:r w:rsidR="0035526C" w:rsidDel="0035526C">
            <w:delText>Additionally, g</w:delText>
          </w:r>
        </w:del>
        <w:r w:rsidR="0035526C">
          <w:t>reenspace is relatively high</w:t>
        </w:r>
        <w:del w:id="12" w:author="Martin, Greta Katherine" w:date="2025-08-06T09:30:00Z" w16du:dateUtc="2025-08-06T13:30:00Z">
          <w:r w:rsidR="0035526C" w:rsidDel="004D2877">
            <w:delText xml:space="preserve"> </w:delText>
          </w:r>
        </w:del>
        <w:del w:id="13" w:author="Martin, Greta Katherine" w:date="2025-08-06T09:27:00Z" w16du:dateUtc="2025-08-06T13:27:00Z">
          <w:r w:rsidR="0035526C" w:rsidDel="004D2877">
            <w:delText>in North American and European cities, meaning that</w:delText>
          </w:r>
        </w:del>
      </w:moveTo>
      <w:ins w:id="14" w:author="Martin, Greta Katherine" w:date="2025-08-06T09:35:00Z" w16du:dateUtc="2025-08-06T13:35:00Z">
        <w:r w:rsidR="004D2877">
          <w:t>. Thus,</w:t>
        </w:r>
      </w:ins>
      <w:moveTo w:id="15" w:author="Martin, Greta Katherine" w:date="2025-08-05T17:47:00Z" w16du:dateUtc="2025-08-05T21:47:00Z">
        <w:r w:rsidR="0035526C">
          <w:t xml:space="preserve"> fewer data points contribute to the exposure-response curve at </w:t>
        </w:r>
      </w:moveTo>
      <w:ins w:id="16" w:author="Martin, Greta Katherine" w:date="2025-08-06T09:36:00Z" w16du:dateUtc="2025-08-06T13:36:00Z">
        <w:r w:rsidR="004D2877">
          <w:t xml:space="preserve">very high or </w:t>
        </w:r>
      </w:ins>
      <w:moveTo w:id="17" w:author="Martin, Greta Katherine" w:date="2025-08-05T17:47:00Z" w16du:dateUtc="2025-08-05T21:47:00Z">
        <w:r w:rsidR="0035526C">
          <w:t>low</w:t>
        </w:r>
        <w:del w:id="18" w:author="Martin, Greta Katherine" w:date="2025-08-06T09:36:00Z" w16du:dateUtc="2025-08-06T13:36:00Z">
          <w:r w:rsidR="0035526C" w:rsidDel="004D2877">
            <w:delText>er</w:delText>
          </w:r>
        </w:del>
        <w:r w:rsidR="0035526C">
          <w:t xml:space="preserve"> NDVI levels. </w:t>
        </w:r>
      </w:moveTo>
      <w:moveToRangeEnd w:id="9"/>
      <w:r w:rsidRPr="00741FA6">
        <w:rPr>
          <w:color w:val="000000" w:themeColor="text1"/>
        </w:rPr>
        <w:t xml:space="preserve">The relationship between NDVI and all-cause mortality may be related to </w:t>
      </w:r>
      <w:del w:id="19" w:author="Martin, Greta Katherine" w:date="2025-08-05T17:49:00Z" w16du:dateUtc="2025-08-05T21:49:00Z">
        <w:r w:rsidRPr="00741FA6" w:rsidDel="0035526C">
          <w:rPr>
            <w:color w:val="000000" w:themeColor="text1"/>
          </w:rPr>
          <w:delText xml:space="preserve">many </w:delText>
        </w:r>
      </w:del>
      <w:ins w:id="20" w:author="Martin, Greta Katherine" w:date="2025-08-05T17:49:00Z" w16du:dateUtc="2025-08-05T21:49:00Z">
        <w:r w:rsidR="0035526C">
          <w:rPr>
            <w:color w:val="000000" w:themeColor="text1"/>
          </w:rPr>
          <w:t>current NDVI levels and other</w:t>
        </w:r>
        <w:r w:rsidR="0035526C" w:rsidRPr="00741FA6">
          <w:rPr>
            <w:color w:val="000000" w:themeColor="text1"/>
          </w:rPr>
          <w:t xml:space="preserve"> </w:t>
        </w:r>
      </w:ins>
      <w:r w:rsidRPr="00741FA6">
        <w:rPr>
          <w:color w:val="000000" w:themeColor="text1"/>
        </w:rPr>
        <w:t xml:space="preserve">factors that </w:t>
      </w:r>
      <w:del w:id="21" w:author="Martin, Greta Katherine" w:date="2025-08-05T17:50:00Z" w16du:dateUtc="2025-08-05T21:50:00Z">
        <w:r w:rsidRPr="00741FA6" w:rsidDel="0035526C">
          <w:rPr>
            <w:color w:val="000000" w:themeColor="text1"/>
          </w:rPr>
          <w:delText xml:space="preserve">also </w:delText>
        </w:r>
      </w:del>
      <w:r w:rsidRPr="00741FA6">
        <w:rPr>
          <w:color w:val="000000" w:themeColor="text1"/>
        </w:rPr>
        <w:t>vary by region</w:t>
      </w:r>
      <w:ins w:id="22" w:author="Martin, Greta Katherine" w:date="2025-08-06T09:35:00Z" w16du:dateUtc="2025-08-06T13:35:00Z">
        <w:r w:rsidR="004D2877">
          <w:rPr>
            <w:color w:val="000000" w:themeColor="text1"/>
          </w:rPr>
          <w:t xml:space="preserve"> and climate</w:t>
        </w:r>
      </w:ins>
      <w:r w:rsidRPr="00741FA6">
        <w:rPr>
          <w:color w:val="000000" w:themeColor="text1"/>
        </w:rPr>
        <w:t xml:space="preserve">. </w:t>
      </w:r>
      <w:r w:rsidR="00F80B47" w:rsidRPr="00741FA6">
        <w:rPr>
          <w:color w:val="000000" w:themeColor="text1"/>
        </w:rPr>
        <w:t xml:space="preserve">To address this, we chose a large-scale meta-analysis </w:t>
      </w:r>
      <w:ins w:id="23" w:author="Martin, Greta Katherine" w:date="2025-08-06T09:33:00Z" w16du:dateUtc="2025-08-06T13:33:00Z">
        <w:r w:rsidR="004D2877">
          <w:rPr>
            <w:color w:val="000000" w:themeColor="text1"/>
          </w:rPr>
          <w:t xml:space="preserve">that </w:t>
        </w:r>
        <w:r w:rsidR="004D2877">
          <w:rPr>
            <w:color w:val="000000" w:themeColor="text1"/>
          </w:rPr>
          <w:t xml:space="preserve">includes populations from the Northern America, Eastern Asia, Southern and Western Europe, and Australia and New Zealand regions, </w:t>
        </w:r>
      </w:ins>
      <w:ins w:id="24" w:author="Martin, Greta Katherine" w:date="2025-08-06T09:38:00Z" w16du:dateUtc="2025-08-06T13:38:00Z">
        <w:r w:rsidR="004D2877">
          <w:rPr>
            <w:color w:val="000000" w:themeColor="text1"/>
          </w:rPr>
          <w:t>wit</w:t>
        </w:r>
      </w:ins>
      <w:ins w:id="25" w:author="Martin, Greta Katherine" w:date="2025-08-06T09:39:00Z" w16du:dateUtc="2025-08-06T13:39:00Z">
        <w:r w:rsidR="004D2877">
          <w:rPr>
            <w:color w:val="000000" w:themeColor="text1"/>
          </w:rPr>
          <w:t xml:space="preserve">h </w:t>
        </w:r>
      </w:ins>
      <w:ins w:id="26" w:author="Martin, Greta Katherine" w:date="2025-08-06T09:40:00Z" w16du:dateUtc="2025-08-06T13:40:00Z">
        <w:r w:rsidR="004D2877">
          <w:rPr>
            <w:color w:val="000000" w:themeColor="text1"/>
          </w:rPr>
          <w:t xml:space="preserve">significant </w:t>
        </w:r>
      </w:ins>
      <w:ins w:id="27" w:author="Martin, Greta Katherine" w:date="2025-08-06T09:37:00Z" w16du:dateUtc="2025-08-06T13:37:00Z">
        <w:r w:rsidR="004D2877">
          <w:rPr>
            <w:color w:val="000000" w:themeColor="text1"/>
          </w:rPr>
          <w:t>representation of temperate</w:t>
        </w:r>
      </w:ins>
      <w:ins w:id="28" w:author="Martin, Greta Katherine" w:date="2025-08-06T09:39:00Z" w16du:dateUtc="2025-08-06T13:39:00Z">
        <w:r w:rsidR="004D2877">
          <w:rPr>
            <w:color w:val="000000" w:themeColor="text1"/>
          </w:rPr>
          <w:t xml:space="preserve"> and </w:t>
        </w:r>
      </w:ins>
      <w:ins w:id="29" w:author="Martin, Greta Katherine" w:date="2025-08-06T09:37:00Z" w16du:dateUtc="2025-08-06T13:37:00Z">
        <w:r w:rsidR="004D2877">
          <w:rPr>
            <w:color w:val="000000" w:themeColor="text1"/>
          </w:rPr>
          <w:t>continental</w:t>
        </w:r>
      </w:ins>
      <w:ins w:id="30" w:author="Martin, Greta Katherine" w:date="2025-08-06T09:39:00Z" w16du:dateUtc="2025-08-06T13:39:00Z">
        <w:r w:rsidR="004D2877">
          <w:rPr>
            <w:color w:val="000000" w:themeColor="text1"/>
          </w:rPr>
          <w:t xml:space="preserve"> climates and limited inclusion of select</w:t>
        </w:r>
      </w:ins>
      <w:ins w:id="31" w:author="Martin, Greta Katherine" w:date="2025-08-06T09:37:00Z" w16du:dateUtc="2025-08-06T13:37:00Z">
        <w:r w:rsidR="004D2877">
          <w:rPr>
            <w:color w:val="000000" w:themeColor="text1"/>
          </w:rPr>
          <w:t xml:space="preserve"> arid</w:t>
        </w:r>
      </w:ins>
      <w:ins w:id="32" w:author="Martin, Greta Katherine" w:date="2025-08-06T09:39:00Z" w16du:dateUtc="2025-08-06T13:39:00Z">
        <w:r w:rsidR="004D2877">
          <w:rPr>
            <w:color w:val="000000" w:themeColor="text1"/>
          </w:rPr>
          <w:t xml:space="preserve"> </w:t>
        </w:r>
      </w:ins>
      <w:ins w:id="33" w:author="Martin, Greta Katherine" w:date="2025-08-06T09:37:00Z" w16du:dateUtc="2025-08-06T13:37:00Z">
        <w:r w:rsidR="004D2877">
          <w:rPr>
            <w:color w:val="000000" w:themeColor="text1"/>
          </w:rPr>
          <w:t>and tropical cities,</w:t>
        </w:r>
      </w:ins>
      <w:ins w:id="34" w:author="Martin, Greta Katherine" w:date="2025-08-06T09:33:00Z" w16du:dateUtc="2025-08-06T13:33:00Z">
        <w:r w:rsidR="004D2877">
          <w:rPr>
            <w:color w:val="000000" w:themeColor="text1"/>
          </w:rPr>
          <w:t xml:space="preserve"> </w:t>
        </w:r>
      </w:ins>
      <w:r w:rsidR="00F80B47" w:rsidRPr="00741FA6">
        <w:rPr>
          <w:color w:val="000000" w:themeColor="text1"/>
        </w:rPr>
        <w:t>to be as generalizable as possible.</w:t>
      </w:r>
      <w:ins w:id="35" w:author="Martin, Greta Katherine" w:date="2025-08-06T09:37:00Z" w16du:dateUtc="2025-08-06T13:37:00Z">
        <w:r w:rsidR="004D2877">
          <w:rPr>
            <w:color w:val="000000" w:themeColor="text1"/>
          </w:rPr>
          <w:t xml:space="preserve"> </w:t>
        </w:r>
      </w:ins>
      <w:ins w:id="36" w:author="Martin, Greta Katherine" w:date="2025-08-06T09:50:00Z" w16du:dateUtc="2025-08-06T13:50:00Z">
        <w:r w:rsidR="00760129">
          <w:t>T</w:t>
        </w:r>
      </w:ins>
      <w:ins w:id="37" w:author="Martin, Greta Katherine" w:date="2025-08-06T09:37:00Z" w16du:dateUtc="2025-08-06T13:37:00Z">
        <w:r w:rsidR="004D2877">
          <w:t xml:space="preserve">he uncertainty of our estimates is </w:t>
        </w:r>
      </w:ins>
      <w:ins w:id="38" w:author="Martin, Greta Katherine" w:date="2025-08-06T09:41:00Z" w16du:dateUtc="2025-08-06T13:41:00Z">
        <w:r w:rsidR="004D2877">
          <w:t>larger</w:t>
        </w:r>
      </w:ins>
      <w:ins w:id="39" w:author="Martin, Greta Katherine" w:date="2025-08-06T09:37:00Z" w16du:dateUtc="2025-08-06T13:37:00Z">
        <w:r w:rsidR="004D2877">
          <w:t xml:space="preserve"> for cities in regions and climate zones not </w:t>
        </w:r>
      </w:ins>
      <w:ins w:id="40" w:author="Martin, Greta Katherine" w:date="2025-08-06T09:41:00Z" w16du:dateUtc="2025-08-06T13:41:00Z">
        <w:r w:rsidR="004D2877">
          <w:t>well-</w:t>
        </w:r>
      </w:ins>
      <w:ins w:id="41" w:author="Martin, Greta Katherine" w:date="2025-08-06T09:37:00Z" w16du:dateUtc="2025-08-06T13:37:00Z">
        <w:r w:rsidR="004D2877">
          <w:t xml:space="preserve">represented by the meta-analysis. </w:t>
        </w:r>
      </w:ins>
      <w:del w:id="42" w:author="Martin, Greta Katherine" w:date="2025-08-06T09:40:00Z" w16du:dateUtc="2025-08-06T13:40:00Z">
        <w:r w:rsidR="00F80B47" w:rsidRPr="00741FA6" w:rsidDel="004D2877">
          <w:rPr>
            <w:color w:val="000000" w:themeColor="text1"/>
          </w:rPr>
          <w:delText xml:space="preserve"> </w:delText>
        </w:r>
      </w:del>
      <w:r w:rsidR="00F80B47" w:rsidRPr="00741FA6">
        <w:rPr>
          <w:color w:val="000000" w:themeColor="text1"/>
        </w:rPr>
        <w:t xml:space="preserve">While the current evidence base linking greenspace and all-cause mortality does not support a city-specific approach, there are many city-level factors that </w:t>
      </w:r>
      <w:r w:rsidR="006B0C9A">
        <w:rPr>
          <w:color w:val="000000" w:themeColor="text1"/>
        </w:rPr>
        <w:t>c</w:t>
      </w:r>
      <w:r w:rsidR="00F80B47" w:rsidRPr="00741FA6">
        <w:rPr>
          <w:color w:val="000000" w:themeColor="text1"/>
        </w:rPr>
        <w:t>ould theoretically influence the relationship</w:t>
      </w:r>
      <w:del w:id="43" w:author="Martin, Greta Katherine" w:date="2025-08-05T14:44:00Z" w16du:dateUtc="2025-08-05T18:44:00Z">
        <w:r w:rsidR="00F80B47" w:rsidRPr="00741FA6" w:rsidDel="00845FF9">
          <w:rPr>
            <w:color w:val="000000" w:themeColor="text1"/>
          </w:rPr>
          <w:delText xml:space="preserve">   </w:delText>
        </w:r>
      </w:del>
      <w:r w:rsidR="00F80B47" w:rsidRPr="00741FA6">
        <w:rPr>
          <w:color w:val="000000" w:themeColor="text1"/>
        </w:rPr>
        <w:t xml:space="preserve"> between greenspace and mortality</w:t>
      </w:r>
      <w:ins w:id="44" w:author="Martin, Greta Katherine" w:date="2025-08-05T14:45:00Z" w16du:dateUtc="2025-08-05T18:45:00Z">
        <w:r w:rsidR="00845FF9">
          <w:rPr>
            <w:color w:val="000000" w:themeColor="text1"/>
          </w:rPr>
          <w:t xml:space="preserve">. </w:t>
        </w:r>
        <w:r w:rsidR="00845FF9">
          <w:rPr>
            <w:color w:val="000000" w:themeColor="text1"/>
          </w:rPr>
          <w:t xml:space="preserve">A </w:t>
        </w:r>
        <w:r w:rsidR="00845FF9" w:rsidRPr="00133807">
          <w:rPr>
            <w:color w:val="000000"/>
          </w:rPr>
          <w:t xml:space="preserve">few studies have tested </w:t>
        </w:r>
        <w:r w:rsidR="00845FF9">
          <w:rPr>
            <w:color w:val="000000"/>
          </w:rPr>
          <w:t>the</w:t>
        </w:r>
        <w:r w:rsidR="00845FF9" w:rsidRPr="00133807">
          <w:rPr>
            <w:color w:val="000000"/>
          </w:rPr>
          <w:t xml:space="preserve"> causal pathways </w:t>
        </w:r>
        <w:r w:rsidR="00845FF9">
          <w:rPr>
            <w:color w:val="000000"/>
          </w:rPr>
          <w:t xml:space="preserve">linking urban greenspace to reduced mortality </w:t>
        </w:r>
        <w:r w:rsidR="00845FF9" w:rsidRPr="00133807">
          <w:rPr>
            <w:color w:val="000000"/>
          </w:rPr>
          <w:t>and found evidence that greenspace is associated with health through better air quality, increased physical activity, and reduced stre</w:t>
        </w:r>
      </w:ins>
      <w:ins w:id="45" w:author="Martin, Greta Katherine" w:date="2025-08-06T09:45:00Z" w16du:dateUtc="2025-08-06T13:45:00Z">
        <w:r w:rsidR="004675D0">
          <w:rPr>
            <w:color w:val="000000"/>
          </w:rPr>
          <w:t>ss</w:t>
        </w:r>
      </w:ins>
      <w:ins w:id="46" w:author="Martin, Greta Katherine" w:date="2025-08-06T09:48:00Z" w16du:dateUtc="2025-08-06T13:48:00Z">
        <w:r w:rsidR="004675D0">
          <w:rPr>
            <w:color w:val="000000"/>
          </w:rPr>
          <w:t>.</w:t>
        </w:r>
      </w:ins>
      <w:del w:id="47" w:author="Martin, Greta Katherine" w:date="2025-08-06T09:46:00Z" w16du:dateUtc="2025-08-06T13:46:00Z">
        <w:r w:rsidR="004675D0" w:rsidRPr="004675D0" w:rsidDel="004675D0">
          <w:rPr>
            <w:color w:val="000000"/>
            <w:vertAlign w:val="superscript"/>
            <w:rPrChange w:id="48" w:author="Martin, Greta Katherine" w:date="2025-08-06T09:48:00Z" w16du:dateUtc="2025-08-06T13:48:00Z">
              <w:rPr>
                <w:color w:val="000000"/>
              </w:rPr>
            </w:rPrChange>
          </w:rPr>
          <w:fldChar w:fldCharType="begin"/>
        </w:r>
        <w:r w:rsidR="004675D0" w:rsidRPr="004675D0" w:rsidDel="004675D0">
          <w:rPr>
            <w:color w:val="000000"/>
            <w:vertAlign w:val="superscript"/>
            <w:rPrChange w:id="49" w:author="Martin, Greta Katherine" w:date="2025-08-06T09:48:00Z" w16du:dateUtc="2025-08-06T13:48:00Z">
              <w:rPr>
                <w:color w:val="000000"/>
              </w:rPr>
            </w:rPrChange>
          </w:rPr>
          <w:delInstrText xml:space="preserve"> ADDIN ZOTERO_TEMP </w:delInstrText>
        </w:r>
        <w:r w:rsidR="004675D0" w:rsidRPr="004675D0" w:rsidDel="004675D0">
          <w:rPr>
            <w:color w:val="000000"/>
            <w:vertAlign w:val="superscript"/>
            <w:rPrChange w:id="50" w:author="Martin, Greta Katherine" w:date="2025-08-06T09:48:00Z" w16du:dateUtc="2025-08-06T13:48:00Z">
              <w:rPr>
                <w:color w:val="000000"/>
              </w:rPr>
            </w:rPrChange>
          </w:rPr>
          <w:fldChar w:fldCharType="separate"/>
        </w:r>
        <w:r w:rsidR="004675D0" w:rsidRPr="004675D0" w:rsidDel="004675D0">
          <w:rPr>
            <w:noProof/>
            <w:color w:val="000000"/>
            <w:vertAlign w:val="superscript"/>
            <w:rPrChange w:id="51" w:author="Martin, Greta Katherine" w:date="2025-08-06T09:48:00Z" w16du:dateUtc="2025-08-06T13:48:00Z">
              <w:rPr>
                <w:noProof/>
                <w:color w:val="000000"/>
              </w:rPr>
            </w:rPrChange>
          </w:rPr>
          <w:delText>{Citation}</w:delText>
        </w:r>
        <w:r w:rsidR="004675D0" w:rsidRPr="004675D0" w:rsidDel="004675D0">
          <w:rPr>
            <w:color w:val="000000"/>
            <w:vertAlign w:val="superscript"/>
            <w:rPrChange w:id="52" w:author="Martin, Greta Katherine" w:date="2025-08-06T09:48:00Z" w16du:dateUtc="2025-08-06T13:48:00Z">
              <w:rPr>
                <w:color w:val="000000"/>
              </w:rPr>
            </w:rPrChange>
          </w:rPr>
          <w:fldChar w:fldCharType="end"/>
        </w:r>
      </w:del>
      <w:del w:id="53" w:author="Martin, Greta Katherine" w:date="2025-08-06T09:45:00Z" w16du:dateUtc="2025-08-06T13:45:00Z">
        <w:r w:rsidR="004675D0" w:rsidRPr="004675D0" w:rsidDel="004675D0">
          <w:rPr>
            <w:color w:val="000000"/>
            <w:vertAlign w:val="superscript"/>
            <w:rPrChange w:id="54" w:author="Martin, Greta Katherine" w:date="2025-08-06T09:48:00Z" w16du:dateUtc="2025-08-06T13:48:00Z">
              <w:rPr>
                <w:color w:val="000000"/>
              </w:rPr>
            </w:rPrChange>
          </w:rPr>
          <w:fldChar w:fldCharType="begin"/>
        </w:r>
        <w:r w:rsidR="004675D0" w:rsidRPr="004675D0" w:rsidDel="004675D0">
          <w:rPr>
            <w:color w:val="000000"/>
            <w:vertAlign w:val="superscript"/>
            <w:rPrChange w:id="55" w:author="Martin, Greta Katherine" w:date="2025-08-06T09:48:00Z" w16du:dateUtc="2025-08-06T13:48:00Z">
              <w:rPr>
                <w:color w:val="000000"/>
              </w:rPr>
            </w:rPrChange>
          </w:rPr>
          <w:delInstrText xml:space="preserve"> ADDIN ZOTERO_TEMP </w:delInstrText>
        </w:r>
        <w:r w:rsidR="004675D0" w:rsidRPr="004675D0" w:rsidDel="004675D0">
          <w:rPr>
            <w:color w:val="000000"/>
            <w:vertAlign w:val="superscript"/>
            <w:rPrChange w:id="56" w:author="Martin, Greta Katherine" w:date="2025-08-06T09:48:00Z" w16du:dateUtc="2025-08-06T13:48:00Z">
              <w:rPr>
                <w:color w:val="000000"/>
              </w:rPr>
            </w:rPrChange>
          </w:rPr>
          <w:fldChar w:fldCharType="separate"/>
        </w:r>
        <w:r w:rsidR="004675D0" w:rsidRPr="004675D0" w:rsidDel="004675D0">
          <w:rPr>
            <w:noProof/>
            <w:color w:val="000000"/>
            <w:vertAlign w:val="superscript"/>
            <w:rPrChange w:id="57" w:author="Martin, Greta Katherine" w:date="2025-08-06T09:48:00Z" w16du:dateUtc="2025-08-06T13:48:00Z">
              <w:rPr>
                <w:noProof/>
                <w:color w:val="000000"/>
              </w:rPr>
            </w:rPrChange>
          </w:rPr>
          <w:delText>{Citation}</w:delText>
        </w:r>
        <w:r w:rsidR="004675D0" w:rsidRPr="004675D0" w:rsidDel="004675D0">
          <w:rPr>
            <w:color w:val="000000"/>
            <w:vertAlign w:val="superscript"/>
            <w:rPrChange w:id="58" w:author="Martin, Greta Katherine" w:date="2025-08-06T09:48:00Z" w16du:dateUtc="2025-08-06T13:48:00Z">
              <w:rPr>
                <w:color w:val="000000"/>
              </w:rPr>
            </w:rPrChange>
          </w:rPr>
          <w:fldChar w:fldCharType="end"/>
        </w:r>
      </w:del>
      <w:ins w:id="59" w:author="Martin, Greta Katherine" w:date="2025-08-06T09:48:00Z" w16du:dateUtc="2025-08-06T13:48:00Z">
        <w:r w:rsidR="004675D0">
          <w:rPr>
            <w:color w:val="000000"/>
            <w:vertAlign w:val="superscript"/>
          </w:rPr>
          <w:t>16</w:t>
        </w:r>
      </w:ins>
      <w:r w:rsidR="00F80B47" w:rsidRPr="00741FA6">
        <w:rPr>
          <w:color w:val="000000" w:themeColor="text1"/>
        </w:rPr>
        <w:t xml:space="preserve"> </w:t>
      </w:r>
      <w:del w:id="60" w:author="Martin, Greta Katherine" w:date="2025-08-05T14:45:00Z" w16du:dateUtc="2025-08-05T18:45:00Z">
        <w:r w:rsidR="00F80B47" w:rsidRPr="00741FA6" w:rsidDel="00845FF9">
          <w:rPr>
            <w:color w:val="000000" w:themeColor="text1"/>
          </w:rPr>
          <w:delText>such as</w:delText>
        </w:r>
      </w:del>
      <w:r w:rsidR="00F80B47" w:rsidRPr="00741FA6">
        <w:rPr>
          <w:color w:val="000000" w:themeColor="text1"/>
        </w:rPr>
        <w:t xml:space="preserve"> </w:t>
      </w:r>
      <w:ins w:id="61" w:author="Martin, Greta Katherine" w:date="2025-08-05T14:46:00Z" w16du:dateUtc="2025-08-05T18:46:00Z">
        <w:r w:rsidR="00845FF9">
          <w:rPr>
            <w:color w:val="000000" w:themeColor="text1"/>
          </w:rPr>
          <w:t xml:space="preserve">City </w:t>
        </w:r>
      </w:ins>
      <w:del w:id="62" w:author="Martin, Greta Katherine" w:date="2025-08-05T14:45:00Z" w16du:dateUtc="2025-08-05T18:45:00Z">
        <w:r w:rsidR="00F80B47" w:rsidRPr="00741FA6" w:rsidDel="00845FF9">
          <w:rPr>
            <w:color w:val="000000" w:themeColor="text1"/>
          </w:rPr>
          <w:delText>c</w:delText>
        </w:r>
        <w:r w:rsidRPr="00741FA6" w:rsidDel="00845FF9">
          <w:rPr>
            <w:color w:val="000000" w:themeColor="text1"/>
          </w:rPr>
          <w:delText xml:space="preserve">ity </w:delText>
        </w:r>
      </w:del>
      <w:r w:rsidRPr="00741FA6">
        <w:rPr>
          <w:color w:val="000000" w:themeColor="text1"/>
        </w:rPr>
        <w:t xml:space="preserve">walkability (safety, pedestrian infrastructure, traffic, etc.), time spent </w:t>
      </w:r>
      <w:del w:id="63" w:author="Martin, Greta Katherine" w:date="2025-08-05T14:46:00Z" w16du:dateUtc="2025-08-05T18:46:00Z">
        <w:r w:rsidRPr="00741FA6" w:rsidDel="00845FF9">
          <w:rPr>
            <w:color w:val="000000" w:themeColor="text1"/>
          </w:rPr>
          <w:delText xml:space="preserve">at </w:delText>
        </w:r>
      </w:del>
      <w:ins w:id="64" w:author="Martin, Greta Katherine" w:date="2025-08-05T14:46:00Z" w16du:dateUtc="2025-08-05T18:46:00Z">
        <w:r w:rsidR="00845FF9">
          <w:rPr>
            <w:color w:val="000000" w:themeColor="text1"/>
          </w:rPr>
          <w:t>near</w:t>
        </w:r>
        <w:r w:rsidR="00845FF9" w:rsidRPr="00741FA6">
          <w:rPr>
            <w:color w:val="000000" w:themeColor="text1"/>
          </w:rPr>
          <w:t xml:space="preserve"> </w:t>
        </w:r>
      </w:ins>
      <w:r w:rsidRPr="00741FA6">
        <w:rPr>
          <w:color w:val="000000" w:themeColor="text1"/>
        </w:rPr>
        <w:t xml:space="preserve">home where we have measured their exposure (employment type, leisure time, etc.), and </w:t>
      </w:r>
      <w:del w:id="65" w:author="Martin, Greta Katherine" w:date="2025-08-05T14:47:00Z" w16du:dateUtc="2025-08-05T18:47:00Z">
        <w:r w:rsidRPr="00741FA6" w:rsidDel="00845FF9">
          <w:rPr>
            <w:color w:val="000000" w:themeColor="text1"/>
          </w:rPr>
          <w:delText xml:space="preserve">other </w:delText>
        </w:r>
      </w:del>
      <w:ins w:id="66" w:author="Martin, Greta Katherine" w:date="2025-08-05T14:47:00Z" w16du:dateUtc="2025-08-05T18:47:00Z">
        <w:r w:rsidR="00845FF9">
          <w:rPr>
            <w:color w:val="000000" w:themeColor="text1"/>
          </w:rPr>
          <w:t>baseline</w:t>
        </w:r>
        <w:r w:rsidR="00845FF9" w:rsidRPr="00741FA6">
          <w:rPr>
            <w:color w:val="000000" w:themeColor="text1"/>
          </w:rPr>
          <w:t xml:space="preserve"> </w:t>
        </w:r>
      </w:ins>
      <w:r w:rsidRPr="00741FA6">
        <w:rPr>
          <w:color w:val="000000" w:themeColor="text1"/>
        </w:rPr>
        <w:t xml:space="preserve">environmental hazards (heat, air pollution, noise, </w:t>
      </w:r>
      <w:proofErr w:type="spellStart"/>
      <w:r w:rsidRPr="00741FA6">
        <w:rPr>
          <w:color w:val="000000" w:themeColor="text1"/>
        </w:rPr>
        <w:t>etc</w:t>
      </w:r>
      <w:proofErr w:type="spellEnd"/>
      <w:r w:rsidR="00F80B47" w:rsidRPr="00741FA6">
        <w:rPr>
          <w:color w:val="000000" w:themeColor="text1"/>
        </w:rPr>
        <w:t>)</w:t>
      </w:r>
      <w:ins w:id="67" w:author="Martin, Greta Katherine" w:date="2025-08-05T14:46:00Z" w16du:dateUtc="2025-08-05T18:46:00Z">
        <w:r w:rsidR="00845FF9">
          <w:rPr>
            <w:color w:val="000000" w:themeColor="text1"/>
          </w:rPr>
          <w:t xml:space="preserve"> may </w:t>
        </w:r>
      </w:ins>
      <w:ins w:id="68" w:author="Martin, Greta Katherine" w:date="2025-08-05T14:47:00Z" w16du:dateUtc="2025-08-05T18:47:00Z">
        <w:r w:rsidR="00845FF9">
          <w:rPr>
            <w:color w:val="000000" w:themeColor="text1"/>
          </w:rPr>
          <w:t>impact the strength of the greenspace-health relationship across different cities</w:t>
        </w:r>
      </w:ins>
      <w:ins w:id="69" w:author="Martin, Greta Katherine" w:date="2025-08-05T14:48:00Z" w16du:dateUtc="2025-08-05T18:48:00Z">
        <w:r w:rsidR="00845FF9">
          <w:rPr>
            <w:color w:val="000000" w:themeColor="text1"/>
          </w:rPr>
          <w:t xml:space="preserve"> in addition to </w:t>
        </w:r>
      </w:ins>
      <w:del w:id="70" w:author="Martin, Greta Katherine" w:date="2025-08-05T14:48:00Z" w16du:dateUtc="2025-08-05T18:48:00Z">
        <w:r w:rsidRPr="00741FA6" w:rsidDel="00845FF9">
          <w:rPr>
            <w:color w:val="000000" w:themeColor="text1"/>
          </w:rPr>
          <w:delText>.</w:delText>
        </w:r>
      </w:del>
      <w:ins w:id="71" w:author="Martin, Greta Katherine" w:date="2025-08-05T14:48:00Z" w16du:dateUtc="2025-08-05T18:48:00Z">
        <w:r w:rsidR="00845FF9">
          <w:rPr>
            <w:color w:val="000000" w:themeColor="text1"/>
          </w:rPr>
          <w:t>i</w:t>
        </w:r>
      </w:ins>
      <w:del w:id="72" w:author="Martin, Greta Katherine" w:date="2025-08-05T14:48:00Z" w16du:dateUtc="2025-08-05T18:48:00Z">
        <w:r w:rsidRPr="00741FA6" w:rsidDel="00845FF9">
          <w:rPr>
            <w:color w:val="000000" w:themeColor="text1"/>
          </w:rPr>
          <w:delText xml:space="preserve"> I</w:delText>
        </w:r>
      </w:del>
      <w:r w:rsidRPr="00741FA6">
        <w:rPr>
          <w:color w:val="000000" w:themeColor="text1"/>
        </w:rPr>
        <w:t>ndividual factors like age, socioeconomic status, and gender</w:t>
      </w:r>
      <w:del w:id="73" w:author="Martin, Greta Katherine" w:date="2025-08-05T14:48:00Z" w16du:dateUtc="2025-08-05T18:48:00Z">
        <w:r w:rsidRPr="00741FA6" w:rsidDel="00845FF9">
          <w:rPr>
            <w:color w:val="000000" w:themeColor="text1"/>
          </w:rPr>
          <w:delText xml:space="preserve"> might impact the health benefits of greenspace</w:delText>
        </w:r>
      </w:del>
      <w:r w:rsidRPr="00741FA6">
        <w:rPr>
          <w:color w:val="000000" w:themeColor="text1"/>
        </w:rPr>
        <w:t xml:space="preserve">. While the meta-analysis </w:t>
      </w:r>
      <w:r>
        <w:t>we used controls for many of these city and individual factors, the populations included might not be generalizable globally.</w:t>
      </w:r>
      <w:ins w:id="74" w:author="Martin, Greta Katherine" w:date="2025-08-05T17:45:00Z" w16du:dateUtc="2025-08-05T21:45:00Z">
        <w:r w:rsidR="0035526C">
          <w:t xml:space="preserve"> </w:t>
        </w:r>
      </w:ins>
      <w:del w:id="75" w:author="Martin, Greta Katherine" w:date="2025-08-06T09:37:00Z" w16du:dateUtc="2025-08-06T13:37:00Z">
        <w:r w:rsidR="00B050E8" w:rsidDel="004D2877">
          <w:delText xml:space="preserve"> </w:delText>
        </w:r>
      </w:del>
    </w:p>
    <w:p w14:paraId="04CDA42C" w14:textId="77777777" w:rsidR="00951FAF" w:rsidRDefault="00951FAF" w:rsidP="00551D54">
      <w:pPr>
        <w:rPr>
          <w:ins w:id="76" w:author="Martin, Greta Katherine" w:date="2025-08-05T14:34:00Z" w16du:dateUtc="2025-08-05T18:34:00Z"/>
        </w:rPr>
      </w:pPr>
    </w:p>
    <w:p w14:paraId="28D46362" w14:textId="2870F0E5" w:rsidR="00B050E8" w:rsidRDefault="00190084" w:rsidP="00551D54">
      <w:moveFromRangeStart w:id="77" w:author="Martin, Greta Katherine" w:date="2025-08-05T17:47:00Z" w:name="move205308491"/>
      <w:moveFrom w:id="78" w:author="Martin, Greta Katherine" w:date="2025-08-05T17:47:00Z" w16du:dateUtc="2025-08-05T21:47:00Z">
        <w:r w:rsidDel="0035526C">
          <w:t xml:space="preserve">Additionally, greenspace is relatively high in North American and European cities, meaning that </w:t>
        </w:r>
        <w:r w:rsidR="007E1EF7" w:rsidDel="0035526C">
          <w:t>fewer data points contribute</w:t>
        </w:r>
        <w:r w:rsidDel="0035526C">
          <w:t xml:space="preserve"> to the exposure-response curve at lower </w:t>
        </w:r>
        <w:r w:rsidR="007E1EF7" w:rsidDel="0035526C">
          <w:t xml:space="preserve">NDVI </w:t>
        </w:r>
        <w:r w:rsidDel="0035526C">
          <w:t xml:space="preserve">levels. </w:t>
        </w:r>
      </w:moveFrom>
      <w:moveFromRangeEnd w:id="77"/>
      <w:r w:rsidR="00B050E8">
        <w:t xml:space="preserve">Roughly half of the </w:t>
      </w:r>
      <w:r w:rsidR="00F84646">
        <w:t xml:space="preserve">nine </w:t>
      </w:r>
      <w:r w:rsidR="00B050E8">
        <w:t>studies included in the meta-analysis adjusted for air pollution and two of the</w:t>
      </w:r>
      <w:r w:rsidR="00F84646">
        <w:t>m</w:t>
      </w:r>
      <w:r w:rsidR="00B050E8">
        <w:t xml:space="preserve"> controlled for some aspect of climate or temperature. Because of the heterogeneity in confounders across studies, the estimated exposure-response function captures some amount of the benefits from reduced environmental harms such as the urban heat island effect and air pollution. The results presented here likely underestimate the total health benefits from added greenspace and overestimate those provided by greenspace independent of its impact on other environmental harms. Furthermore, the timescale on which exposure to higher levels of NDVI improves health is unknown. The studies included in the meta-analysis range in follow-up time from four to 18 years. </w:t>
      </w:r>
      <w:r w:rsidR="00116098">
        <w:t>If the changes in NDVI across the two time periods do not reflect true trends but rather temporary increases or decreases, our results will not be applicable to future heath projections.</w:t>
      </w:r>
      <w:ins w:id="79" w:author="Martin, Greta Katherine" w:date="2025-08-05T14:35:00Z" w16du:dateUtc="2025-08-05T18:35:00Z">
        <w:r w:rsidR="00951FAF">
          <w:t xml:space="preserve"> </w:t>
        </w:r>
      </w:ins>
      <w:ins w:id="80" w:author="Martin, Greta Katherine" w:date="2025-08-05T14:38:00Z" w16du:dateUtc="2025-08-05T18:38:00Z">
        <w:r w:rsidR="00951FAF">
          <w:t>Moreover, t</w:t>
        </w:r>
      </w:ins>
      <w:ins w:id="81" w:author="Martin, Greta Katherine" w:date="2025-08-05T14:36:00Z" w16du:dateUtc="2025-08-05T18:36:00Z">
        <w:r w:rsidR="00951FAF">
          <w:t xml:space="preserve">he studies included in the meta-analysis compare NDVI across </w:t>
        </w:r>
      </w:ins>
      <w:ins w:id="82" w:author="Martin, Greta Katherine" w:date="2025-08-05T14:37:00Z" w16du:dateUtc="2025-08-05T18:37:00Z">
        <w:r w:rsidR="00951FAF">
          <w:t xml:space="preserve">locations. Our study assumes that the mortality relationships found </w:t>
        </w:r>
      </w:ins>
      <w:ins w:id="83" w:author="Martin, Greta Katherine" w:date="2025-08-05T14:38:00Z" w16du:dateUtc="2025-08-05T18:38:00Z">
        <w:r w:rsidR="00C428C8">
          <w:t xml:space="preserve">when </w:t>
        </w:r>
      </w:ins>
      <w:ins w:id="84" w:author="Martin, Greta Katherine" w:date="2025-08-05T14:37:00Z" w16du:dateUtc="2025-08-05T18:37:00Z">
        <w:r w:rsidR="00951FAF">
          <w:t xml:space="preserve">comparing spatial differences in NDVI </w:t>
        </w:r>
      </w:ins>
      <w:ins w:id="85" w:author="Martin, Greta Katherine" w:date="2025-08-05T14:39:00Z" w16du:dateUtc="2025-08-05T18:39:00Z">
        <w:r w:rsidR="000B7149">
          <w:t>can be applied</w:t>
        </w:r>
        <w:r w:rsidR="00322DD1">
          <w:t xml:space="preserve"> </w:t>
        </w:r>
        <w:r w:rsidR="000B7149">
          <w:t>to</w:t>
        </w:r>
      </w:ins>
      <w:ins w:id="86" w:author="Martin, Greta Katherine" w:date="2025-08-05T14:37:00Z" w16du:dateUtc="2025-08-05T18:37:00Z">
        <w:r w:rsidR="00951FAF">
          <w:t xml:space="preserve"> tempor</w:t>
        </w:r>
      </w:ins>
      <w:ins w:id="87" w:author="Martin, Greta Katherine" w:date="2025-08-05T14:38:00Z" w16du:dateUtc="2025-08-05T18:38:00Z">
        <w:r w:rsidR="00951FAF">
          <w:t xml:space="preserve">al </w:t>
        </w:r>
      </w:ins>
      <w:ins w:id="88" w:author="Martin, Greta Katherine" w:date="2025-08-05T14:39:00Z" w16du:dateUtc="2025-08-05T18:39:00Z">
        <w:r w:rsidR="00322DD1">
          <w:t>differences</w:t>
        </w:r>
      </w:ins>
      <w:ins w:id="89" w:author="Martin, Greta Katherine" w:date="2025-08-05T14:38:00Z" w16du:dateUtc="2025-08-05T18:38:00Z">
        <w:r w:rsidR="00951FAF">
          <w:t xml:space="preserve">. </w:t>
        </w:r>
      </w:ins>
    </w:p>
    <w:p w14:paraId="4BAED56C" w14:textId="77777777" w:rsidR="00B050E8" w:rsidRDefault="00B050E8" w:rsidP="00551D54"/>
    <w:p w14:paraId="5DAB37FE" w14:textId="7C72658D" w:rsidR="008C3F1F" w:rsidRDefault="00190084" w:rsidP="00551D54">
      <w:r>
        <w:t>We</w:t>
      </w:r>
      <w:r w:rsidR="00010CDC">
        <w:t xml:space="preserve"> use</w:t>
      </w:r>
      <w:r w:rsidR="00A75BA5">
        <w:t>d</w:t>
      </w:r>
      <w:r w:rsidR="00010CDC">
        <w:t xml:space="preserve"> NDVI to measure urban greenspac</w:t>
      </w:r>
      <w:r w:rsidR="00D673DE">
        <w:t>e, which has limitations</w:t>
      </w:r>
      <w:r w:rsidR="00010CDC">
        <w:t>. NDVI is t</w:t>
      </w:r>
      <w:r w:rsidR="00AA3F0D">
        <w:t>he most common metric used in epidemiological studies, because of its fine spatial and temporal resolution, which lends itself particularly well to longitudinal studies</w:t>
      </w:r>
      <w:r w:rsidR="00BB1079">
        <w:t xml:space="preserve"> and urban settings</w:t>
      </w:r>
      <w:r w:rsidR="00AA3F0D">
        <w:t xml:space="preserve">. </w:t>
      </w:r>
      <w:r w:rsidR="00010CDC">
        <w:t>However,</w:t>
      </w:r>
      <w:r w:rsidR="00AA3F0D">
        <w:t xml:space="preserve"> NDVI is a function of the greenness of vegetation, which can miss important factors influencing usability </w:t>
      </w:r>
      <w:r w:rsidR="00AA3F0D">
        <w:lastRenderedPageBreak/>
        <w:t xml:space="preserve">such as land ownership, perceptions of safety, and infrastructure. </w:t>
      </w:r>
      <w:r w:rsidR="00457E7E">
        <w:t>Finally, we used baseline mortality rates from the Global Burden of Disease study, which were largely available at the country level, and may not be reflective of baseline mortality rates in cities.</w:t>
      </w:r>
    </w:p>
    <w:p w14:paraId="69A978C6" w14:textId="77777777" w:rsidR="008C3F1F" w:rsidRDefault="008C3F1F" w:rsidP="00551D54"/>
    <w:p w14:paraId="2D700140" w14:textId="7BFEA973" w:rsidR="008929AF" w:rsidRDefault="008C3F1F" w:rsidP="00551D54">
      <w:r>
        <w:t>W</w:t>
      </w:r>
      <w:r w:rsidR="00C802AF">
        <w:t xml:space="preserve">e found substantial </w:t>
      </w:r>
      <w:r w:rsidR="00FE4044">
        <w:t>inter-</w:t>
      </w:r>
      <w:r w:rsidR="00C802AF">
        <w:t xml:space="preserve">annual variation in NDVI, particularly </w:t>
      </w:r>
      <w:r w:rsidR="00CC782D">
        <w:t xml:space="preserve">in cities outside of arid climate zones. </w:t>
      </w:r>
      <w:r w:rsidR="008929AF">
        <w:t>Differences in NDVI between two individual years are therefore more likely to reflect weather patterns than city-wide efforts towards urban greening.</w:t>
      </w:r>
      <w:r w:rsidR="00AD04B4">
        <w:t xml:space="preserve"> Urbanization in the past decade could also </w:t>
      </w:r>
      <w:r w:rsidR="004F541A">
        <w:t>contribute to these changes, as we used a consistent urban boundary definition across the ten-year period, however cities may have grown and morphed over this time.</w:t>
      </w:r>
      <w:r w:rsidR="00AC04E2">
        <w:t xml:space="preserve"> We explored changes in urban fraction in a sensitivity analysis (Fig. S7</w:t>
      </w:r>
      <w:r w:rsidR="00DC38FF">
        <w:t>, S8</w:t>
      </w:r>
      <w:r w:rsidR="00AC04E2">
        <w:t>) and found no correlation between the urban fraction across cities and year.</w:t>
      </w:r>
      <w:r w:rsidR="00E710C0" w:rsidDel="00E710C0">
        <w:t xml:space="preserve"> </w:t>
      </w:r>
      <w:r w:rsidR="008929AF">
        <w:t>To account for cyclical patterns, we compare</w:t>
      </w:r>
      <w:r w:rsidR="00010CDC">
        <w:t>d</w:t>
      </w:r>
      <w:r w:rsidR="008929AF">
        <w:t xml:space="preserve"> differences between two 5-year periods. </w:t>
      </w:r>
      <w:r w:rsidR="004F5056">
        <w:t xml:space="preserve">These time periods roughly align with the Lancet Countdown’s reporting, which has published greenspace exposure dating back to 2015, while creating two equal time periods and using the latest available data. </w:t>
      </w:r>
      <w:r w:rsidR="00933057">
        <w:t xml:space="preserve">While </w:t>
      </w:r>
      <w:r w:rsidR="00010CDC">
        <w:t xml:space="preserve">our exposure definition limits the influence of weather </w:t>
      </w:r>
      <w:r w:rsidR="00BC176E">
        <w:t>o</w:t>
      </w:r>
      <w:r w:rsidR="00010CDC">
        <w:t xml:space="preserve">n our </w:t>
      </w:r>
      <w:r w:rsidR="00BC176E">
        <w:t xml:space="preserve">NDVI </w:t>
      </w:r>
      <w:r w:rsidR="00010CDC">
        <w:t xml:space="preserve">estimates, the inter-annual variation highlights </w:t>
      </w:r>
      <w:r w:rsidR="00A75BA5">
        <w:t xml:space="preserve">difficulties </w:t>
      </w:r>
      <w:r w:rsidR="00933057">
        <w:t>with</w:t>
      </w:r>
      <w:r w:rsidR="00A75BA5">
        <w:t xml:space="preserve"> using</w:t>
      </w:r>
      <w:r w:rsidR="00933057">
        <w:t xml:space="preserve"> NDVI </w:t>
      </w:r>
      <w:r w:rsidR="00A75BA5">
        <w:t>for health impact assessments</w:t>
      </w:r>
      <w:r w:rsidR="00933057">
        <w:t xml:space="preserve">. </w:t>
      </w:r>
      <w:r w:rsidR="00A75BA5">
        <w:t xml:space="preserve">Recent efforts to increase </w:t>
      </w:r>
      <w:r w:rsidR="00435E2B">
        <w:t xml:space="preserve">urban </w:t>
      </w:r>
      <w:r w:rsidR="00A75BA5">
        <w:t xml:space="preserve">greenspace </w:t>
      </w:r>
      <w:r w:rsidR="00B83005">
        <w:t xml:space="preserve">may be </w:t>
      </w:r>
      <w:r w:rsidR="00BC176E">
        <w:t>attenuated</w:t>
      </w:r>
      <w:r w:rsidR="00A75BA5">
        <w:t xml:space="preserve"> in our study </w:t>
      </w:r>
      <w:r w:rsidR="008531B6">
        <w:t xml:space="preserve">by </w:t>
      </w:r>
      <w:r w:rsidR="003958B0">
        <w:t>using</w:t>
      </w:r>
      <w:r w:rsidR="00612307">
        <w:t xml:space="preserve"> </w:t>
      </w:r>
      <w:r w:rsidR="00A75BA5">
        <w:t>five-year average</w:t>
      </w:r>
      <w:r w:rsidR="00612307">
        <w:t>s</w:t>
      </w:r>
      <w:r w:rsidR="00A75BA5">
        <w:t xml:space="preserve">. </w:t>
      </w:r>
      <w:r w:rsidR="00092D06">
        <w:t>We aim to disentangle the impact of different drivers of changes in NDVI in future work to provide a better understanding of the impact of efforts to expand urban greenspace amidst climate change, urbanization, and meteorologic flu</w:t>
      </w:r>
      <w:r w:rsidR="00020AE2">
        <w:t>ct</w:t>
      </w:r>
      <w:r w:rsidR="00092D06">
        <w:t>uations.</w:t>
      </w:r>
    </w:p>
    <w:p w14:paraId="169AAEF3" w14:textId="77777777" w:rsidR="00352531" w:rsidRPr="00E150CA" w:rsidRDefault="00352531" w:rsidP="00551D54"/>
    <w:p w14:paraId="39720810" w14:textId="77777777" w:rsidR="00551D54" w:rsidRPr="00E150CA" w:rsidRDefault="00551D54" w:rsidP="00551D54">
      <w:pPr>
        <w:rPr>
          <w:b/>
          <w:bCs/>
        </w:rPr>
      </w:pPr>
      <w:r w:rsidRPr="00E150CA">
        <w:rPr>
          <w:b/>
          <w:bCs/>
        </w:rPr>
        <w:t>Conclusion</w:t>
      </w:r>
    </w:p>
    <w:p w14:paraId="73C7F6DD" w14:textId="77777777" w:rsidR="00551D54" w:rsidRDefault="00551D54" w:rsidP="00551D54"/>
    <w:p w14:paraId="7AB0316B" w14:textId="20BA4669" w:rsidR="007354C6" w:rsidRDefault="00296762" w:rsidP="00551D54">
      <w:r>
        <w:t>We found large inter-annual variability in NDVI</w:t>
      </w:r>
      <w:r w:rsidR="008E4A82">
        <w:t xml:space="preserve">, likely driven by </w:t>
      </w:r>
      <w:r>
        <w:t>a mix of weather, climate change</w:t>
      </w:r>
      <w:r w:rsidR="00211C0F">
        <w:t>, urban development, and efforts to increase urban greenspace</w:t>
      </w:r>
      <w:r>
        <w:t xml:space="preserve">. </w:t>
      </w:r>
      <w:r w:rsidR="00E401D7">
        <w:t xml:space="preserve">Globally, </w:t>
      </w:r>
      <w:r w:rsidR="008E4A82">
        <w:t xml:space="preserve">urban average </w:t>
      </w:r>
      <w:r w:rsidR="00E401D7">
        <w:t xml:space="preserve">NDVI </w:t>
      </w:r>
      <w:r w:rsidR="002D68C9">
        <w:t xml:space="preserve">remained relatively stable </w:t>
      </w:r>
      <w:r w:rsidR="00E401D7">
        <w:t>from 2014-2018 to 2019-2023</w:t>
      </w:r>
      <w:r w:rsidR="002D68C9">
        <w:t xml:space="preserve">. However, </w:t>
      </w:r>
      <w:r w:rsidR="00736641">
        <w:t xml:space="preserve">we observed </w:t>
      </w:r>
      <w:r w:rsidR="00211C0F">
        <w:t xml:space="preserve">NDVI </w:t>
      </w:r>
      <w:r w:rsidR="00736641">
        <w:t xml:space="preserve">changes </w:t>
      </w:r>
      <w:r w:rsidR="002D68C9">
        <w:t xml:space="preserve">in individual cities </w:t>
      </w:r>
      <w:r w:rsidR="00736641">
        <w:t>of</w:t>
      </w:r>
      <w:r w:rsidR="002D68C9">
        <w:t xml:space="preserve"> over 20%. </w:t>
      </w:r>
      <w:r w:rsidR="00211C0F">
        <w:t>Urban NDVI c</w:t>
      </w:r>
      <w:r w:rsidR="002D68C9">
        <w:t xml:space="preserve">hanges between these two periods were associated with </w:t>
      </w:r>
      <w:r w:rsidR="002E0822">
        <w:t xml:space="preserve">a </w:t>
      </w:r>
      <w:r w:rsidR="009E1DB8">
        <w:t xml:space="preserve">mean </w:t>
      </w:r>
      <w:r w:rsidR="002E0822">
        <w:t xml:space="preserve">of </w:t>
      </w:r>
      <w:r w:rsidR="009E1DB8" w:rsidRPr="00BB6EFB">
        <w:t xml:space="preserve">0.19 </w:t>
      </w:r>
      <w:r w:rsidR="009E1DB8">
        <w:t>(95% CI: 0.15, 0.25)</w:t>
      </w:r>
      <w:r w:rsidR="000537E1">
        <w:t xml:space="preserve"> deaths per 100,000 globally</w:t>
      </w:r>
      <w:r w:rsidR="00211C0F">
        <w:t xml:space="preserve"> each year</w:t>
      </w:r>
      <w:r w:rsidR="000537E1">
        <w:t xml:space="preserve">, ranging from </w:t>
      </w:r>
      <w:r w:rsidR="00CB1D2D">
        <w:t>24.44</w:t>
      </w:r>
      <w:r w:rsidR="000537E1">
        <w:t xml:space="preserve"> fewer to </w:t>
      </w:r>
      <w:r w:rsidR="00CB1D2D">
        <w:t>21.84</w:t>
      </w:r>
      <w:r w:rsidR="002D68C9">
        <w:t xml:space="preserve"> </w:t>
      </w:r>
      <w:r w:rsidR="000537E1">
        <w:t xml:space="preserve">more deaths per 100,000 across the 1,041 cities. </w:t>
      </w:r>
      <w:r w:rsidR="005C53F7">
        <w:t>F</w:t>
      </w:r>
      <w:r>
        <w:t xml:space="preserve">uture </w:t>
      </w:r>
      <w:r w:rsidR="005C53F7">
        <w:t xml:space="preserve">research should </w:t>
      </w:r>
      <w:r>
        <w:t>explor</w:t>
      </w:r>
      <w:r w:rsidR="005C53F7">
        <w:t>e</w:t>
      </w:r>
      <w:r>
        <w:t xml:space="preserve"> alternative measurements to NDVI and </w:t>
      </w:r>
      <w:r w:rsidR="005C53F7">
        <w:t>target</w:t>
      </w:r>
      <w:r>
        <w:t xml:space="preserve"> levels of </w:t>
      </w:r>
      <w:r w:rsidR="005C53F7">
        <w:t xml:space="preserve">urban </w:t>
      </w:r>
      <w:r>
        <w:t xml:space="preserve">greenspace for </w:t>
      </w:r>
      <w:r w:rsidR="005C53F7">
        <w:t>healthy and sustainable cities</w:t>
      </w:r>
      <w:r>
        <w:t>.</w:t>
      </w:r>
    </w:p>
    <w:p w14:paraId="3A59CEA8" w14:textId="77777777" w:rsidR="002B6F7A" w:rsidRPr="00E150CA" w:rsidRDefault="002B6F7A" w:rsidP="00551D54"/>
    <w:p w14:paraId="0B10904C" w14:textId="77777777" w:rsidR="00FA2EC9" w:rsidRDefault="00FA2EC9" w:rsidP="00FA2EC9">
      <w:pPr>
        <w:rPr>
          <w:b/>
          <w:bCs/>
        </w:rPr>
      </w:pPr>
      <w:r w:rsidRPr="00E150CA">
        <w:rPr>
          <w:b/>
          <w:bCs/>
        </w:rPr>
        <w:t>Acknowledgements</w:t>
      </w:r>
    </w:p>
    <w:p w14:paraId="524726AC" w14:textId="77777777" w:rsidR="006D7B2F" w:rsidRPr="00E150CA" w:rsidRDefault="006D7B2F" w:rsidP="00FA2EC9">
      <w:pPr>
        <w:rPr>
          <w:b/>
          <w:bCs/>
        </w:rPr>
      </w:pPr>
    </w:p>
    <w:p w14:paraId="05B4EB36" w14:textId="04165A88" w:rsidR="006D7B2F" w:rsidRPr="00E150CA" w:rsidRDefault="006D7B2F" w:rsidP="00FA2EC9">
      <w:pPr>
        <w:rPr>
          <w:i/>
          <w:iCs/>
          <w:color w:val="156082" w:themeColor="accent1"/>
        </w:rPr>
      </w:pPr>
      <w:r w:rsidRPr="007832F1">
        <w:rPr>
          <w:color w:val="000000" w:themeColor="text1"/>
        </w:rPr>
        <w:t xml:space="preserve">We acknowledge support from </w:t>
      </w:r>
      <w:r>
        <w:rPr>
          <w:color w:val="000000" w:themeColor="text1"/>
        </w:rPr>
        <w:t xml:space="preserve">NASA Grant No. </w:t>
      </w:r>
      <w:r w:rsidRPr="00A55253">
        <w:rPr>
          <w:color w:val="000000" w:themeColor="text1"/>
        </w:rPr>
        <w:t>80NSSC21K0511</w:t>
      </w:r>
      <w:r w:rsidRPr="007832F1">
        <w:rPr>
          <w:color w:val="000000" w:themeColor="text1"/>
        </w:rPr>
        <w:t xml:space="preserve"> and The George Washington University. </w:t>
      </w:r>
    </w:p>
    <w:p w14:paraId="4737E2E0" w14:textId="77777777" w:rsidR="00843353" w:rsidRDefault="00843353" w:rsidP="00FA2EC9">
      <w:pPr>
        <w:rPr>
          <w:b/>
          <w:bCs/>
        </w:rPr>
      </w:pPr>
    </w:p>
    <w:p w14:paraId="2780F2F6" w14:textId="77777777" w:rsidR="00F9185B" w:rsidRDefault="00F9185B" w:rsidP="00FA2EC9">
      <w:pPr>
        <w:rPr>
          <w:b/>
          <w:bCs/>
        </w:rPr>
      </w:pPr>
    </w:p>
    <w:p w14:paraId="21224C58" w14:textId="77777777" w:rsidR="00F9185B" w:rsidRDefault="00F9185B" w:rsidP="00FA2EC9">
      <w:pPr>
        <w:rPr>
          <w:b/>
          <w:bCs/>
        </w:rPr>
      </w:pPr>
    </w:p>
    <w:p w14:paraId="56FBB62B" w14:textId="77777777" w:rsidR="00F9185B" w:rsidRDefault="00F9185B" w:rsidP="00FA2EC9">
      <w:pPr>
        <w:rPr>
          <w:b/>
          <w:bCs/>
        </w:rPr>
      </w:pPr>
    </w:p>
    <w:p w14:paraId="3493518B" w14:textId="77777777" w:rsidR="00F9185B" w:rsidRDefault="00F9185B" w:rsidP="00FA2EC9">
      <w:pPr>
        <w:rPr>
          <w:b/>
          <w:bCs/>
        </w:rPr>
      </w:pPr>
    </w:p>
    <w:p w14:paraId="7674D68C" w14:textId="77777777" w:rsidR="00D33D88" w:rsidRDefault="00D33D88" w:rsidP="00FA2EC9">
      <w:pPr>
        <w:rPr>
          <w:b/>
          <w:bCs/>
        </w:rPr>
      </w:pPr>
    </w:p>
    <w:p w14:paraId="609FBD17" w14:textId="77777777" w:rsidR="00D33D88" w:rsidRDefault="00D33D88" w:rsidP="00FA2EC9">
      <w:pPr>
        <w:rPr>
          <w:b/>
          <w:bCs/>
        </w:rPr>
      </w:pPr>
    </w:p>
    <w:p w14:paraId="15B46A6E" w14:textId="77777777" w:rsidR="00D33D88" w:rsidRDefault="00D33D88" w:rsidP="00FA2EC9">
      <w:pPr>
        <w:rPr>
          <w:b/>
          <w:bCs/>
        </w:rPr>
      </w:pPr>
    </w:p>
    <w:p w14:paraId="202D25C9" w14:textId="77777777" w:rsidR="00D33D88" w:rsidRDefault="00D33D88" w:rsidP="00FA2EC9">
      <w:pPr>
        <w:rPr>
          <w:b/>
          <w:bCs/>
        </w:rPr>
      </w:pPr>
    </w:p>
    <w:p w14:paraId="319241FC" w14:textId="77777777" w:rsidR="00D33D88" w:rsidRDefault="00D33D88" w:rsidP="00FA2EC9">
      <w:pPr>
        <w:rPr>
          <w:b/>
          <w:bCs/>
        </w:rPr>
      </w:pPr>
    </w:p>
    <w:p w14:paraId="53786062" w14:textId="77777777" w:rsidR="00D33D88" w:rsidRDefault="00D33D88" w:rsidP="00FA2EC9">
      <w:pPr>
        <w:rPr>
          <w:b/>
          <w:bCs/>
        </w:rPr>
      </w:pPr>
    </w:p>
    <w:p w14:paraId="21C28E38" w14:textId="77777777" w:rsidR="00D33D88" w:rsidRDefault="00D33D88" w:rsidP="00FA2EC9">
      <w:pPr>
        <w:rPr>
          <w:b/>
          <w:bCs/>
        </w:rPr>
      </w:pPr>
    </w:p>
    <w:p w14:paraId="15D63AF3" w14:textId="77777777" w:rsidR="00D33D88" w:rsidRDefault="00D33D88" w:rsidP="00FA2EC9">
      <w:pPr>
        <w:rPr>
          <w:b/>
          <w:bCs/>
        </w:rPr>
      </w:pPr>
    </w:p>
    <w:p w14:paraId="24526340" w14:textId="77777777" w:rsidR="00D33D88" w:rsidRDefault="00D33D88" w:rsidP="00FA2EC9">
      <w:pPr>
        <w:rPr>
          <w:b/>
          <w:bCs/>
        </w:rPr>
      </w:pPr>
    </w:p>
    <w:p w14:paraId="031C8A14" w14:textId="77777777" w:rsidR="00D33D88" w:rsidRDefault="00D33D88" w:rsidP="00FA2EC9">
      <w:pPr>
        <w:rPr>
          <w:b/>
          <w:bCs/>
        </w:rPr>
      </w:pPr>
    </w:p>
    <w:p w14:paraId="67E57556" w14:textId="77777777" w:rsidR="00D33D88" w:rsidRDefault="00D33D88" w:rsidP="00FA2EC9">
      <w:pPr>
        <w:rPr>
          <w:b/>
          <w:bCs/>
        </w:rPr>
      </w:pPr>
    </w:p>
    <w:p w14:paraId="26936F04" w14:textId="77777777" w:rsidR="00D33D88" w:rsidRDefault="00D33D88" w:rsidP="00FA2EC9">
      <w:pPr>
        <w:rPr>
          <w:b/>
          <w:bCs/>
        </w:rPr>
      </w:pPr>
    </w:p>
    <w:p w14:paraId="22047A74" w14:textId="77777777" w:rsidR="00D33D88" w:rsidRDefault="00D33D88" w:rsidP="00FA2EC9">
      <w:pPr>
        <w:rPr>
          <w:b/>
          <w:bCs/>
        </w:rPr>
      </w:pPr>
    </w:p>
    <w:p w14:paraId="31F888DF" w14:textId="77777777" w:rsidR="00D33D88" w:rsidRDefault="00D33D88" w:rsidP="00FA2EC9">
      <w:pPr>
        <w:rPr>
          <w:b/>
          <w:bCs/>
        </w:rPr>
      </w:pPr>
    </w:p>
    <w:p w14:paraId="68384614" w14:textId="77777777" w:rsidR="00D33D88" w:rsidRDefault="00D33D88" w:rsidP="00FA2EC9">
      <w:pPr>
        <w:rPr>
          <w:b/>
          <w:bCs/>
        </w:rPr>
      </w:pPr>
    </w:p>
    <w:p w14:paraId="6B100723" w14:textId="77777777" w:rsidR="000B3D62" w:rsidRDefault="000B3D62" w:rsidP="00FA2EC9">
      <w:pPr>
        <w:rPr>
          <w:b/>
          <w:bCs/>
        </w:rPr>
      </w:pPr>
    </w:p>
    <w:p w14:paraId="7E49F0EE" w14:textId="70543F5F" w:rsidR="00FA2EC9" w:rsidRDefault="00FA2EC9" w:rsidP="00FA2EC9">
      <w:pPr>
        <w:rPr>
          <w:b/>
          <w:bCs/>
        </w:rPr>
      </w:pPr>
      <w:r w:rsidRPr="00E150CA">
        <w:rPr>
          <w:b/>
          <w:bCs/>
        </w:rPr>
        <w:t>References</w:t>
      </w:r>
    </w:p>
    <w:p w14:paraId="2F307F49" w14:textId="77777777" w:rsidR="00B37854" w:rsidRPr="00E150CA" w:rsidRDefault="00B37854" w:rsidP="00FA2EC9">
      <w:pPr>
        <w:rPr>
          <w:b/>
          <w:bCs/>
        </w:rPr>
      </w:pPr>
    </w:p>
    <w:p w14:paraId="01053D3E" w14:textId="53B689FF" w:rsidR="00B17A5F" w:rsidRPr="00B17A5F" w:rsidRDefault="001E1F53" w:rsidP="00B17A5F">
      <w:pPr>
        <w:pStyle w:val="Bibliography"/>
        <w:rPr>
          <w:rFonts w:ascii="Times New Roman" w:hAnsi="Times New Roman" w:cs="Times New Roman"/>
        </w:rPr>
      </w:pPr>
      <w:r>
        <w:t xml:space="preserve"> </w:t>
      </w:r>
      <w:r w:rsidR="008740AE">
        <w:fldChar w:fldCharType="begin"/>
      </w:r>
      <w:r w:rsidR="004675D0">
        <w:instrText xml:space="preserve"> ADDIN ZOTERO_BIBL {"uncited":[],"omitted":[],"custom":[]} CSL_BIBLIOGRAPHY </w:instrText>
      </w:r>
      <w:r w:rsidR="008740AE">
        <w:fldChar w:fldCharType="separate"/>
      </w:r>
      <w:r w:rsidR="00B17A5F" w:rsidRPr="00B17A5F">
        <w:rPr>
          <w:rFonts w:ascii="Times New Roman" w:hAnsi="Times New Roman" w:cs="Times New Roman"/>
        </w:rPr>
        <w:t>1.</w:t>
      </w:r>
      <w:r w:rsidR="00B17A5F" w:rsidRPr="00B17A5F">
        <w:rPr>
          <w:rFonts w:ascii="Times New Roman" w:hAnsi="Times New Roman" w:cs="Times New Roman"/>
        </w:rPr>
        <w:tab/>
        <w:t xml:space="preserve">Alex Baeumler, Olivia D’Aoust, Maitreyi Das, et al. </w:t>
      </w:r>
      <w:r w:rsidR="00B17A5F" w:rsidRPr="00B17A5F">
        <w:rPr>
          <w:rFonts w:ascii="Times New Roman" w:hAnsi="Times New Roman" w:cs="Times New Roman"/>
          <w:i/>
          <w:iCs/>
        </w:rPr>
        <w:t>Demographic Trends and Urbanization</w:t>
      </w:r>
      <w:r w:rsidR="00B17A5F" w:rsidRPr="00B17A5F">
        <w:rPr>
          <w:rFonts w:ascii="Times New Roman" w:hAnsi="Times New Roman" w:cs="Times New Roman"/>
        </w:rPr>
        <w:t>. World Bank; 2021.</w:t>
      </w:r>
    </w:p>
    <w:p w14:paraId="410B26E3"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w:t>
      </w:r>
      <w:r w:rsidRPr="00B17A5F">
        <w:rPr>
          <w:rFonts w:ascii="Times New Roman" w:hAnsi="Times New Roman" w:cs="Times New Roman"/>
        </w:rPr>
        <w:tab/>
        <w:t xml:space="preserve">Hoornweg D, Sugar L, Gomez CLT. Cities and Greenhouse Gas Emissions: Moving Forward. </w:t>
      </w:r>
      <w:r w:rsidRPr="00B17A5F">
        <w:rPr>
          <w:rFonts w:ascii="Times New Roman" w:hAnsi="Times New Roman" w:cs="Times New Roman"/>
          <w:i/>
          <w:iCs/>
        </w:rPr>
        <w:t>Urbanisation</w:t>
      </w:r>
      <w:r w:rsidRPr="00B17A5F">
        <w:rPr>
          <w:rFonts w:ascii="Times New Roman" w:hAnsi="Times New Roman" w:cs="Times New Roman"/>
        </w:rPr>
        <w:t>. 2020;5(1):43-62. doi:10.1177/2455747120923557</w:t>
      </w:r>
    </w:p>
    <w:p w14:paraId="63DFACDD"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w:t>
      </w:r>
      <w:r w:rsidRPr="00B17A5F">
        <w:rPr>
          <w:rFonts w:ascii="Times New Roman" w:hAnsi="Times New Roman" w:cs="Times New Roman"/>
        </w:rPr>
        <w:tab/>
        <w:t xml:space="preserve">Luqman M, Rayner PJ, Gurney KR. On the impact of urbanisation on CO2 emissions. </w:t>
      </w:r>
      <w:r w:rsidRPr="00B17A5F">
        <w:rPr>
          <w:rFonts w:ascii="Times New Roman" w:hAnsi="Times New Roman" w:cs="Times New Roman"/>
          <w:i/>
          <w:iCs/>
        </w:rPr>
        <w:t>npj Urban Sustain</w:t>
      </w:r>
      <w:r w:rsidRPr="00B17A5F">
        <w:rPr>
          <w:rFonts w:ascii="Times New Roman" w:hAnsi="Times New Roman" w:cs="Times New Roman"/>
        </w:rPr>
        <w:t>. 2023;3(1):6. doi:10.1038/s42949-023-00084-2</w:t>
      </w:r>
    </w:p>
    <w:p w14:paraId="16F7988B"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4.</w:t>
      </w:r>
      <w:r w:rsidRPr="00B17A5F">
        <w:rPr>
          <w:rFonts w:ascii="Times New Roman" w:hAnsi="Times New Roman" w:cs="Times New Roman"/>
        </w:rPr>
        <w:tab/>
        <w:t xml:space="preserve">Yang BY, Zhao T, Hu LX, et al. Greenspace and human health: An umbrella review. </w:t>
      </w:r>
      <w:r w:rsidRPr="00B17A5F">
        <w:rPr>
          <w:rFonts w:ascii="Times New Roman" w:hAnsi="Times New Roman" w:cs="Times New Roman"/>
          <w:i/>
          <w:iCs/>
        </w:rPr>
        <w:t>The Innovation</w:t>
      </w:r>
      <w:r w:rsidRPr="00B17A5F">
        <w:rPr>
          <w:rFonts w:ascii="Times New Roman" w:hAnsi="Times New Roman" w:cs="Times New Roman"/>
        </w:rPr>
        <w:t>. 2021;2(4):100164. doi:10.1016/j.xinn.2021.100164</w:t>
      </w:r>
    </w:p>
    <w:p w14:paraId="33A3C272"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5.</w:t>
      </w:r>
      <w:r w:rsidRPr="00B17A5F">
        <w:rPr>
          <w:rFonts w:ascii="Times New Roman" w:hAnsi="Times New Roman" w:cs="Times New Roman"/>
        </w:rPr>
        <w:tab/>
        <w:t xml:space="preserve">Liu Z, Chen X, Cui H, et al. Green space exposure on depression and anxiety outcomes: A meta-analysis. </w:t>
      </w:r>
      <w:r w:rsidRPr="00B17A5F">
        <w:rPr>
          <w:rFonts w:ascii="Times New Roman" w:hAnsi="Times New Roman" w:cs="Times New Roman"/>
          <w:i/>
          <w:iCs/>
        </w:rPr>
        <w:t>Environmental Research</w:t>
      </w:r>
      <w:r w:rsidRPr="00B17A5F">
        <w:rPr>
          <w:rFonts w:ascii="Times New Roman" w:hAnsi="Times New Roman" w:cs="Times New Roman"/>
        </w:rPr>
        <w:t>. 2023;231:116303. doi:10.1016/j.envres.2023.116303</w:t>
      </w:r>
    </w:p>
    <w:p w14:paraId="2C6760DD"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6.</w:t>
      </w:r>
      <w:r w:rsidRPr="00B17A5F">
        <w:rPr>
          <w:rFonts w:ascii="Times New Roman" w:hAnsi="Times New Roman" w:cs="Times New Roman"/>
        </w:rPr>
        <w:tab/>
        <w:t xml:space="preserve">Hu CY, Yang XJ, Gui SY, et al. Residential greenness and birth outcomes: A systematic review and meta-analysis of observational studies. </w:t>
      </w:r>
      <w:r w:rsidRPr="00B17A5F">
        <w:rPr>
          <w:rFonts w:ascii="Times New Roman" w:hAnsi="Times New Roman" w:cs="Times New Roman"/>
          <w:i/>
          <w:iCs/>
        </w:rPr>
        <w:t>Environmental Research</w:t>
      </w:r>
      <w:r w:rsidRPr="00B17A5F">
        <w:rPr>
          <w:rFonts w:ascii="Times New Roman" w:hAnsi="Times New Roman" w:cs="Times New Roman"/>
        </w:rPr>
        <w:t>. 2021;193:110599. doi:10.1016/j.envres.2020.110599</w:t>
      </w:r>
    </w:p>
    <w:p w14:paraId="14FBC2C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7.</w:t>
      </w:r>
      <w:r w:rsidRPr="00B17A5F">
        <w:rPr>
          <w:rFonts w:ascii="Times New Roman" w:hAnsi="Times New Roman" w:cs="Times New Roman"/>
        </w:rPr>
        <w:tab/>
        <w:t xml:space="preserve">Bikomeye JC, Balza JS, Kwarteng JL, Beyer AM, Beyer KMM. The impact of greenspace or nature-based interventions on cardiovascular health or cancer-related outcomes: A systematic review of experimental studies. Bottoms L, ed. </w:t>
      </w:r>
      <w:r w:rsidRPr="00B17A5F">
        <w:rPr>
          <w:rFonts w:ascii="Times New Roman" w:hAnsi="Times New Roman" w:cs="Times New Roman"/>
          <w:i/>
          <w:iCs/>
        </w:rPr>
        <w:t>PLoS ONE</w:t>
      </w:r>
      <w:r w:rsidRPr="00B17A5F">
        <w:rPr>
          <w:rFonts w:ascii="Times New Roman" w:hAnsi="Times New Roman" w:cs="Times New Roman"/>
        </w:rPr>
        <w:t>. 2022;17(11):e0276517. doi:10.1371/journal.pone.0276517</w:t>
      </w:r>
    </w:p>
    <w:p w14:paraId="196BDA28"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8.</w:t>
      </w:r>
      <w:r w:rsidRPr="00B17A5F">
        <w:rPr>
          <w:rFonts w:ascii="Times New Roman" w:hAnsi="Times New Roman" w:cs="Times New Roman"/>
        </w:rPr>
        <w:tab/>
        <w:t xml:space="preserve">Li J, Xie Y, Xu J, et al. Association between greenspace and cancer: evidence from a systematic review and meta-analysis of multiple large cohort studies. </w:t>
      </w:r>
      <w:r w:rsidRPr="00B17A5F">
        <w:rPr>
          <w:rFonts w:ascii="Times New Roman" w:hAnsi="Times New Roman" w:cs="Times New Roman"/>
          <w:i/>
          <w:iCs/>
        </w:rPr>
        <w:t>Environ Sci Pollut Res</w:t>
      </w:r>
      <w:r w:rsidRPr="00B17A5F">
        <w:rPr>
          <w:rFonts w:ascii="Times New Roman" w:hAnsi="Times New Roman" w:cs="Times New Roman"/>
        </w:rPr>
        <w:t>. 2023;30(39):91140-91157. doi:10.1007/s11356-023-28461-5</w:t>
      </w:r>
    </w:p>
    <w:p w14:paraId="599CFB2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9.</w:t>
      </w:r>
      <w:r w:rsidRPr="00B17A5F">
        <w:rPr>
          <w:rFonts w:ascii="Times New Roman" w:hAnsi="Times New Roman" w:cs="Times New Roman"/>
        </w:rPr>
        <w:tab/>
        <w:t xml:space="preserve">Rojas-Rueda D, Nieuwenhuijsen MJ, Gascon M, Perez-Leon D, Mudu P. Green spaces and mortality: a systematic review and meta-analysis of cohort studies. </w:t>
      </w:r>
      <w:r w:rsidRPr="00B17A5F">
        <w:rPr>
          <w:rFonts w:ascii="Times New Roman" w:hAnsi="Times New Roman" w:cs="Times New Roman"/>
          <w:i/>
          <w:iCs/>
        </w:rPr>
        <w:t>Lancet Planet Health</w:t>
      </w:r>
      <w:r w:rsidRPr="00B17A5F">
        <w:rPr>
          <w:rFonts w:ascii="Times New Roman" w:hAnsi="Times New Roman" w:cs="Times New Roman"/>
        </w:rPr>
        <w:t>. 2019;3(11):e469-e477. doi:10.1016/S2542-5196(19)30215-3</w:t>
      </w:r>
    </w:p>
    <w:p w14:paraId="765C2A6F"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lastRenderedPageBreak/>
        <w:t>10.</w:t>
      </w:r>
      <w:r w:rsidRPr="00B17A5F">
        <w:rPr>
          <w:rFonts w:ascii="Times New Roman" w:hAnsi="Times New Roman" w:cs="Times New Roman"/>
        </w:rPr>
        <w:tab/>
        <w:t xml:space="preserve">Smith N, Georgiou M, King AC, Tieges Z, Webb S, Chastin S. Urban blue spaces and human health: A systematic review and meta-analysis of quantitative studies. </w:t>
      </w:r>
      <w:r w:rsidRPr="00B17A5F">
        <w:rPr>
          <w:rFonts w:ascii="Times New Roman" w:hAnsi="Times New Roman" w:cs="Times New Roman"/>
          <w:i/>
          <w:iCs/>
        </w:rPr>
        <w:t>Cities</w:t>
      </w:r>
      <w:r w:rsidRPr="00B17A5F">
        <w:rPr>
          <w:rFonts w:ascii="Times New Roman" w:hAnsi="Times New Roman" w:cs="Times New Roman"/>
        </w:rPr>
        <w:t>. 2021;119:103413. doi:10.1016/j.cities.2021.103413</w:t>
      </w:r>
    </w:p>
    <w:p w14:paraId="48D4DCA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11.</w:t>
      </w:r>
      <w:r w:rsidRPr="00B17A5F">
        <w:rPr>
          <w:rFonts w:ascii="Times New Roman" w:hAnsi="Times New Roman" w:cs="Times New Roman"/>
        </w:rPr>
        <w:tab/>
        <w:t xml:space="preserve">Hunter RF, Cleland C, Cleary A, et al. Environmental, health, wellbeing, social and equity effects of urban green space interventions: A meta-narrative evidence synthesis. </w:t>
      </w:r>
      <w:r w:rsidRPr="00B17A5F">
        <w:rPr>
          <w:rFonts w:ascii="Times New Roman" w:hAnsi="Times New Roman" w:cs="Times New Roman"/>
          <w:i/>
          <w:iCs/>
        </w:rPr>
        <w:t>Environment International</w:t>
      </w:r>
      <w:r w:rsidRPr="00B17A5F">
        <w:rPr>
          <w:rFonts w:ascii="Times New Roman" w:hAnsi="Times New Roman" w:cs="Times New Roman"/>
        </w:rPr>
        <w:t>. 2019;130:104923. doi:10.1016/j.envint.2019.104923</w:t>
      </w:r>
    </w:p>
    <w:p w14:paraId="29220E4C"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12.</w:t>
      </w:r>
      <w:r w:rsidRPr="00B17A5F">
        <w:rPr>
          <w:rFonts w:ascii="Times New Roman" w:hAnsi="Times New Roman" w:cs="Times New Roman"/>
        </w:rPr>
        <w:tab/>
        <w:t xml:space="preserve">Wolf KL, Lam ST, McKeen JK, Richardson GRA, Van Den Bosch M, Bardekjian AC. Urban Trees and Human Health: A Scoping Review. </w:t>
      </w:r>
      <w:r w:rsidRPr="00B17A5F">
        <w:rPr>
          <w:rFonts w:ascii="Times New Roman" w:hAnsi="Times New Roman" w:cs="Times New Roman"/>
          <w:i/>
          <w:iCs/>
        </w:rPr>
        <w:t>IJERPH</w:t>
      </w:r>
      <w:r w:rsidRPr="00B17A5F">
        <w:rPr>
          <w:rFonts w:ascii="Times New Roman" w:hAnsi="Times New Roman" w:cs="Times New Roman"/>
        </w:rPr>
        <w:t>. 2020;17(12):4371. doi:10.3390/ijerph17124371</w:t>
      </w:r>
    </w:p>
    <w:p w14:paraId="1A8B375A"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13.</w:t>
      </w:r>
      <w:r w:rsidRPr="00B17A5F">
        <w:rPr>
          <w:rFonts w:ascii="Times New Roman" w:hAnsi="Times New Roman" w:cs="Times New Roman"/>
        </w:rPr>
        <w:tab/>
        <w:t xml:space="preserve">Ampatzidis P, Cintolesi C, Kershaw T. Impact of Blue Space Geometry on Urban Heat Island Mitigation. </w:t>
      </w:r>
      <w:r w:rsidRPr="00B17A5F">
        <w:rPr>
          <w:rFonts w:ascii="Times New Roman" w:hAnsi="Times New Roman" w:cs="Times New Roman"/>
          <w:i/>
          <w:iCs/>
        </w:rPr>
        <w:t>Climate</w:t>
      </w:r>
      <w:r w:rsidRPr="00B17A5F">
        <w:rPr>
          <w:rFonts w:ascii="Times New Roman" w:hAnsi="Times New Roman" w:cs="Times New Roman"/>
        </w:rPr>
        <w:t>. 2023;11(2):28. doi:10.3390/cli11020028</w:t>
      </w:r>
    </w:p>
    <w:p w14:paraId="69D744F2"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14.</w:t>
      </w:r>
      <w:r w:rsidRPr="00B17A5F">
        <w:rPr>
          <w:rFonts w:ascii="Times New Roman" w:hAnsi="Times New Roman" w:cs="Times New Roman"/>
        </w:rPr>
        <w:tab/>
        <w:t xml:space="preserve">Brückner A, Falkenberg T, Heinzel C, Kistemann T. The Regeneration of Urban Blue Spaces: A Public Health Intervention? Reviewing the Evidence. </w:t>
      </w:r>
      <w:r w:rsidRPr="00B17A5F">
        <w:rPr>
          <w:rFonts w:ascii="Times New Roman" w:hAnsi="Times New Roman" w:cs="Times New Roman"/>
          <w:i/>
          <w:iCs/>
        </w:rPr>
        <w:t>Front Public Health</w:t>
      </w:r>
      <w:r w:rsidRPr="00B17A5F">
        <w:rPr>
          <w:rFonts w:ascii="Times New Roman" w:hAnsi="Times New Roman" w:cs="Times New Roman"/>
        </w:rPr>
        <w:t>. 2022;9:782101. doi:10.3389/fpubh.2021.782101</w:t>
      </w:r>
    </w:p>
    <w:p w14:paraId="027CDC2C"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15.</w:t>
      </w:r>
      <w:r w:rsidRPr="00B17A5F">
        <w:rPr>
          <w:rFonts w:ascii="Times New Roman" w:hAnsi="Times New Roman" w:cs="Times New Roman"/>
        </w:rPr>
        <w:tab/>
        <w:t xml:space="preserve">Markevych I, Schoierer J, Hartig T, et al. Exploring pathways linking greenspace to health: Theoretical and methodological guidance. </w:t>
      </w:r>
      <w:r w:rsidRPr="00B17A5F">
        <w:rPr>
          <w:rFonts w:ascii="Times New Roman" w:hAnsi="Times New Roman" w:cs="Times New Roman"/>
          <w:i/>
          <w:iCs/>
        </w:rPr>
        <w:t>Environmental Research</w:t>
      </w:r>
      <w:r w:rsidRPr="00B17A5F">
        <w:rPr>
          <w:rFonts w:ascii="Times New Roman" w:hAnsi="Times New Roman" w:cs="Times New Roman"/>
        </w:rPr>
        <w:t>. 2017;158:301-317. doi:10.1016/j.envres.2017.06.028</w:t>
      </w:r>
    </w:p>
    <w:p w14:paraId="0B1738D0"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16.</w:t>
      </w:r>
      <w:r w:rsidRPr="00B17A5F">
        <w:rPr>
          <w:rFonts w:ascii="Times New Roman" w:hAnsi="Times New Roman" w:cs="Times New Roman"/>
        </w:rPr>
        <w:tab/>
        <w:t xml:space="preserve">Zhang R, Zhang CQ, Rhodes RE. The pathways linking objectively-measured greenspace exposure and mental health: A systematic review of observational studies. </w:t>
      </w:r>
      <w:r w:rsidRPr="00B17A5F">
        <w:rPr>
          <w:rFonts w:ascii="Times New Roman" w:hAnsi="Times New Roman" w:cs="Times New Roman"/>
          <w:i/>
          <w:iCs/>
        </w:rPr>
        <w:t>Environmental Research</w:t>
      </w:r>
      <w:r w:rsidRPr="00B17A5F">
        <w:rPr>
          <w:rFonts w:ascii="Times New Roman" w:hAnsi="Times New Roman" w:cs="Times New Roman"/>
        </w:rPr>
        <w:t>. 2021;198:111233. doi:10.1016/j.envres.2021.111233</w:t>
      </w:r>
    </w:p>
    <w:p w14:paraId="14EB393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17.</w:t>
      </w:r>
      <w:r w:rsidRPr="00B17A5F">
        <w:rPr>
          <w:rFonts w:ascii="Times New Roman" w:hAnsi="Times New Roman" w:cs="Times New Roman"/>
        </w:rPr>
        <w:tab/>
        <w:t>NDVI, the Foundation for Remote Sensing Phenology | U.S. Geological Survey. Accessed January 6, 2025. https://www.usgs.gov/special-topics/remote-sensing-phenology/science/ndvi-foundation-remote-sensing-phenology</w:t>
      </w:r>
    </w:p>
    <w:p w14:paraId="1EFEBF8D"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18.</w:t>
      </w:r>
      <w:r w:rsidRPr="00B17A5F">
        <w:rPr>
          <w:rFonts w:ascii="Times New Roman" w:hAnsi="Times New Roman" w:cs="Times New Roman"/>
        </w:rPr>
        <w:tab/>
        <w:t xml:space="preserve">Barboza EP, Cirach M, Khomenko S, et al. Green space and mortality in European cities: a health impact assessment study. </w:t>
      </w:r>
      <w:r w:rsidRPr="00B17A5F">
        <w:rPr>
          <w:rFonts w:ascii="Times New Roman" w:hAnsi="Times New Roman" w:cs="Times New Roman"/>
          <w:i/>
          <w:iCs/>
        </w:rPr>
        <w:t>The Lancet Planetary Health</w:t>
      </w:r>
      <w:r w:rsidRPr="00B17A5F">
        <w:rPr>
          <w:rFonts w:ascii="Times New Roman" w:hAnsi="Times New Roman" w:cs="Times New Roman"/>
        </w:rPr>
        <w:t>. 2021;5(10):e718-e730. doi:10.1016/S2542-5196(21)00229-1</w:t>
      </w:r>
    </w:p>
    <w:p w14:paraId="2E0740E1"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19.</w:t>
      </w:r>
      <w:r w:rsidRPr="00B17A5F">
        <w:rPr>
          <w:rFonts w:ascii="Times New Roman" w:hAnsi="Times New Roman" w:cs="Times New Roman"/>
        </w:rPr>
        <w:tab/>
        <w:t xml:space="preserve">Brochu P, Jimenez MP, James P, Kinney PL, Lane K. Benefits of Increasing Greenness on All-Cause Mortality in the Largest Metropolitan Areas of the United States Within the Past Two Decades. </w:t>
      </w:r>
      <w:r w:rsidRPr="00B17A5F">
        <w:rPr>
          <w:rFonts w:ascii="Times New Roman" w:hAnsi="Times New Roman" w:cs="Times New Roman"/>
          <w:i/>
          <w:iCs/>
        </w:rPr>
        <w:t>Front Public Health</w:t>
      </w:r>
      <w:r w:rsidRPr="00B17A5F">
        <w:rPr>
          <w:rFonts w:ascii="Times New Roman" w:hAnsi="Times New Roman" w:cs="Times New Roman"/>
        </w:rPr>
        <w:t>. 2022;10:841936. doi:10.3389/fpubh.2022.841936</w:t>
      </w:r>
    </w:p>
    <w:p w14:paraId="6750BFDB"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20.</w:t>
      </w:r>
      <w:r w:rsidRPr="00B17A5F">
        <w:rPr>
          <w:rFonts w:ascii="Times New Roman" w:hAnsi="Times New Roman" w:cs="Times New Roman"/>
        </w:rPr>
        <w:tab/>
        <w:t xml:space="preserve">Romanello M, Napoli C di, Green C, et al. The 2023 report of the Lancet Countdown on health and climate change: the imperative for a health-centred response in a world facing irreversible harms. </w:t>
      </w:r>
      <w:r w:rsidRPr="00B17A5F">
        <w:rPr>
          <w:rFonts w:ascii="Times New Roman" w:hAnsi="Times New Roman" w:cs="Times New Roman"/>
          <w:i/>
          <w:iCs/>
        </w:rPr>
        <w:t>The Lancet</w:t>
      </w:r>
      <w:r w:rsidRPr="00B17A5F">
        <w:rPr>
          <w:rFonts w:ascii="Times New Roman" w:hAnsi="Times New Roman" w:cs="Times New Roman"/>
        </w:rPr>
        <w:t>. 2023;402(10419):2346-2394. doi:10.1016/S0140-6736(23)01859-7</w:t>
      </w:r>
    </w:p>
    <w:p w14:paraId="1FDD1B0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21.</w:t>
      </w:r>
      <w:r w:rsidRPr="00B17A5F">
        <w:rPr>
          <w:rFonts w:ascii="Times New Roman" w:hAnsi="Times New Roman" w:cs="Times New Roman"/>
        </w:rPr>
        <w:tab/>
        <w:t>Freire S, Schiavina M, Corbane C, et al. GHS-UCDB R2019A - GHS Urban Centre Database 2015, multitemporal and multidimensional attributes. Published online January 28, 2019. doi:10.2905/53473144-B88C-44BC-B4A3-4583ED1F547E</w:t>
      </w:r>
    </w:p>
    <w:p w14:paraId="00628AFA"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lastRenderedPageBreak/>
        <w:t>22.</w:t>
      </w:r>
      <w:r w:rsidRPr="00B17A5F">
        <w:rPr>
          <w:rFonts w:ascii="Times New Roman" w:hAnsi="Times New Roman" w:cs="Times New Roman"/>
        </w:rPr>
        <w:tab/>
        <w:t xml:space="preserve">Pekel JF, Cottam A, Gorelick N, Belward AS. High-resolution mapping of global surface water and its long-term changes. </w:t>
      </w:r>
      <w:r w:rsidRPr="00B17A5F">
        <w:rPr>
          <w:rFonts w:ascii="Times New Roman" w:hAnsi="Times New Roman" w:cs="Times New Roman"/>
          <w:i/>
          <w:iCs/>
        </w:rPr>
        <w:t>Nature</w:t>
      </w:r>
      <w:r w:rsidRPr="00B17A5F">
        <w:rPr>
          <w:rFonts w:ascii="Times New Roman" w:hAnsi="Times New Roman" w:cs="Times New Roman"/>
        </w:rPr>
        <w:t>. 2016;540(7633):418-422. doi:10.1038/nature20584</w:t>
      </w:r>
    </w:p>
    <w:p w14:paraId="5F7A4B78"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23.</w:t>
      </w:r>
      <w:r w:rsidRPr="00B17A5F">
        <w:rPr>
          <w:rFonts w:ascii="Times New Roman" w:hAnsi="Times New Roman" w:cs="Times New Roman"/>
        </w:rPr>
        <w:tab/>
        <w:t xml:space="preserve">Nieuwenhuijsen M, Gascon M, Martinez D, et al. Air Pollution, Noise, Blue Space, and Green Space and Premature Mortality in Barcelona: A Mega Cohort. </w:t>
      </w:r>
      <w:r w:rsidRPr="00B17A5F">
        <w:rPr>
          <w:rFonts w:ascii="Times New Roman" w:hAnsi="Times New Roman" w:cs="Times New Roman"/>
          <w:i/>
          <w:iCs/>
        </w:rPr>
        <w:t>IJERPH</w:t>
      </w:r>
      <w:r w:rsidRPr="00B17A5F">
        <w:rPr>
          <w:rFonts w:ascii="Times New Roman" w:hAnsi="Times New Roman" w:cs="Times New Roman"/>
        </w:rPr>
        <w:t>. 2018;15(11):2405. doi:10.3390/ijerph15112405</w:t>
      </w:r>
    </w:p>
    <w:p w14:paraId="71AE32B4"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24.</w:t>
      </w:r>
      <w:r w:rsidRPr="00B17A5F">
        <w:rPr>
          <w:rFonts w:ascii="Times New Roman" w:hAnsi="Times New Roman" w:cs="Times New Roman"/>
        </w:rPr>
        <w:tab/>
        <w:t xml:space="preserve">Crouse DL, Pinault L, Balram A, et al. Urban greenness and mortality in Canada’s largest cities: a national cohort study. </w:t>
      </w:r>
      <w:r w:rsidRPr="00B17A5F">
        <w:rPr>
          <w:rFonts w:ascii="Times New Roman" w:hAnsi="Times New Roman" w:cs="Times New Roman"/>
          <w:i/>
          <w:iCs/>
        </w:rPr>
        <w:t>The Lancet Planetary Health</w:t>
      </w:r>
      <w:r w:rsidRPr="00B17A5F">
        <w:rPr>
          <w:rFonts w:ascii="Times New Roman" w:hAnsi="Times New Roman" w:cs="Times New Roman"/>
        </w:rPr>
        <w:t>. 2017;1(7):e289-e297. doi:10.1016/S2542-5196(17)30118-3</w:t>
      </w:r>
    </w:p>
    <w:p w14:paraId="42DC1223"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25.</w:t>
      </w:r>
      <w:r w:rsidRPr="00B17A5F">
        <w:rPr>
          <w:rFonts w:ascii="Times New Roman" w:hAnsi="Times New Roman" w:cs="Times New Roman"/>
        </w:rPr>
        <w:tab/>
        <w:t xml:space="preserve">Zijlema WL, Stasinska A, Blake D, et al. The longitudinal association between natural outdoor environments and mortality in 9218 older men from Perth, Western Australia. </w:t>
      </w:r>
      <w:r w:rsidRPr="00B17A5F">
        <w:rPr>
          <w:rFonts w:ascii="Times New Roman" w:hAnsi="Times New Roman" w:cs="Times New Roman"/>
          <w:i/>
          <w:iCs/>
        </w:rPr>
        <w:t>Environment International</w:t>
      </w:r>
      <w:r w:rsidRPr="00B17A5F">
        <w:rPr>
          <w:rFonts w:ascii="Times New Roman" w:hAnsi="Times New Roman" w:cs="Times New Roman"/>
        </w:rPr>
        <w:t>. 2019;125:430-436. doi:10.1016/j.envint.2019.01.075</w:t>
      </w:r>
    </w:p>
    <w:p w14:paraId="0FB08E0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26.</w:t>
      </w:r>
      <w:r w:rsidRPr="00B17A5F">
        <w:rPr>
          <w:rFonts w:ascii="Times New Roman" w:hAnsi="Times New Roman" w:cs="Times New Roman"/>
        </w:rPr>
        <w:tab/>
        <w:t xml:space="preserve">James P, Hart JE, Banay RF, Laden F. Exposure to Greenness and Mortality in a Nationwide Prospective Cohort Study of Women. </w:t>
      </w:r>
      <w:r w:rsidRPr="00B17A5F">
        <w:rPr>
          <w:rFonts w:ascii="Times New Roman" w:hAnsi="Times New Roman" w:cs="Times New Roman"/>
          <w:i/>
          <w:iCs/>
        </w:rPr>
        <w:t>Environ Health Perspect</w:t>
      </w:r>
      <w:r w:rsidRPr="00B17A5F">
        <w:rPr>
          <w:rFonts w:ascii="Times New Roman" w:hAnsi="Times New Roman" w:cs="Times New Roman"/>
        </w:rPr>
        <w:t>. 2016;124(9):1344-1352. doi:10.1289/ehp.1510363</w:t>
      </w:r>
    </w:p>
    <w:p w14:paraId="034556B2"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27.</w:t>
      </w:r>
      <w:r w:rsidRPr="00B17A5F">
        <w:rPr>
          <w:rFonts w:ascii="Times New Roman" w:hAnsi="Times New Roman" w:cs="Times New Roman"/>
        </w:rPr>
        <w:tab/>
        <w:t xml:space="preserve">Wilker EH, Wu CD, McNeely E, et al. Green space and mortality following ischemic stroke. </w:t>
      </w:r>
      <w:r w:rsidRPr="00B17A5F">
        <w:rPr>
          <w:rFonts w:ascii="Times New Roman" w:hAnsi="Times New Roman" w:cs="Times New Roman"/>
          <w:i/>
          <w:iCs/>
        </w:rPr>
        <w:t>Environmental Research</w:t>
      </w:r>
      <w:r w:rsidRPr="00B17A5F">
        <w:rPr>
          <w:rFonts w:ascii="Times New Roman" w:hAnsi="Times New Roman" w:cs="Times New Roman"/>
        </w:rPr>
        <w:t>. 2014;133:42-48. doi:10.1016/j.envres.2014.05.005</w:t>
      </w:r>
    </w:p>
    <w:p w14:paraId="161BAE54"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28.</w:t>
      </w:r>
      <w:r w:rsidRPr="00B17A5F">
        <w:rPr>
          <w:rFonts w:ascii="Times New Roman" w:hAnsi="Times New Roman" w:cs="Times New Roman"/>
        </w:rPr>
        <w:tab/>
        <w:t xml:space="preserve">Villeneuve PJ, Jerrett M, G. Su J, et al. A cohort study relating urban green space with mortality in Ontario, Canada. </w:t>
      </w:r>
      <w:r w:rsidRPr="00B17A5F">
        <w:rPr>
          <w:rFonts w:ascii="Times New Roman" w:hAnsi="Times New Roman" w:cs="Times New Roman"/>
          <w:i/>
          <w:iCs/>
        </w:rPr>
        <w:t>Environmental Research</w:t>
      </w:r>
      <w:r w:rsidRPr="00B17A5F">
        <w:rPr>
          <w:rFonts w:ascii="Times New Roman" w:hAnsi="Times New Roman" w:cs="Times New Roman"/>
        </w:rPr>
        <w:t>. 2012;115:51-58. doi:10.1016/j.envres.2012.03.003</w:t>
      </w:r>
    </w:p>
    <w:p w14:paraId="3EFB80D1"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29.</w:t>
      </w:r>
      <w:r w:rsidRPr="00B17A5F">
        <w:rPr>
          <w:rFonts w:ascii="Times New Roman" w:hAnsi="Times New Roman" w:cs="Times New Roman"/>
        </w:rPr>
        <w:tab/>
        <w:t xml:space="preserve">Ji JS, Zhu A, Bai C, et al. Residential greenness and mortality in oldest-old women and men in China: a longitudinal cohort study. </w:t>
      </w:r>
      <w:r w:rsidRPr="00B17A5F">
        <w:rPr>
          <w:rFonts w:ascii="Times New Roman" w:hAnsi="Times New Roman" w:cs="Times New Roman"/>
          <w:i/>
          <w:iCs/>
        </w:rPr>
        <w:t>The Lancet Planetary Health</w:t>
      </w:r>
      <w:r w:rsidRPr="00B17A5F">
        <w:rPr>
          <w:rFonts w:ascii="Times New Roman" w:hAnsi="Times New Roman" w:cs="Times New Roman"/>
        </w:rPr>
        <w:t>. 2019;3(1):e17-e25. doi:10.1016/S2542-5196(18)30264-X</w:t>
      </w:r>
    </w:p>
    <w:p w14:paraId="5189BA8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30.</w:t>
      </w:r>
      <w:r w:rsidRPr="00B17A5F">
        <w:rPr>
          <w:rFonts w:ascii="Times New Roman" w:hAnsi="Times New Roman" w:cs="Times New Roman"/>
        </w:rPr>
        <w:tab/>
        <w:t xml:space="preserve">Orioli R, Antonucci C, Scortichini M, et al. Exposure to Residential Greenness as a Predictor of Cause-Specific Mortality and Stroke Incidence in the Rome Longitudinal Study. </w:t>
      </w:r>
      <w:r w:rsidRPr="00B17A5F">
        <w:rPr>
          <w:rFonts w:ascii="Times New Roman" w:hAnsi="Times New Roman" w:cs="Times New Roman"/>
          <w:i/>
          <w:iCs/>
        </w:rPr>
        <w:t>Environ Health Perspect</w:t>
      </w:r>
      <w:r w:rsidRPr="00B17A5F">
        <w:rPr>
          <w:rFonts w:ascii="Times New Roman" w:hAnsi="Times New Roman" w:cs="Times New Roman"/>
        </w:rPr>
        <w:t>. 2019;127(2):027002. doi:10.1289/EHP2854</w:t>
      </w:r>
    </w:p>
    <w:p w14:paraId="2BC5966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31.</w:t>
      </w:r>
      <w:r w:rsidRPr="00B17A5F">
        <w:rPr>
          <w:rFonts w:ascii="Times New Roman" w:hAnsi="Times New Roman" w:cs="Times New Roman"/>
        </w:rPr>
        <w:tab/>
        <w:t xml:space="preserve">Vienneau D, De Hoogh K, Faeh D, Kaufmann M, Wunderli JM, Röösli M. More than clean air and tranquillity: Residential green is independently associated with decreasing mortality. </w:t>
      </w:r>
      <w:r w:rsidRPr="00B17A5F">
        <w:rPr>
          <w:rFonts w:ascii="Times New Roman" w:hAnsi="Times New Roman" w:cs="Times New Roman"/>
          <w:i/>
          <w:iCs/>
        </w:rPr>
        <w:t>Environment International</w:t>
      </w:r>
      <w:r w:rsidRPr="00B17A5F">
        <w:rPr>
          <w:rFonts w:ascii="Times New Roman" w:hAnsi="Times New Roman" w:cs="Times New Roman"/>
        </w:rPr>
        <w:t>. 2017;108:176-184. doi:10.1016/j.envint.2017.08.012</w:t>
      </w:r>
    </w:p>
    <w:p w14:paraId="56279A3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32.</w:t>
      </w:r>
      <w:r w:rsidRPr="00B17A5F">
        <w:rPr>
          <w:rFonts w:ascii="Times New Roman" w:hAnsi="Times New Roman" w:cs="Times New Roman"/>
        </w:rPr>
        <w:tab/>
        <w:t xml:space="preserve">Dean D, Garber MD, Anderson GB, Rojas-Rueda D. Health implications of urban tree canopy policy scenarios in Denver and Phoenix: A quantitative health impact assessment. </w:t>
      </w:r>
      <w:r w:rsidRPr="00B17A5F">
        <w:rPr>
          <w:rFonts w:ascii="Times New Roman" w:hAnsi="Times New Roman" w:cs="Times New Roman"/>
          <w:i/>
          <w:iCs/>
        </w:rPr>
        <w:t>Environmental Research</w:t>
      </w:r>
      <w:r w:rsidRPr="00B17A5F">
        <w:rPr>
          <w:rFonts w:ascii="Times New Roman" w:hAnsi="Times New Roman" w:cs="Times New Roman"/>
        </w:rPr>
        <w:t>. 2024;241:117610. doi:10.1016/j.envres.2023.117610</w:t>
      </w:r>
    </w:p>
    <w:p w14:paraId="48546E60"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33.</w:t>
      </w:r>
      <w:r w:rsidRPr="00B17A5F">
        <w:rPr>
          <w:rFonts w:ascii="Times New Roman" w:hAnsi="Times New Roman" w:cs="Times New Roman"/>
        </w:rPr>
        <w:tab/>
        <w:t xml:space="preserve">Garber MD, Guidi M, Bousselot J, Benmarhnia T, Dean D, Rojas-Rueda D. Impact of native-plants policy scenarios on premature mortality in Denver: A quantitative health impact assessment. </w:t>
      </w:r>
      <w:r w:rsidRPr="00B17A5F">
        <w:rPr>
          <w:rFonts w:ascii="Times New Roman" w:hAnsi="Times New Roman" w:cs="Times New Roman"/>
          <w:i/>
          <w:iCs/>
        </w:rPr>
        <w:t>Environment International</w:t>
      </w:r>
      <w:r w:rsidRPr="00B17A5F">
        <w:rPr>
          <w:rFonts w:ascii="Times New Roman" w:hAnsi="Times New Roman" w:cs="Times New Roman"/>
        </w:rPr>
        <w:t>. 2023;178:108050. doi:10.1016/j.envint.2023.108050</w:t>
      </w:r>
    </w:p>
    <w:p w14:paraId="6A1B216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lastRenderedPageBreak/>
        <w:t>34.</w:t>
      </w:r>
      <w:r w:rsidRPr="00B17A5F">
        <w:rPr>
          <w:rFonts w:ascii="Times New Roman" w:hAnsi="Times New Roman" w:cs="Times New Roman"/>
        </w:rPr>
        <w:tab/>
        <w:t>Global Burden of Disease Collaborative Network. Global Burden of Disease Study 2019 (GBD 2019) Reference Life Table. Published online 2021. doi:10.6069/1D4Y-YQ37</w:t>
      </w:r>
    </w:p>
    <w:p w14:paraId="2DDD660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35.</w:t>
      </w:r>
      <w:r w:rsidRPr="00B17A5F">
        <w:rPr>
          <w:rFonts w:ascii="Times New Roman" w:hAnsi="Times New Roman" w:cs="Times New Roman"/>
        </w:rPr>
        <w:tab/>
        <w:t>Pesaresi M. GHS-BUILT-S R2023A - GHS built-up surface grid, derived from Sentinel2 composite and Landsat, multitemporal (1975-2030). Published online April 25, 2023. doi:10.2905/9F06F36F-4B11-47EC-ABB0-4F8B7B1D72EA</w:t>
      </w:r>
    </w:p>
    <w:p w14:paraId="219FECD1"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36.</w:t>
      </w:r>
      <w:r w:rsidRPr="00B17A5F">
        <w:rPr>
          <w:rFonts w:ascii="Times New Roman" w:hAnsi="Times New Roman" w:cs="Times New Roman"/>
        </w:rPr>
        <w:tab/>
        <w:t xml:space="preserve">Lambert A, Vlaar J, Herrington S, Brussoni M. What Is the Relationship between the Neighbourhood Built Environment and Time Spent in Outdoor Play? A Systematic Review. </w:t>
      </w:r>
      <w:r w:rsidRPr="00B17A5F">
        <w:rPr>
          <w:rFonts w:ascii="Times New Roman" w:hAnsi="Times New Roman" w:cs="Times New Roman"/>
          <w:i/>
          <w:iCs/>
        </w:rPr>
        <w:t>International Journal of Environmental Research and Public Health</w:t>
      </w:r>
      <w:r w:rsidRPr="00B17A5F">
        <w:rPr>
          <w:rFonts w:ascii="Times New Roman" w:hAnsi="Times New Roman" w:cs="Times New Roman"/>
        </w:rPr>
        <w:t>. 2019;16(20):3840. doi:10.3390/ijerph16203840</w:t>
      </w:r>
    </w:p>
    <w:p w14:paraId="0F4CD25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37.</w:t>
      </w:r>
      <w:r w:rsidRPr="00B17A5F">
        <w:rPr>
          <w:rFonts w:ascii="Times New Roman" w:hAnsi="Times New Roman" w:cs="Times New Roman"/>
        </w:rPr>
        <w:tab/>
        <w:t xml:space="preserve">Zhang L, Wang Q, Lei R, et al. Greenness on mortality of infant and under-5 child: A nationwide study in 147 Chinese cities. </w:t>
      </w:r>
      <w:r w:rsidRPr="00B17A5F">
        <w:rPr>
          <w:rFonts w:ascii="Times New Roman" w:hAnsi="Times New Roman" w:cs="Times New Roman"/>
          <w:i/>
          <w:iCs/>
        </w:rPr>
        <w:t>Ecotoxicology and Environmental Safety</w:t>
      </w:r>
      <w:r w:rsidRPr="00B17A5F">
        <w:rPr>
          <w:rFonts w:ascii="Times New Roman" w:hAnsi="Times New Roman" w:cs="Times New Roman"/>
        </w:rPr>
        <w:t>. 2024;286:117184. doi:10.1016/j.ecoenv.2024.117184</w:t>
      </w:r>
    </w:p>
    <w:p w14:paraId="112E00DE"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38.</w:t>
      </w:r>
      <w:r w:rsidRPr="00B17A5F">
        <w:rPr>
          <w:rFonts w:ascii="Times New Roman" w:hAnsi="Times New Roman" w:cs="Times New Roman"/>
        </w:rPr>
        <w:tab/>
        <w:t>United Nations Statistics Division. Standard Country or Area Codes for Statistical Use (M49). https://unstats.un.org/unsd/methodology/m49</w:t>
      </w:r>
    </w:p>
    <w:p w14:paraId="2CE3ED0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39.</w:t>
      </w:r>
      <w:r w:rsidRPr="00B17A5F">
        <w:rPr>
          <w:rFonts w:ascii="Times New Roman" w:hAnsi="Times New Roman" w:cs="Times New Roman"/>
        </w:rPr>
        <w:tab/>
        <w:t xml:space="preserve">Beck HE, Zimmermann NE, McVicar TR, Vergopolan N, Berg A, Wood EF. Present and future Köppen-Geiger climate classification maps at 1-km resolution. </w:t>
      </w:r>
      <w:r w:rsidRPr="00B17A5F">
        <w:rPr>
          <w:rFonts w:ascii="Times New Roman" w:hAnsi="Times New Roman" w:cs="Times New Roman"/>
          <w:i/>
          <w:iCs/>
        </w:rPr>
        <w:t>Scientific Data</w:t>
      </w:r>
      <w:r w:rsidRPr="00B17A5F">
        <w:rPr>
          <w:rFonts w:ascii="Times New Roman" w:hAnsi="Times New Roman" w:cs="Times New Roman"/>
        </w:rPr>
        <w:t>. 2018;5:180214. doi:10.1038/sdata.2018.214</w:t>
      </w:r>
    </w:p>
    <w:p w14:paraId="4F46C11B" w14:textId="77AB32FC" w:rsidR="003057CF" w:rsidRPr="00E150CA" w:rsidRDefault="008740AE" w:rsidP="00B37854">
      <w:r>
        <w:fldChar w:fldCharType="end"/>
      </w:r>
    </w:p>
    <w:sectPr w:rsidR="003057CF" w:rsidRPr="00E150CA" w:rsidSect="007A638C">
      <w:footerReference w:type="even" r:id="rId14"/>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1799D5" w14:textId="77777777" w:rsidR="007A7D67" w:rsidRDefault="007A7D67" w:rsidP="00C814B5">
      <w:r>
        <w:separator/>
      </w:r>
    </w:p>
  </w:endnote>
  <w:endnote w:type="continuationSeparator" w:id="0">
    <w:p w14:paraId="2AE79E72" w14:textId="77777777" w:rsidR="007A7D67" w:rsidRDefault="007A7D67" w:rsidP="00C81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Times Roman">
    <w:altName w:val="Times New Roman"/>
    <w:panose1 w:val="00000500000000020000"/>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6145122"/>
      <w:docPartObj>
        <w:docPartGallery w:val="Page Numbers (Bottom of Page)"/>
        <w:docPartUnique/>
      </w:docPartObj>
    </w:sdtPr>
    <w:sdtContent>
      <w:p w14:paraId="670E9FAC" w14:textId="0C9C635C"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BE068F" w14:textId="77777777" w:rsidR="00C814B5" w:rsidRDefault="00C814B5" w:rsidP="006222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7876571"/>
      <w:docPartObj>
        <w:docPartGallery w:val="Page Numbers (Bottom of Page)"/>
        <w:docPartUnique/>
      </w:docPartObj>
    </w:sdtPr>
    <w:sdtContent>
      <w:p w14:paraId="558EB963" w14:textId="22360FF3"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58890D" w14:textId="77777777" w:rsidR="00C814B5" w:rsidRDefault="00C814B5" w:rsidP="006222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21AE89" w14:textId="77777777" w:rsidR="007A7D67" w:rsidRDefault="007A7D67" w:rsidP="00C814B5">
      <w:r>
        <w:separator/>
      </w:r>
    </w:p>
  </w:footnote>
  <w:footnote w:type="continuationSeparator" w:id="0">
    <w:p w14:paraId="7805082B" w14:textId="77777777" w:rsidR="007A7D67" w:rsidRDefault="007A7D67" w:rsidP="00C81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D63FA3"/>
    <w:multiLevelType w:val="hybridMultilevel"/>
    <w:tmpl w:val="16C60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B5498"/>
    <w:multiLevelType w:val="multilevel"/>
    <w:tmpl w:val="0FDE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2B6BF7"/>
    <w:multiLevelType w:val="hybridMultilevel"/>
    <w:tmpl w:val="DB68C5FC"/>
    <w:lvl w:ilvl="0" w:tplc="6F1CF3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A7E24"/>
    <w:multiLevelType w:val="hybridMultilevel"/>
    <w:tmpl w:val="9650DFEC"/>
    <w:lvl w:ilvl="0" w:tplc="64B280B2">
      <w:start w:val="9"/>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B5482"/>
    <w:multiLevelType w:val="hybridMultilevel"/>
    <w:tmpl w:val="8AD818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A691099"/>
    <w:multiLevelType w:val="multilevel"/>
    <w:tmpl w:val="DAC2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2352D"/>
    <w:multiLevelType w:val="hybridMultilevel"/>
    <w:tmpl w:val="DAAED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903F9B"/>
    <w:multiLevelType w:val="multilevel"/>
    <w:tmpl w:val="DC6A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4401278">
    <w:abstractNumId w:val="2"/>
  </w:num>
  <w:num w:numId="2" w16cid:durableId="1206332877">
    <w:abstractNumId w:val="8"/>
  </w:num>
  <w:num w:numId="3" w16cid:durableId="1255169748">
    <w:abstractNumId w:val="6"/>
  </w:num>
  <w:num w:numId="4" w16cid:durableId="93483459">
    <w:abstractNumId w:val="4"/>
  </w:num>
  <w:num w:numId="5" w16cid:durableId="1179468609">
    <w:abstractNumId w:val="7"/>
  </w:num>
  <w:num w:numId="6" w16cid:durableId="569004567">
    <w:abstractNumId w:val="5"/>
  </w:num>
  <w:num w:numId="7" w16cid:durableId="1288583188">
    <w:abstractNumId w:val="1"/>
  </w:num>
  <w:num w:numId="8" w16cid:durableId="1107122847">
    <w:abstractNumId w:val="3"/>
  </w:num>
  <w:num w:numId="9" w16cid:durableId="97224679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Greta Katherine">
    <w15:presenceInfo w15:providerId="AD" w15:userId="S::gretam@gwu.edu::693602ef-7d81-41bb-a23e-17f4d14524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D54"/>
    <w:rsid w:val="000011F2"/>
    <w:rsid w:val="000030D9"/>
    <w:rsid w:val="00004EC4"/>
    <w:rsid w:val="00010CDC"/>
    <w:rsid w:val="0001260F"/>
    <w:rsid w:val="0001515D"/>
    <w:rsid w:val="000151A6"/>
    <w:rsid w:val="00015676"/>
    <w:rsid w:val="00020AE2"/>
    <w:rsid w:val="000231D0"/>
    <w:rsid w:val="00024A18"/>
    <w:rsid w:val="00030DAE"/>
    <w:rsid w:val="00031544"/>
    <w:rsid w:val="00031679"/>
    <w:rsid w:val="0003208C"/>
    <w:rsid w:val="00035747"/>
    <w:rsid w:val="00035998"/>
    <w:rsid w:val="00037559"/>
    <w:rsid w:val="00041134"/>
    <w:rsid w:val="000440D9"/>
    <w:rsid w:val="00045A4F"/>
    <w:rsid w:val="000500FA"/>
    <w:rsid w:val="00051E49"/>
    <w:rsid w:val="00052ACC"/>
    <w:rsid w:val="0005328A"/>
    <w:rsid w:val="000533BC"/>
    <w:rsid w:val="0005346F"/>
    <w:rsid w:val="000537E1"/>
    <w:rsid w:val="00055F86"/>
    <w:rsid w:val="00057CCA"/>
    <w:rsid w:val="00060081"/>
    <w:rsid w:val="00061B68"/>
    <w:rsid w:val="000626A4"/>
    <w:rsid w:val="00064A1A"/>
    <w:rsid w:val="00065B9F"/>
    <w:rsid w:val="0007308F"/>
    <w:rsid w:val="000736DF"/>
    <w:rsid w:val="000753B7"/>
    <w:rsid w:val="0007761B"/>
    <w:rsid w:val="00077823"/>
    <w:rsid w:val="0008313F"/>
    <w:rsid w:val="00083DB1"/>
    <w:rsid w:val="00085466"/>
    <w:rsid w:val="00085BF5"/>
    <w:rsid w:val="00085E43"/>
    <w:rsid w:val="00086B9A"/>
    <w:rsid w:val="00087E0C"/>
    <w:rsid w:val="00090A79"/>
    <w:rsid w:val="00091884"/>
    <w:rsid w:val="00092D06"/>
    <w:rsid w:val="000951A9"/>
    <w:rsid w:val="000A13E3"/>
    <w:rsid w:val="000A3562"/>
    <w:rsid w:val="000A48F0"/>
    <w:rsid w:val="000A4F94"/>
    <w:rsid w:val="000A6993"/>
    <w:rsid w:val="000B0248"/>
    <w:rsid w:val="000B11D9"/>
    <w:rsid w:val="000B291A"/>
    <w:rsid w:val="000B3A77"/>
    <w:rsid w:val="000B3D62"/>
    <w:rsid w:val="000B6E75"/>
    <w:rsid w:val="000B7149"/>
    <w:rsid w:val="000B7BE0"/>
    <w:rsid w:val="000C081F"/>
    <w:rsid w:val="000C6255"/>
    <w:rsid w:val="000C6488"/>
    <w:rsid w:val="000C6A15"/>
    <w:rsid w:val="000C6DEB"/>
    <w:rsid w:val="000D568A"/>
    <w:rsid w:val="000D7E31"/>
    <w:rsid w:val="000E0AD4"/>
    <w:rsid w:val="000E1D49"/>
    <w:rsid w:val="000E6D38"/>
    <w:rsid w:val="000F34B8"/>
    <w:rsid w:val="000F62BB"/>
    <w:rsid w:val="001014B1"/>
    <w:rsid w:val="00103044"/>
    <w:rsid w:val="00105A15"/>
    <w:rsid w:val="00107C0A"/>
    <w:rsid w:val="00107F48"/>
    <w:rsid w:val="001135F2"/>
    <w:rsid w:val="00114224"/>
    <w:rsid w:val="00116098"/>
    <w:rsid w:val="00120B9A"/>
    <w:rsid w:val="0012232D"/>
    <w:rsid w:val="001229DE"/>
    <w:rsid w:val="00123848"/>
    <w:rsid w:val="00132283"/>
    <w:rsid w:val="001329DE"/>
    <w:rsid w:val="00141172"/>
    <w:rsid w:val="001463C7"/>
    <w:rsid w:val="001470F7"/>
    <w:rsid w:val="001507B3"/>
    <w:rsid w:val="00153AA9"/>
    <w:rsid w:val="00153D90"/>
    <w:rsid w:val="00154804"/>
    <w:rsid w:val="00157C32"/>
    <w:rsid w:val="001607E3"/>
    <w:rsid w:val="0016141A"/>
    <w:rsid w:val="00164EC7"/>
    <w:rsid w:val="00165473"/>
    <w:rsid w:val="00165516"/>
    <w:rsid w:val="00165667"/>
    <w:rsid w:val="00165BFB"/>
    <w:rsid w:val="00167925"/>
    <w:rsid w:val="00170E9C"/>
    <w:rsid w:val="00171935"/>
    <w:rsid w:val="0017376A"/>
    <w:rsid w:val="00173BD9"/>
    <w:rsid w:val="00176521"/>
    <w:rsid w:val="00180E9E"/>
    <w:rsid w:val="001818F3"/>
    <w:rsid w:val="001821A1"/>
    <w:rsid w:val="00182372"/>
    <w:rsid w:val="00182505"/>
    <w:rsid w:val="001835C0"/>
    <w:rsid w:val="00185717"/>
    <w:rsid w:val="00187996"/>
    <w:rsid w:val="00190084"/>
    <w:rsid w:val="00191BE9"/>
    <w:rsid w:val="00194C9A"/>
    <w:rsid w:val="00194ED0"/>
    <w:rsid w:val="0019782A"/>
    <w:rsid w:val="001A3B3D"/>
    <w:rsid w:val="001A41E6"/>
    <w:rsid w:val="001B040E"/>
    <w:rsid w:val="001B327B"/>
    <w:rsid w:val="001B3B9D"/>
    <w:rsid w:val="001C1F37"/>
    <w:rsid w:val="001C57B1"/>
    <w:rsid w:val="001C5BE1"/>
    <w:rsid w:val="001C60F2"/>
    <w:rsid w:val="001C6CE6"/>
    <w:rsid w:val="001D035D"/>
    <w:rsid w:val="001D435E"/>
    <w:rsid w:val="001D4A8A"/>
    <w:rsid w:val="001D5CD0"/>
    <w:rsid w:val="001D6941"/>
    <w:rsid w:val="001D78AB"/>
    <w:rsid w:val="001E1F53"/>
    <w:rsid w:val="001E26CD"/>
    <w:rsid w:val="001E45F7"/>
    <w:rsid w:val="001E50F9"/>
    <w:rsid w:val="001F1B3D"/>
    <w:rsid w:val="001F36CB"/>
    <w:rsid w:val="001F37FF"/>
    <w:rsid w:val="001F396A"/>
    <w:rsid w:val="001F69F2"/>
    <w:rsid w:val="001F7B29"/>
    <w:rsid w:val="00200350"/>
    <w:rsid w:val="00202B9E"/>
    <w:rsid w:val="0020576C"/>
    <w:rsid w:val="00205BBE"/>
    <w:rsid w:val="0020779B"/>
    <w:rsid w:val="00211C0F"/>
    <w:rsid w:val="00213180"/>
    <w:rsid w:val="00216AA9"/>
    <w:rsid w:val="0022043E"/>
    <w:rsid w:val="00220EF2"/>
    <w:rsid w:val="00222625"/>
    <w:rsid w:val="00223AB8"/>
    <w:rsid w:val="00225861"/>
    <w:rsid w:val="00227D90"/>
    <w:rsid w:val="00230F0F"/>
    <w:rsid w:val="0023107B"/>
    <w:rsid w:val="002323C3"/>
    <w:rsid w:val="002355C4"/>
    <w:rsid w:val="0023601F"/>
    <w:rsid w:val="00236756"/>
    <w:rsid w:val="00236953"/>
    <w:rsid w:val="0024097C"/>
    <w:rsid w:val="00241086"/>
    <w:rsid w:val="002509BF"/>
    <w:rsid w:val="002512BB"/>
    <w:rsid w:val="00254D19"/>
    <w:rsid w:val="00256D82"/>
    <w:rsid w:val="00257840"/>
    <w:rsid w:val="00261514"/>
    <w:rsid w:val="00264F6A"/>
    <w:rsid w:val="00265E16"/>
    <w:rsid w:val="00271908"/>
    <w:rsid w:val="00272E95"/>
    <w:rsid w:val="00275440"/>
    <w:rsid w:val="00275B6E"/>
    <w:rsid w:val="00284BC1"/>
    <w:rsid w:val="00285E75"/>
    <w:rsid w:val="002861DB"/>
    <w:rsid w:val="00286C54"/>
    <w:rsid w:val="002874D4"/>
    <w:rsid w:val="002931D7"/>
    <w:rsid w:val="00294AF3"/>
    <w:rsid w:val="00294BE0"/>
    <w:rsid w:val="00295DB6"/>
    <w:rsid w:val="00296762"/>
    <w:rsid w:val="00297C49"/>
    <w:rsid w:val="002A0560"/>
    <w:rsid w:val="002A0EA0"/>
    <w:rsid w:val="002A3D7F"/>
    <w:rsid w:val="002A65F5"/>
    <w:rsid w:val="002B0627"/>
    <w:rsid w:val="002B1989"/>
    <w:rsid w:val="002B66B7"/>
    <w:rsid w:val="002B6F7A"/>
    <w:rsid w:val="002B7A9A"/>
    <w:rsid w:val="002C0757"/>
    <w:rsid w:val="002C31C3"/>
    <w:rsid w:val="002C5012"/>
    <w:rsid w:val="002C67A4"/>
    <w:rsid w:val="002D2AF2"/>
    <w:rsid w:val="002D47F7"/>
    <w:rsid w:val="002D68C9"/>
    <w:rsid w:val="002D71DD"/>
    <w:rsid w:val="002D77F9"/>
    <w:rsid w:val="002D7D8E"/>
    <w:rsid w:val="002E0822"/>
    <w:rsid w:val="002E5555"/>
    <w:rsid w:val="002E78EC"/>
    <w:rsid w:val="002F18D4"/>
    <w:rsid w:val="002F21BE"/>
    <w:rsid w:val="002F28B1"/>
    <w:rsid w:val="002F5792"/>
    <w:rsid w:val="003057CF"/>
    <w:rsid w:val="00306961"/>
    <w:rsid w:val="003074C8"/>
    <w:rsid w:val="00310609"/>
    <w:rsid w:val="00310B46"/>
    <w:rsid w:val="0031206C"/>
    <w:rsid w:val="0031287B"/>
    <w:rsid w:val="00312D2F"/>
    <w:rsid w:val="00322DD1"/>
    <w:rsid w:val="00325681"/>
    <w:rsid w:val="00325F51"/>
    <w:rsid w:val="00330023"/>
    <w:rsid w:val="00330714"/>
    <w:rsid w:val="0033781C"/>
    <w:rsid w:val="00337DBF"/>
    <w:rsid w:val="00337F2F"/>
    <w:rsid w:val="00340D5C"/>
    <w:rsid w:val="00343620"/>
    <w:rsid w:val="00346D63"/>
    <w:rsid w:val="00346FF4"/>
    <w:rsid w:val="003508BE"/>
    <w:rsid w:val="00352531"/>
    <w:rsid w:val="00354BDF"/>
    <w:rsid w:val="0035526C"/>
    <w:rsid w:val="00355E39"/>
    <w:rsid w:val="003578BC"/>
    <w:rsid w:val="00362015"/>
    <w:rsid w:val="0036229A"/>
    <w:rsid w:val="003705BF"/>
    <w:rsid w:val="003708FF"/>
    <w:rsid w:val="00370984"/>
    <w:rsid w:val="0037297D"/>
    <w:rsid w:val="0037357F"/>
    <w:rsid w:val="00373D6B"/>
    <w:rsid w:val="003771C7"/>
    <w:rsid w:val="003774C2"/>
    <w:rsid w:val="00377F9E"/>
    <w:rsid w:val="003807BC"/>
    <w:rsid w:val="003904CE"/>
    <w:rsid w:val="003958B0"/>
    <w:rsid w:val="00396598"/>
    <w:rsid w:val="003A005E"/>
    <w:rsid w:val="003A009E"/>
    <w:rsid w:val="003A1BDD"/>
    <w:rsid w:val="003A23CA"/>
    <w:rsid w:val="003A24BE"/>
    <w:rsid w:val="003A34F0"/>
    <w:rsid w:val="003A4C10"/>
    <w:rsid w:val="003A54FE"/>
    <w:rsid w:val="003A6EB2"/>
    <w:rsid w:val="003B1DDA"/>
    <w:rsid w:val="003B600B"/>
    <w:rsid w:val="003B6A60"/>
    <w:rsid w:val="003C22E6"/>
    <w:rsid w:val="003C2F7C"/>
    <w:rsid w:val="003C3846"/>
    <w:rsid w:val="003C57E4"/>
    <w:rsid w:val="003C7B28"/>
    <w:rsid w:val="003D06C1"/>
    <w:rsid w:val="003D44E1"/>
    <w:rsid w:val="003E6DFB"/>
    <w:rsid w:val="003E788D"/>
    <w:rsid w:val="003E78BE"/>
    <w:rsid w:val="003F0411"/>
    <w:rsid w:val="003F212E"/>
    <w:rsid w:val="003F460A"/>
    <w:rsid w:val="003F6681"/>
    <w:rsid w:val="00402760"/>
    <w:rsid w:val="00402A60"/>
    <w:rsid w:val="004035B0"/>
    <w:rsid w:val="00410AAC"/>
    <w:rsid w:val="00411349"/>
    <w:rsid w:val="00411F45"/>
    <w:rsid w:val="00414DD2"/>
    <w:rsid w:val="00415D39"/>
    <w:rsid w:val="004169F7"/>
    <w:rsid w:val="004201BC"/>
    <w:rsid w:val="00420610"/>
    <w:rsid w:val="004234E5"/>
    <w:rsid w:val="00432318"/>
    <w:rsid w:val="004339B3"/>
    <w:rsid w:val="00435203"/>
    <w:rsid w:val="0043528C"/>
    <w:rsid w:val="00435A59"/>
    <w:rsid w:val="00435E2B"/>
    <w:rsid w:val="00435EC8"/>
    <w:rsid w:val="00436152"/>
    <w:rsid w:val="00441531"/>
    <w:rsid w:val="004417C3"/>
    <w:rsid w:val="00447078"/>
    <w:rsid w:val="0044736A"/>
    <w:rsid w:val="00447748"/>
    <w:rsid w:val="004518A5"/>
    <w:rsid w:val="0045472F"/>
    <w:rsid w:val="00455EE4"/>
    <w:rsid w:val="00457E7E"/>
    <w:rsid w:val="004614AB"/>
    <w:rsid w:val="004616FD"/>
    <w:rsid w:val="004675D0"/>
    <w:rsid w:val="004728FB"/>
    <w:rsid w:val="0047751C"/>
    <w:rsid w:val="00477C3C"/>
    <w:rsid w:val="004804D9"/>
    <w:rsid w:val="004817DF"/>
    <w:rsid w:val="004821B9"/>
    <w:rsid w:val="00482BCF"/>
    <w:rsid w:val="00484172"/>
    <w:rsid w:val="004902E4"/>
    <w:rsid w:val="004905C4"/>
    <w:rsid w:val="0049174D"/>
    <w:rsid w:val="0049350F"/>
    <w:rsid w:val="004A13B2"/>
    <w:rsid w:val="004A1A47"/>
    <w:rsid w:val="004A1F08"/>
    <w:rsid w:val="004A429B"/>
    <w:rsid w:val="004A5E81"/>
    <w:rsid w:val="004A6A1E"/>
    <w:rsid w:val="004B4DE1"/>
    <w:rsid w:val="004C0E63"/>
    <w:rsid w:val="004C2D43"/>
    <w:rsid w:val="004C41CE"/>
    <w:rsid w:val="004C72A3"/>
    <w:rsid w:val="004D11FE"/>
    <w:rsid w:val="004D2877"/>
    <w:rsid w:val="004D4795"/>
    <w:rsid w:val="004E0137"/>
    <w:rsid w:val="004E0C6E"/>
    <w:rsid w:val="004E411D"/>
    <w:rsid w:val="004E4DEF"/>
    <w:rsid w:val="004E528C"/>
    <w:rsid w:val="004E6D40"/>
    <w:rsid w:val="004E7988"/>
    <w:rsid w:val="004F0F88"/>
    <w:rsid w:val="004F1B5A"/>
    <w:rsid w:val="004F24B5"/>
    <w:rsid w:val="004F5056"/>
    <w:rsid w:val="004F541A"/>
    <w:rsid w:val="004F5C41"/>
    <w:rsid w:val="004F7FF4"/>
    <w:rsid w:val="00505E9F"/>
    <w:rsid w:val="00507D1B"/>
    <w:rsid w:val="00512A25"/>
    <w:rsid w:val="00514A17"/>
    <w:rsid w:val="005160DC"/>
    <w:rsid w:val="005166BA"/>
    <w:rsid w:val="00521A41"/>
    <w:rsid w:val="00522757"/>
    <w:rsid w:val="005246F9"/>
    <w:rsid w:val="00524E7C"/>
    <w:rsid w:val="00531C5E"/>
    <w:rsid w:val="00532AE5"/>
    <w:rsid w:val="00532E20"/>
    <w:rsid w:val="00533BBB"/>
    <w:rsid w:val="005378FC"/>
    <w:rsid w:val="00540752"/>
    <w:rsid w:val="0054585B"/>
    <w:rsid w:val="00546D86"/>
    <w:rsid w:val="00551D54"/>
    <w:rsid w:val="005548B0"/>
    <w:rsid w:val="00555E05"/>
    <w:rsid w:val="00560272"/>
    <w:rsid w:val="0056135D"/>
    <w:rsid w:val="00562949"/>
    <w:rsid w:val="00567C37"/>
    <w:rsid w:val="00575730"/>
    <w:rsid w:val="00580922"/>
    <w:rsid w:val="00584822"/>
    <w:rsid w:val="005873C4"/>
    <w:rsid w:val="00591514"/>
    <w:rsid w:val="005917AC"/>
    <w:rsid w:val="00592490"/>
    <w:rsid w:val="00593670"/>
    <w:rsid w:val="0059464E"/>
    <w:rsid w:val="00595207"/>
    <w:rsid w:val="00595315"/>
    <w:rsid w:val="00595F78"/>
    <w:rsid w:val="005974F8"/>
    <w:rsid w:val="00597DB0"/>
    <w:rsid w:val="005A15AF"/>
    <w:rsid w:val="005A1A9F"/>
    <w:rsid w:val="005A1DF9"/>
    <w:rsid w:val="005A20F8"/>
    <w:rsid w:val="005A7519"/>
    <w:rsid w:val="005B2BD0"/>
    <w:rsid w:val="005B31D0"/>
    <w:rsid w:val="005B4852"/>
    <w:rsid w:val="005B6A5D"/>
    <w:rsid w:val="005C0060"/>
    <w:rsid w:val="005C2AF3"/>
    <w:rsid w:val="005C53F7"/>
    <w:rsid w:val="005C5CA4"/>
    <w:rsid w:val="005C7ECC"/>
    <w:rsid w:val="005D18BF"/>
    <w:rsid w:val="005D2A01"/>
    <w:rsid w:val="005D4B56"/>
    <w:rsid w:val="005D506E"/>
    <w:rsid w:val="005D55F2"/>
    <w:rsid w:val="005D6065"/>
    <w:rsid w:val="005E2A24"/>
    <w:rsid w:val="005E308B"/>
    <w:rsid w:val="005E3961"/>
    <w:rsid w:val="005E459E"/>
    <w:rsid w:val="005E52ED"/>
    <w:rsid w:val="005F0ECE"/>
    <w:rsid w:val="005F0FBD"/>
    <w:rsid w:val="005F2425"/>
    <w:rsid w:val="005F46DB"/>
    <w:rsid w:val="006010B2"/>
    <w:rsid w:val="006035AD"/>
    <w:rsid w:val="006036D8"/>
    <w:rsid w:val="0060540D"/>
    <w:rsid w:val="00605D6C"/>
    <w:rsid w:val="00612307"/>
    <w:rsid w:val="00613582"/>
    <w:rsid w:val="00613E22"/>
    <w:rsid w:val="00616FAE"/>
    <w:rsid w:val="0062029F"/>
    <w:rsid w:val="00620701"/>
    <w:rsid w:val="0062156B"/>
    <w:rsid w:val="006222BE"/>
    <w:rsid w:val="00626371"/>
    <w:rsid w:val="00626F66"/>
    <w:rsid w:val="006279CF"/>
    <w:rsid w:val="00630632"/>
    <w:rsid w:val="00632344"/>
    <w:rsid w:val="00632B39"/>
    <w:rsid w:val="006422ED"/>
    <w:rsid w:val="00643A8D"/>
    <w:rsid w:val="0065124F"/>
    <w:rsid w:val="00653950"/>
    <w:rsid w:val="00655B0E"/>
    <w:rsid w:val="00661721"/>
    <w:rsid w:val="00661877"/>
    <w:rsid w:val="006648D7"/>
    <w:rsid w:val="0067050F"/>
    <w:rsid w:val="006707EF"/>
    <w:rsid w:val="00670DFF"/>
    <w:rsid w:val="00670F3D"/>
    <w:rsid w:val="00671DB8"/>
    <w:rsid w:val="00674844"/>
    <w:rsid w:val="00674CE9"/>
    <w:rsid w:val="00674F78"/>
    <w:rsid w:val="00675556"/>
    <w:rsid w:val="00675FFE"/>
    <w:rsid w:val="00676859"/>
    <w:rsid w:val="006816E2"/>
    <w:rsid w:val="00685CAB"/>
    <w:rsid w:val="00686C7C"/>
    <w:rsid w:val="00690B4F"/>
    <w:rsid w:val="00693A67"/>
    <w:rsid w:val="006956DF"/>
    <w:rsid w:val="00697358"/>
    <w:rsid w:val="006A2621"/>
    <w:rsid w:val="006A4AC4"/>
    <w:rsid w:val="006A54AA"/>
    <w:rsid w:val="006A7E0D"/>
    <w:rsid w:val="006B0C9A"/>
    <w:rsid w:val="006B257F"/>
    <w:rsid w:val="006B3186"/>
    <w:rsid w:val="006B4603"/>
    <w:rsid w:val="006B51CC"/>
    <w:rsid w:val="006C1F22"/>
    <w:rsid w:val="006C4295"/>
    <w:rsid w:val="006C67EB"/>
    <w:rsid w:val="006D07C8"/>
    <w:rsid w:val="006D1DC3"/>
    <w:rsid w:val="006D6CF3"/>
    <w:rsid w:val="006D7B2F"/>
    <w:rsid w:val="006E0341"/>
    <w:rsid w:val="006E1AF3"/>
    <w:rsid w:val="006E2604"/>
    <w:rsid w:val="006E2A12"/>
    <w:rsid w:val="006E388F"/>
    <w:rsid w:val="006E45F4"/>
    <w:rsid w:val="006E4C2C"/>
    <w:rsid w:val="006E54D2"/>
    <w:rsid w:val="006E57BE"/>
    <w:rsid w:val="006F12D3"/>
    <w:rsid w:val="006F2027"/>
    <w:rsid w:val="006F29B1"/>
    <w:rsid w:val="006F53BA"/>
    <w:rsid w:val="006F5CBD"/>
    <w:rsid w:val="00701667"/>
    <w:rsid w:val="00701FCC"/>
    <w:rsid w:val="007028CD"/>
    <w:rsid w:val="00702E03"/>
    <w:rsid w:val="00703441"/>
    <w:rsid w:val="007044A4"/>
    <w:rsid w:val="007050D7"/>
    <w:rsid w:val="007071A1"/>
    <w:rsid w:val="007075FE"/>
    <w:rsid w:val="0071058D"/>
    <w:rsid w:val="007116D9"/>
    <w:rsid w:val="00711CF3"/>
    <w:rsid w:val="00712FD7"/>
    <w:rsid w:val="0071768E"/>
    <w:rsid w:val="00717770"/>
    <w:rsid w:val="00722DE3"/>
    <w:rsid w:val="00723309"/>
    <w:rsid w:val="00727C61"/>
    <w:rsid w:val="00731501"/>
    <w:rsid w:val="00731FC8"/>
    <w:rsid w:val="00732271"/>
    <w:rsid w:val="00733950"/>
    <w:rsid w:val="007354C6"/>
    <w:rsid w:val="00736641"/>
    <w:rsid w:val="00736C52"/>
    <w:rsid w:val="00741FA6"/>
    <w:rsid w:val="00744A00"/>
    <w:rsid w:val="00747437"/>
    <w:rsid w:val="00747622"/>
    <w:rsid w:val="00750D2E"/>
    <w:rsid w:val="00750E9F"/>
    <w:rsid w:val="00751D10"/>
    <w:rsid w:val="00751D3A"/>
    <w:rsid w:val="00752FF8"/>
    <w:rsid w:val="0075333B"/>
    <w:rsid w:val="00753B4F"/>
    <w:rsid w:val="00753D42"/>
    <w:rsid w:val="0075549E"/>
    <w:rsid w:val="0075560D"/>
    <w:rsid w:val="00757795"/>
    <w:rsid w:val="00757BB7"/>
    <w:rsid w:val="00760129"/>
    <w:rsid w:val="00760E36"/>
    <w:rsid w:val="0076188F"/>
    <w:rsid w:val="00766A0B"/>
    <w:rsid w:val="0077127F"/>
    <w:rsid w:val="007727CC"/>
    <w:rsid w:val="0077465E"/>
    <w:rsid w:val="00775F83"/>
    <w:rsid w:val="0077772C"/>
    <w:rsid w:val="00777B76"/>
    <w:rsid w:val="007804F5"/>
    <w:rsid w:val="00780EEA"/>
    <w:rsid w:val="0078361F"/>
    <w:rsid w:val="0078403A"/>
    <w:rsid w:val="00791C22"/>
    <w:rsid w:val="007923E0"/>
    <w:rsid w:val="00792E78"/>
    <w:rsid w:val="007978FB"/>
    <w:rsid w:val="007A0072"/>
    <w:rsid w:val="007A02E0"/>
    <w:rsid w:val="007A26CC"/>
    <w:rsid w:val="007A4319"/>
    <w:rsid w:val="007A638C"/>
    <w:rsid w:val="007A7D67"/>
    <w:rsid w:val="007B17C1"/>
    <w:rsid w:val="007B4DCE"/>
    <w:rsid w:val="007B6224"/>
    <w:rsid w:val="007B64A8"/>
    <w:rsid w:val="007B6666"/>
    <w:rsid w:val="007B67DD"/>
    <w:rsid w:val="007B7598"/>
    <w:rsid w:val="007C00DC"/>
    <w:rsid w:val="007C0401"/>
    <w:rsid w:val="007C1063"/>
    <w:rsid w:val="007C10CC"/>
    <w:rsid w:val="007C200E"/>
    <w:rsid w:val="007C220F"/>
    <w:rsid w:val="007C245E"/>
    <w:rsid w:val="007C4BA3"/>
    <w:rsid w:val="007C4CBA"/>
    <w:rsid w:val="007C4D8D"/>
    <w:rsid w:val="007C5E9E"/>
    <w:rsid w:val="007C616E"/>
    <w:rsid w:val="007C73A9"/>
    <w:rsid w:val="007C7527"/>
    <w:rsid w:val="007D0302"/>
    <w:rsid w:val="007D27A1"/>
    <w:rsid w:val="007D366C"/>
    <w:rsid w:val="007D6397"/>
    <w:rsid w:val="007D7DC3"/>
    <w:rsid w:val="007E09D3"/>
    <w:rsid w:val="007E0BEF"/>
    <w:rsid w:val="007E1EF7"/>
    <w:rsid w:val="007E27F5"/>
    <w:rsid w:val="007E58B1"/>
    <w:rsid w:val="007F7B32"/>
    <w:rsid w:val="00801A67"/>
    <w:rsid w:val="008056D3"/>
    <w:rsid w:val="00812492"/>
    <w:rsid w:val="00825A98"/>
    <w:rsid w:val="00827425"/>
    <w:rsid w:val="0083426C"/>
    <w:rsid w:val="00834FE1"/>
    <w:rsid w:val="0083671F"/>
    <w:rsid w:val="00836CE4"/>
    <w:rsid w:val="00837AAA"/>
    <w:rsid w:val="00837BA6"/>
    <w:rsid w:val="00841A64"/>
    <w:rsid w:val="00841C08"/>
    <w:rsid w:val="00841F89"/>
    <w:rsid w:val="00843353"/>
    <w:rsid w:val="008433FB"/>
    <w:rsid w:val="00844151"/>
    <w:rsid w:val="008443E7"/>
    <w:rsid w:val="00845DBB"/>
    <w:rsid w:val="00845FF9"/>
    <w:rsid w:val="00846322"/>
    <w:rsid w:val="00847BEB"/>
    <w:rsid w:val="00847D77"/>
    <w:rsid w:val="008531B6"/>
    <w:rsid w:val="00855772"/>
    <w:rsid w:val="00861214"/>
    <w:rsid w:val="0086582F"/>
    <w:rsid w:val="008659CD"/>
    <w:rsid w:val="00866A5E"/>
    <w:rsid w:val="00867BD2"/>
    <w:rsid w:val="00870A86"/>
    <w:rsid w:val="0087108D"/>
    <w:rsid w:val="008721AB"/>
    <w:rsid w:val="008740AE"/>
    <w:rsid w:val="008772E9"/>
    <w:rsid w:val="00880CB6"/>
    <w:rsid w:val="0088371A"/>
    <w:rsid w:val="00886996"/>
    <w:rsid w:val="00887357"/>
    <w:rsid w:val="008875C4"/>
    <w:rsid w:val="008902D6"/>
    <w:rsid w:val="00890A47"/>
    <w:rsid w:val="0089246B"/>
    <w:rsid w:val="008929AF"/>
    <w:rsid w:val="008950EF"/>
    <w:rsid w:val="008964A8"/>
    <w:rsid w:val="008A1B17"/>
    <w:rsid w:val="008A2F9A"/>
    <w:rsid w:val="008A51B6"/>
    <w:rsid w:val="008A652B"/>
    <w:rsid w:val="008B7742"/>
    <w:rsid w:val="008C087B"/>
    <w:rsid w:val="008C3D0A"/>
    <w:rsid w:val="008C3F1F"/>
    <w:rsid w:val="008D0CA5"/>
    <w:rsid w:val="008D30B4"/>
    <w:rsid w:val="008E053E"/>
    <w:rsid w:val="008E4A82"/>
    <w:rsid w:val="008E6963"/>
    <w:rsid w:val="008F0486"/>
    <w:rsid w:val="008F1458"/>
    <w:rsid w:val="008F2180"/>
    <w:rsid w:val="008F3CB0"/>
    <w:rsid w:val="008F40D9"/>
    <w:rsid w:val="008F45C7"/>
    <w:rsid w:val="0090348C"/>
    <w:rsid w:val="00906451"/>
    <w:rsid w:val="00910DED"/>
    <w:rsid w:val="00912715"/>
    <w:rsid w:val="009164DD"/>
    <w:rsid w:val="00917E7A"/>
    <w:rsid w:val="00920049"/>
    <w:rsid w:val="0092228D"/>
    <w:rsid w:val="00924544"/>
    <w:rsid w:val="009270AB"/>
    <w:rsid w:val="00930C07"/>
    <w:rsid w:val="009326B9"/>
    <w:rsid w:val="00932CD4"/>
    <w:rsid w:val="00933057"/>
    <w:rsid w:val="00933741"/>
    <w:rsid w:val="00933932"/>
    <w:rsid w:val="00933972"/>
    <w:rsid w:val="0093536B"/>
    <w:rsid w:val="00936E04"/>
    <w:rsid w:val="009372E8"/>
    <w:rsid w:val="00943466"/>
    <w:rsid w:val="00950AD0"/>
    <w:rsid w:val="00951FAF"/>
    <w:rsid w:val="00952099"/>
    <w:rsid w:val="0095452D"/>
    <w:rsid w:val="00961489"/>
    <w:rsid w:val="00966C47"/>
    <w:rsid w:val="00967827"/>
    <w:rsid w:val="00971272"/>
    <w:rsid w:val="00973597"/>
    <w:rsid w:val="00986350"/>
    <w:rsid w:val="00992099"/>
    <w:rsid w:val="0099266F"/>
    <w:rsid w:val="00992BCB"/>
    <w:rsid w:val="009937AF"/>
    <w:rsid w:val="00993AEA"/>
    <w:rsid w:val="009941C7"/>
    <w:rsid w:val="009942AC"/>
    <w:rsid w:val="009952BA"/>
    <w:rsid w:val="0099642C"/>
    <w:rsid w:val="009A5438"/>
    <w:rsid w:val="009A5BEC"/>
    <w:rsid w:val="009A6B9D"/>
    <w:rsid w:val="009B1586"/>
    <w:rsid w:val="009B3E40"/>
    <w:rsid w:val="009B4FCE"/>
    <w:rsid w:val="009B65D4"/>
    <w:rsid w:val="009B6734"/>
    <w:rsid w:val="009B7B4B"/>
    <w:rsid w:val="009B7FB9"/>
    <w:rsid w:val="009C1F86"/>
    <w:rsid w:val="009C6E24"/>
    <w:rsid w:val="009C70D8"/>
    <w:rsid w:val="009D4513"/>
    <w:rsid w:val="009D595E"/>
    <w:rsid w:val="009D59E2"/>
    <w:rsid w:val="009D5FE3"/>
    <w:rsid w:val="009D6554"/>
    <w:rsid w:val="009E1007"/>
    <w:rsid w:val="009E1DB8"/>
    <w:rsid w:val="009E4029"/>
    <w:rsid w:val="009E5260"/>
    <w:rsid w:val="009E573D"/>
    <w:rsid w:val="009E57CF"/>
    <w:rsid w:val="009E65F6"/>
    <w:rsid w:val="009F0F64"/>
    <w:rsid w:val="009F204D"/>
    <w:rsid w:val="009F2358"/>
    <w:rsid w:val="009F23F4"/>
    <w:rsid w:val="009F540B"/>
    <w:rsid w:val="009F72FF"/>
    <w:rsid w:val="00A0060E"/>
    <w:rsid w:val="00A00688"/>
    <w:rsid w:val="00A014FF"/>
    <w:rsid w:val="00A01D20"/>
    <w:rsid w:val="00A0269B"/>
    <w:rsid w:val="00A04301"/>
    <w:rsid w:val="00A04320"/>
    <w:rsid w:val="00A05635"/>
    <w:rsid w:val="00A06A27"/>
    <w:rsid w:val="00A07A0D"/>
    <w:rsid w:val="00A10D1B"/>
    <w:rsid w:val="00A12305"/>
    <w:rsid w:val="00A13117"/>
    <w:rsid w:val="00A138ED"/>
    <w:rsid w:val="00A21D9A"/>
    <w:rsid w:val="00A239B3"/>
    <w:rsid w:val="00A2604A"/>
    <w:rsid w:val="00A26064"/>
    <w:rsid w:val="00A3377F"/>
    <w:rsid w:val="00A36392"/>
    <w:rsid w:val="00A37A37"/>
    <w:rsid w:val="00A40822"/>
    <w:rsid w:val="00A43575"/>
    <w:rsid w:val="00A459D8"/>
    <w:rsid w:val="00A47834"/>
    <w:rsid w:val="00A47D59"/>
    <w:rsid w:val="00A53DA2"/>
    <w:rsid w:val="00A554FB"/>
    <w:rsid w:val="00A625BD"/>
    <w:rsid w:val="00A62AD8"/>
    <w:rsid w:val="00A66078"/>
    <w:rsid w:val="00A6681F"/>
    <w:rsid w:val="00A706D9"/>
    <w:rsid w:val="00A70F65"/>
    <w:rsid w:val="00A71F12"/>
    <w:rsid w:val="00A720DB"/>
    <w:rsid w:val="00A7210E"/>
    <w:rsid w:val="00A75BA5"/>
    <w:rsid w:val="00A77558"/>
    <w:rsid w:val="00A82B15"/>
    <w:rsid w:val="00A87190"/>
    <w:rsid w:val="00A877AC"/>
    <w:rsid w:val="00A90876"/>
    <w:rsid w:val="00A91321"/>
    <w:rsid w:val="00A92750"/>
    <w:rsid w:val="00A95BD7"/>
    <w:rsid w:val="00A96C86"/>
    <w:rsid w:val="00AA34B4"/>
    <w:rsid w:val="00AA3F0D"/>
    <w:rsid w:val="00AA5506"/>
    <w:rsid w:val="00AA7C74"/>
    <w:rsid w:val="00AB1FFE"/>
    <w:rsid w:val="00AB3750"/>
    <w:rsid w:val="00AB4188"/>
    <w:rsid w:val="00AB5D37"/>
    <w:rsid w:val="00AB68EB"/>
    <w:rsid w:val="00AB7DA9"/>
    <w:rsid w:val="00AC04E2"/>
    <w:rsid w:val="00AC0A44"/>
    <w:rsid w:val="00AC3C2D"/>
    <w:rsid w:val="00AC46B6"/>
    <w:rsid w:val="00AC5493"/>
    <w:rsid w:val="00AC6C82"/>
    <w:rsid w:val="00AD0485"/>
    <w:rsid w:val="00AD04B4"/>
    <w:rsid w:val="00AD473B"/>
    <w:rsid w:val="00AD75A9"/>
    <w:rsid w:val="00AE0D66"/>
    <w:rsid w:val="00AE0F11"/>
    <w:rsid w:val="00AE2153"/>
    <w:rsid w:val="00AE765C"/>
    <w:rsid w:val="00AF0AB2"/>
    <w:rsid w:val="00AF3074"/>
    <w:rsid w:val="00AF358C"/>
    <w:rsid w:val="00AF3FCC"/>
    <w:rsid w:val="00AF52BD"/>
    <w:rsid w:val="00AF54A8"/>
    <w:rsid w:val="00AF772E"/>
    <w:rsid w:val="00B01B42"/>
    <w:rsid w:val="00B044FF"/>
    <w:rsid w:val="00B050E8"/>
    <w:rsid w:val="00B0510B"/>
    <w:rsid w:val="00B1144D"/>
    <w:rsid w:val="00B12EBB"/>
    <w:rsid w:val="00B1621C"/>
    <w:rsid w:val="00B17A5F"/>
    <w:rsid w:val="00B20584"/>
    <w:rsid w:val="00B211B9"/>
    <w:rsid w:val="00B213A2"/>
    <w:rsid w:val="00B216D5"/>
    <w:rsid w:val="00B30178"/>
    <w:rsid w:val="00B31CD1"/>
    <w:rsid w:val="00B3437F"/>
    <w:rsid w:val="00B356A6"/>
    <w:rsid w:val="00B37183"/>
    <w:rsid w:val="00B37854"/>
    <w:rsid w:val="00B40700"/>
    <w:rsid w:val="00B42539"/>
    <w:rsid w:val="00B439D8"/>
    <w:rsid w:val="00B44137"/>
    <w:rsid w:val="00B47F84"/>
    <w:rsid w:val="00B52B55"/>
    <w:rsid w:val="00B53A90"/>
    <w:rsid w:val="00B53F41"/>
    <w:rsid w:val="00B559F0"/>
    <w:rsid w:val="00B56686"/>
    <w:rsid w:val="00B60C02"/>
    <w:rsid w:val="00B6299E"/>
    <w:rsid w:val="00B64177"/>
    <w:rsid w:val="00B64E23"/>
    <w:rsid w:val="00B66810"/>
    <w:rsid w:val="00B6780A"/>
    <w:rsid w:val="00B723B6"/>
    <w:rsid w:val="00B72FC3"/>
    <w:rsid w:val="00B75AD6"/>
    <w:rsid w:val="00B7738B"/>
    <w:rsid w:val="00B83005"/>
    <w:rsid w:val="00B83171"/>
    <w:rsid w:val="00B8324E"/>
    <w:rsid w:val="00B86455"/>
    <w:rsid w:val="00B86E60"/>
    <w:rsid w:val="00B874CA"/>
    <w:rsid w:val="00B87FAE"/>
    <w:rsid w:val="00B92EF3"/>
    <w:rsid w:val="00B93E7F"/>
    <w:rsid w:val="00B96663"/>
    <w:rsid w:val="00BA0784"/>
    <w:rsid w:val="00BA124C"/>
    <w:rsid w:val="00BA13B7"/>
    <w:rsid w:val="00BA22DC"/>
    <w:rsid w:val="00BA3573"/>
    <w:rsid w:val="00BA52E1"/>
    <w:rsid w:val="00BA621B"/>
    <w:rsid w:val="00BA7F74"/>
    <w:rsid w:val="00BB0A5D"/>
    <w:rsid w:val="00BB0C80"/>
    <w:rsid w:val="00BB1079"/>
    <w:rsid w:val="00BB2355"/>
    <w:rsid w:val="00BB6EFB"/>
    <w:rsid w:val="00BB7230"/>
    <w:rsid w:val="00BB75C8"/>
    <w:rsid w:val="00BB7EA8"/>
    <w:rsid w:val="00BC176E"/>
    <w:rsid w:val="00BC3162"/>
    <w:rsid w:val="00BC36DD"/>
    <w:rsid w:val="00BC4AFA"/>
    <w:rsid w:val="00BC4D0B"/>
    <w:rsid w:val="00BC60B4"/>
    <w:rsid w:val="00BC651B"/>
    <w:rsid w:val="00BC6708"/>
    <w:rsid w:val="00BD244D"/>
    <w:rsid w:val="00BE0233"/>
    <w:rsid w:val="00BE036F"/>
    <w:rsid w:val="00BE3370"/>
    <w:rsid w:val="00BE604A"/>
    <w:rsid w:val="00BE60DF"/>
    <w:rsid w:val="00BE6189"/>
    <w:rsid w:val="00BF0745"/>
    <w:rsid w:val="00BF1303"/>
    <w:rsid w:val="00BF17AB"/>
    <w:rsid w:val="00BF7C36"/>
    <w:rsid w:val="00C06B07"/>
    <w:rsid w:val="00C109BF"/>
    <w:rsid w:val="00C10A8E"/>
    <w:rsid w:val="00C10B1F"/>
    <w:rsid w:val="00C10E7C"/>
    <w:rsid w:val="00C11524"/>
    <w:rsid w:val="00C11C8E"/>
    <w:rsid w:val="00C1576E"/>
    <w:rsid w:val="00C158AD"/>
    <w:rsid w:val="00C1696B"/>
    <w:rsid w:val="00C2130A"/>
    <w:rsid w:val="00C228BD"/>
    <w:rsid w:val="00C23E85"/>
    <w:rsid w:val="00C24FFE"/>
    <w:rsid w:val="00C2551F"/>
    <w:rsid w:val="00C25A2E"/>
    <w:rsid w:val="00C31041"/>
    <w:rsid w:val="00C31F42"/>
    <w:rsid w:val="00C32DC1"/>
    <w:rsid w:val="00C351E5"/>
    <w:rsid w:val="00C36EA4"/>
    <w:rsid w:val="00C428C8"/>
    <w:rsid w:val="00C42F55"/>
    <w:rsid w:val="00C472FA"/>
    <w:rsid w:val="00C52434"/>
    <w:rsid w:val="00C529F1"/>
    <w:rsid w:val="00C52B75"/>
    <w:rsid w:val="00C53D46"/>
    <w:rsid w:val="00C63335"/>
    <w:rsid w:val="00C65B8E"/>
    <w:rsid w:val="00C662A0"/>
    <w:rsid w:val="00C66916"/>
    <w:rsid w:val="00C73599"/>
    <w:rsid w:val="00C7530B"/>
    <w:rsid w:val="00C802AF"/>
    <w:rsid w:val="00C814B5"/>
    <w:rsid w:val="00C82F36"/>
    <w:rsid w:val="00C83ABA"/>
    <w:rsid w:val="00C90142"/>
    <w:rsid w:val="00C91C00"/>
    <w:rsid w:val="00C92231"/>
    <w:rsid w:val="00C9580E"/>
    <w:rsid w:val="00C975A0"/>
    <w:rsid w:val="00C97E06"/>
    <w:rsid w:val="00CA2062"/>
    <w:rsid w:val="00CA27EC"/>
    <w:rsid w:val="00CA40C1"/>
    <w:rsid w:val="00CA45FF"/>
    <w:rsid w:val="00CB0731"/>
    <w:rsid w:val="00CB1405"/>
    <w:rsid w:val="00CB1D2D"/>
    <w:rsid w:val="00CB3595"/>
    <w:rsid w:val="00CB5E40"/>
    <w:rsid w:val="00CC0966"/>
    <w:rsid w:val="00CC129C"/>
    <w:rsid w:val="00CC271B"/>
    <w:rsid w:val="00CC66DA"/>
    <w:rsid w:val="00CC77EE"/>
    <w:rsid w:val="00CC782D"/>
    <w:rsid w:val="00CD5550"/>
    <w:rsid w:val="00CD5B9C"/>
    <w:rsid w:val="00CD7109"/>
    <w:rsid w:val="00CE07A8"/>
    <w:rsid w:val="00CE2519"/>
    <w:rsid w:val="00CE55BE"/>
    <w:rsid w:val="00CE7C15"/>
    <w:rsid w:val="00CF2476"/>
    <w:rsid w:val="00CF35A4"/>
    <w:rsid w:val="00CF3D70"/>
    <w:rsid w:val="00CF3EEC"/>
    <w:rsid w:val="00CF4379"/>
    <w:rsid w:val="00D01BF5"/>
    <w:rsid w:val="00D024F3"/>
    <w:rsid w:val="00D04E43"/>
    <w:rsid w:val="00D0577D"/>
    <w:rsid w:val="00D05A94"/>
    <w:rsid w:val="00D05F03"/>
    <w:rsid w:val="00D10072"/>
    <w:rsid w:val="00D1094A"/>
    <w:rsid w:val="00D10EF1"/>
    <w:rsid w:val="00D11318"/>
    <w:rsid w:val="00D11EF4"/>
    <w:rsid w:val="00D2161E"/>
    <w:rsid w:val="00D2747B"/>
    <w:rsid w:val="00D3001E"/>
    <w:rsid w:val="00D3065F"/>
    <w:rsid w:val="00D322C2"/>
    <w:rsid w:val="00D33D88"/>
    <w:rsid w:val="00D350FF"/>
    <w:rsid w:val="00D36FAE"/>
    <w:rsid w:val="00D37869"/>
    <w:rsid w:val="00D3799D"/>
    <w:rsid w:val="00D47782"/>
    <w:rsid w:val="00D50D3C"/>
    <w:rsid w:val="00D51280"/>
    <w:rsid w:val="00D51E22"/>
    <w:rsid w:val="00D527BF"/>
    <w:rsid w:val="00D540D0"/>
    <w:rsid w:val="00D56F1F"/>
    <w:rsid w:val="00D57F4C"/>
    <w:rsid w:val="00D60595"/>
    <w:rsid w:val="00D61237"/>
    <w:rsid w:val="00D6125F"/>
    <w:rsid w:val="00D670DD"/>
    <w:rsid w:val="00D67367"/>
    <w:rsid w:val="00D673DE"/>
    <w:rsid w:val="00D80863"/>
    <w:rsid w:val="00D81AD7"/>
    <w:rsid w:val="00D81DD9"/>
    <w:rsid w:val="00D81E68"/>
    <w:rsid w:val="00D85548"/>
    <w:rsid w:val="00D86A16"/>
    <w:rsid w:val="00D87B88"/>
    <w:rsid w:val="00D87E31"/>
    <w:rsid w:val="00D9092A"/>
    <w:rsid w:val="00D90D9F"/>
    <w:rsid w:val="00D95A79"/>
    <w:rsid w:val="00D96781"/>
    <w:rsid w:val="00D968AB"/>
    <w:rsid w:val="00DA1D37"/>
    <w:rsid w:val="00DA2B23"/>
    <w:rsid w:val="00DA7A83"/>
    <w:rsid w:val="00DB1517"/>
    <w:rsid w:val="00DB1587"/>
    <w:rsid w:val="00DB4DCA"/>
    <w:rsid w:val="00DB6B2F"/>
    <w:rsid w:val="00DC1566"/>
    <w:rsid w:val="00DC38FF"/>
    <w:rsid w:val="00DC3D1D"/>
    <w:rsid w:val="00DD0531"/>
    <w:rsid w:val="00DD06C6"/>
    <w:rsid w:val="00DD0A0D"/>
    <w:rsid w:val="00DD1521"/>
    <w:rsid w:val="00DD427C"/>
    <w:rsid w:val="00DD5C68"/>
    <w:rsid w:val="00DD7949"/>
    <w:rsid w:val="00DD7A83"/>
    <w:rsid w:val="00DD7A8E"/>
    <w:rsid w:val="00DE5536"/>
    <w:rsid w:val="00DE6E48"/>
    <w:rsid w:val="00DF2DD5"/>
    <w:rsid w:val="00DF337C"/>
    <w:rsid w:val="00DF421B"/>
    <w:rsid w:val="00E01C87"/>
    <w:rsid w:val="00E0330E"/>
    <w:rsid w:val="00E03410"/>
    <w:rsid w:val="00E144F5"/>
    <w:rsid w:val="00E150CA"/>
    <w:rsid w:val="00E16E03"/>
    <w:rsid w:val="00E17DB2"/>
    <w:rsid w:val="00E203C2"/>
    <w:rsid w:val="00E238E3"/>
    <w:rsid w:val="00E2427E"/>
    <w:rsid w:val="00E26B4F"/>
    <w:rsid w:val="00E30742"/>
    <w:rsid w:val="00E313E4"/>
    <w:rsid w:val="00E319B6"/>
    <w:rsid w:val="00E3201C"/>
    <w:rsid w:val="00E32FAA"/>
    <w:rsid w:val="00E33108"/>
    <w:rsid w:val="00E34A08"/>
    <w:rsid w:val="00E401D7"/>
    <w:rsid w:val="00E445DA"/>
    <w:rsid w:val="00E457AE"/>
    <w:rsid w:val="00E467F5"/>
    <w:rsid w:val="00E517CA"/>
    <w:rsid w:val="00E53C46"/>
    <w:rsid w:val="00E5433D"/>
    <w:rsid w:val="00E5782C"/>
    <w:rsid w:val="00E57C55"/>
    <w:rsid w:val="00E57E5E"/>
    <w:rsid w:val="00E63418"/>
    <w:rsid w:val="00E63731"/>
    <w:rsid w:val="00E63B04"/>
    <w:rsid w:val="00E6576A"/>
    <w:rsid w:val="00E710C0"/>
    <w:rsid w:val="00E72C97"/>
    <w:rsid w:val="00E74A19"/>
    <w:rsid w:val="00E83875"/>
    <w:rsid w:val="00E83E43"/>
    <w:rsid w:val="00E8527A"/>
    <w:rsid w:val="00E85AF5"/>
    <w:rsid w:val="00E85F88"/>
    <w:rsid w:val="00E91D7B"/>
    <w:rsid w:val="00E928D9"/>
    <w:rsid w:val="00E93033"/>
    <w:rsid w:val="00E93D78"/>
    <w:rsid w:val="00E953AA"/>
    <w:rsid w:val="00E95922"/>
    <w:rsid w:val="00EA0787"/>
    <w:rsid w:val="00EA100A"/>
    <w:rsid w:val="00EA130A"/>
    <w:rsid w:val="00EA3427"/>
    <w:rsid w:val="00EA38BA"/>
    <w:rsid w:val="00EA6880"/>
    <w:rsid w:val="00EB2752"/>
    <w:rsid w:val="00EB2E8E"/>
    <w:rsid w:val="00EB3004"/>
    <w:rsid w:val="00EB390E"/>
    <w:rsid w:val="00EB6325"/>
    <w:rsid w:val="00EB7037"/>
    <w:rsid w:val="00EB77D4"/>
    <w:rsid w:val="00EC2502"/>
    <w:rsid w:val="00EC276D"/>
    <w:rsid w:val="00EC38D2"/>
    <w:rsid w:val="00EC455B"/>
    <w:rsid w:val="00EC4809"/>
    <w:rsid w:val="00EC6CB2"/>
    <w:rsid w:val="00EC78C9"/>
    <w:rsid w:val="00ED067B"/>
    <w:rsid w:val="00ED2483"/>
    <w:rsid w:val="00ED31F3"/>
    <w:rsid w:val="00ED662B"/>
    <w:rsid w:val="00ED7F58"/>
    <w:rsid w:val="00EE0D06"/>
    <w:rsid w:val="00EE198F"/>
    <w:rsid w:val="00EE1D87"/>
    <w:rsid w:val="00EE4043"/>
    <w:rsid w:val="00EE4DB7"/>
    <w:rsid w:val="00EE5CD0"/>
    <w:rsid w:val="00EE5EB9"/>
    <w:rsid w:val="00EF16A8"/>
    <w:rsid w:val="00EF26BC"/>
    <w:rsid w:val="00EF3256"/>
    <w:rsid w:val="00EF4425"/>
    <w:rsid w:val="00EF48E1"/>
    <w:rsid w:val="00EF5AD7"/>
    <w:rsid w:val="00F0025E"/>
    <w:rsid w:val="00F00C39"/>
    <w:rsid w:val="00F06C1D"/>
    <w:rsid w:val="00F12484"/>
    <w:rsid w:val="00F134DC"/>
    <w:rsid w:val="00F20AF5"/>
    <w:rsid w:val="00F23DBF"/>
    <w:rsid w:val="00F27553"/>
    <w:rsid w:val="00F278AC"/>
    <w:rsid w:val="00F33DE4"/>
    <w:rsid w:val="00F34E66"/>
    <w:rsid w:val="00F359A0"/>
    <w:rsid w:val="00F35A3A"/>
    <w:rsid w:val="00F37DF7"/>
    <w:rsid w:val="00F411A4"/>
    <w:rsid w:val="00F450F7"/>
    <w:rsid w:val="00F50FD4"/>
    <w:rsid w:val="00F51C2B"/>
    <w:rsid w:val="00F52217"/>
    <w:rsid w:val="00F5233A"/>
    <w:rsid w:val="00F533A8"/>
    <w:rsid w:val="00F56239"/>
    <w:rsid w:val="00F66727"/>
    <w:rsid w:val="00F71C0C"/>
    <w:rsid w:val="00F72D42"/>
    <w:rsid w:val="00F737F6"/>
    <w:rsid w:val="00F73B7D"/>
    <w:rsid w:val="00F75556"/>
    <w:rsid w:val="00F75F1A"/>
    <w:rsid w:val="00F77C47"/>
    <w:rsid w:val="00F80B47"/>
    <w:rsid w:val="00F82B6B"/>
    <w:rsid w:val="00F82E36"/>
    <w:rsid w:val="00F83BE8"/>
    <w:rsid w:val="00F84646"/>
    <w:rsid w:val="00F856B5"/>
    <w:rsid w:val="00F8735D"/>
    <w:rsid w:val="00F9161A"/>
    <w:rsid w:val="00F9185B"/>
    <w:rsid w:val="00F91ED5"/>
    <w:rsid w:val="00F92168"/>
    <w:rsid w:val="00F92D13"/>
    <w:rsid w:val="00F94562"/>
    <w:rsid w:val="00FA1C0B"/>
    <w:rsid w:val="00FA2EC9"/>
    <w:rsid w:val="00FA4C3C"/>
    <w:rsid w:val="00FA4E0D"/>
    <w:rsid w:val="00FA5762"/>
    <w:rsid w:val="00FA6E41"/>
    <w:rsid w:val="00FA738D"/>
    <w:rsid w:val="00FA78A2"/>
    <w:rsid w:val="00FB004F"/>
    <w:rsid w:val="00FB426E"/>
    <w:rsid w:val="00FB5E5F"/>
    <w:rsid w:val="00FB6951"/>
    <w:rsid w:val="00FC5E9D"/>
    <w:rsid w:val="00FC67E2"/>
    <w:rsid w:val="00FD0BDA"/>
    <w:rsid w:val="00FD27B4"/>
    <w:rsid w:val="00FD73CF"/>
    <w:rsid w:val="00FE03FB"/>
    <w:rsid w:val="00FE16BF"/>
    <w:rsid w:val="00FE2EE1"/>
    <w:rsid w:val="00FE4044"/>
    <w:rsid w:val="00FF1569"/>
    <w:rsid w:val="00FF19E2"/>
    <w:rsid w:val="00FF2A45"/>
    <w:rsid w:val="00FF5897"/>
    <w:rsid w:val="00FF7320"/>
    <w:rsid w:val="00FF7A69"/>
    <w:rsid w:val="00FF7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23E94"/>
  <w15:chartTrackingRefBased/>
  <w15:docId w15:val="{ED0BBF37-5D5C-A24B-9A50-FC1DF5CE3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5AD6"/>
    <w:rPr>
      <w:rFonts w:ascii="Times New Roman" w:eastAsia="Times New Roman" w:hAnsi="Times New Roman" w:cs="Times New Roman"/>
    </w:rPr>
  </w:style>
  <w:style w:type="paragraph" w:styleId="Heading1">
    <w:name w:val="heading 1"/>
    <w:basedOn w:val="Normal"/>
    <w:next w:val="Normal"/>
    <w:link w:val="Heading1Char"/>
    <w:uiPriority w:val="9"/>
    <w:qFormat/>
    <w:rsid w:val="00551D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1D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1D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1D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1D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1D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D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D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D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D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1D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1D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1D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1D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1D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D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D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D54"/>
    <w:rPr>
      <w:rFonts w:eastAsiaTheme="majorEastAsia" w:cstheme="majorBidi"/>
      <w:color w:val="272727" w:themeColor="text1" w:themeTint="D8"/>
    </w:rPr>
  </w:style>
  <w:style w:type="paragraph" w:styleId="Title">
    <w:name w:val="Title"/>
    <w:basedOn w:val="Normal"/>
    <w:next w:val="Normal"/>
    <w:link w:val="TitleChar"/>
    <w:uiPriority w:val="10"/>
    <w:qFormat/>
    <w:rsid w:val="00551D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D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1D5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1D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1D54"/>
    <w:pPr>
      <w:spacing w:before="160" w:after="160"/>
      <w:jc w:val="center"/>
    </w:pPr>
    <w:rPr>
      <w:rFonts w:asciiTheme="minorHAnsi" w:eastAsiaTheme="minorHAnsi" w:hAnsiTheme="minorHAnsi" w:cstheme="minorBidi"/>
      <w:i/>
      <w:iCs/>
      <w:color w:val="404040" w:themeColor="text1" w:themeTint="BF"/>
    </w:rPr>
  </w:style>
  <w:style w:type="character" w:customStyle="1" w:styleId="QuoteChar">
    <w:name w:val="Quote Char"/>
    <w:basedOn w:val="DefaultParagraphFont"/>
    <w:link w:val="Quote"/>
    <w:uiPriority w:val="29"/>
    <w:rsid w:val="00551D54"/>
    <w:rPr>
      <w:i/>
      <w:iCs/>
      <w:color w:val="404040" w:themeColor="text1" w:themeTint="BF"/>
    </w:rPr>
  </w:style>
  <w:style w:type="paragraph" w:styleId="ListParagraph">
    <w:name w:val="List Paragraph"/>
    <w:basedOn w:val="Normal"/>
    <w:uiPriority w:val="34"/>
    <w:qFormat/>
    <w:rsid w:val="00551D54"/>
    <w:pPr>
      <w:ind w:left="720"/>
      <w:contextualSpacing/>
    </w:pPr>
    <w:rPr>
      <w:rFonts w:asciiTheme="minorHAnsi" w:eastAsiaTheme="minorHAnsi" w:hAnsiTheme="minorHAnsi" w:cstheme="minorBidi"/>
    </w:rPr>
  </w:style>
  <w:style w:type="character" w:styleId="IntenseEmphasis">
    <w:name w:val="Intense Emphasis"/>
    <w:basedOn w:val="DefaultParagraphFont"/>
    <w:uiPriority w:val="21"/>
    <w:qFormat/>
    <w:rsid w:val="00551D54"/>
    <w:rPr>
      <w:i/>
      <w:iCs/>
      <w:color w:val="0F4761" w:themeColor="accent1" w:themeShade="BF"/>
    </w:rPr>
  </w:style>
  <w:style w:type="paragraph" w:styleId="IntenseQuote">
    <w:name w:val="Intense Quote"/>
    <w:basedOn w:val="Normal"/>
    <w:next w:val="Normal"/>
    <w:link w:val="IntenseQuoteChar"/>
    <w:uiPriority w:val="30"/>
    <w:qFormat/>
    <w:rsid w:val="00551D54"/>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rPr>
  </w:style>
  <w:style w:type="character" w:customStyle="1" w:styleId="IntenseQuoteChar">
    <w:name w:val="Intense Quote Char"/>
    <w:basedOn w:val="DefaultParagraphFont"/>
    <w:link w:val="IntenseQuote"/>
    <w:uiPriority w:val="30"/>
    <w:rsid w:val="00551D54"/>
    <w:rPr>
      <w:i/>
      <w:iCs/>
      <w:color w:val="0F4761" w:themeColor="accent1" w:themeShade="BF"/>
    </w:rPr>
  </w:style>
  <w:style w:type="character" w:styleId="IntenseReference">
    <w:name w:val="Intense Reference"/>
    <w:basedOn w:val="DefaultParagraphFont"/>
    <w:uiPriority w:val="32"/>
    <w:qFormat/>
    <w:rsid w:val="00551D54"/>
    <w:rPr>
      <w:b/>
      <w:bCs/>
      <w:smallCaps/>
      <w:color w:val="0F4761" w:themeColor="accent1" w:themeShade="BF"/>
      <w:spacing w:val="5"/>
    </w:rPr>
  </w:style>
  <w:style w:type="character" w:styleId="Hyperlink">
    <w:name w:val="Hyperlink"/>
    <w:basedOn w:val="DefaultParagraphFont"/>
    <w:uiPriority w:val="99"/>
    <w:unhideWhenUsed/>
    <w:rsid w:val="00551D54"/>
    <w:rPr>
      <w:color w:val="467886" w:themeColor="hyperlink"/>
      <w:u w:val="single"/>
    </w:rPr>
  </w:style>
  <w:style w:type="character" w:styleId="UnresolvedMention">
    <w:name w:val="Unresolved Mention"/>
    <w:basedOn w:val="DefaultParagraphFont"/>
    <w:uiPriority w:val="99"/>
    <w:semiHidden/>
    <w:unhideWhenUsed/>
    <w:rsid w:val="00551D54"/>
    <w:rPr>
      <w:color w:val="605E5C"/>
      <w:shd w:val="clear" w:color="auto" w:fill="E1DFDD"/>
    </w:rPr>
  </w:style>
  <w:style w:type="paragraph" w:styleId="NormalWeb">
    <w:name w:val="Normal (Web)"/>
    <w:basedOn w:val="Normal"/>
    <w:uiPriority w:val="99"/>
    <w:unhideWhenUsed/>
    <w:rsid w:val="006E54D2"/>
    <w:pPr>
      <w:spacing w:before="100" w:beforeAutospacing="1" w:after="100" w:afterAutospacing="1"/>
    </w:pPr>
  </w:style>
  <w:style w:type="paragraph" w:styleId="Bibliography">
    <w:name w:val="Bibliography"/>
    <w:basedOn w:val="Normal"/>
    <w:next w:val="Normal"/>
    <w:uiPriority w:val="37"/>
    <w:unhideWhenUsed/>
    <w:rsid w:val="006E54D2"/>
    <w:pPr>
      <w:tabs>
        <w:tab w:val="left" w:pos="380"/>
      </w:tabs>
      <w:spacing w:after="240"/>
      <w:ind w:left="384" w:hanging="384"/>
    </w:pPr>
    <w:rPr>
      <w:rFonts w:asciiTheme="minorHAnsi" w:eastAsiaTheme="minorHAnsi" w:hAnsiTheme="minorHAnsi" w:cstheme="minorBidi"/>
    </w:rPr>
  </w:style>
  <w:style w:type="paragraph" w:customStyle="1" w:styleId="subheader">
    <w:name w:val="subheader"/>
    <w:basedOn w:val="Heading2"/>
    <w:qFormat/>
    <w:rsid w:val="00FA4C3C"/>
    <w:pPr>
      <w:spacing w:before="40" w:after="0"/>
    </w:pPr>
    <w:rPr>
      <w:rFonts w:ascii="Times New Roman" w:eastAsia="Times New Roman" w:hAnsi="Times New Roman" w:cs="Times New Roman"/>
      <w:i/>
      <w:iCs/>
      <w:color w:val="000000" w:themeColor="text1"/>
      <w:sz w:val="24"/>
      <w:szCs w:val="24"/>
      <w:shd w:val="clear" w:color="auto" w:fill="FFFFFF"/>
    </w:rPr>
  </w:style>
  <w:style w:type="character" w:styleId="CommentReference">
    <w:name w:val="annotation reference"/>
    <w:basedOn w:val="DefaultParagraphFont"/>
    <w:uiPriority w:val="99"/>
    <w:semiHidden/>
    <w:unhideWhenUsed/>
    <w:rsid w:val="006E57BE"/>
    <w:rPr>
      <w:sz w:val="16"/>
      <w:szCs w:val="16"/>
    </w:rPr>
  </w:style>
  <w:style w:type="paragraph" w:styleId="CommentText">
    <w:name w:val="annotation text"/>
    <w:basedOn w:val="Normal"/>
    <w:link w:val="CommentTextChar"/>
    <w:uiPriority w:val="99"/>
    <w:unhideWhenUsed/>
    <w:rsid w:val="006E57BE"/>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6E57BE"/>
    <w:rPr>
      <w:sz w:val="20"/>
      <w:szCs w:val="20"/>
    </w:rPr>
  </w:style>
  <w:style w:type="paragraph" w:styleId="CommentSubject">
    <w:name w:val="annotation subject"/>
    <w:basedOn w:val="CommentText"/>
    <w:next w:val="CommentText"/>
    <w:link w:val="CommentSubjectChar"/>
    <w:uiPriority w:val="99"/>
    <w:semiHidden/>
    <w:unhideWhenUsed/>
    <w:rsid w:val="006E57BE"/>
    <w:rPr>
      <w:b/>
      <w:bCs/>
    </w:rPr>
  </w:style>
  <w:style w:type="character" w:customStyle="1" w:styleId="CommentSubjectChar">
    <w:name w:val="Comment Subject Char"/>
    <w:basedOn w:val="CommentTextChar"/>
    <w:link w:val="CommentSubject"/>
    <w:uiPriority w:val="99"/>
    <w:semiHidden/>
    <w:rsid w:val="006E57BE"/>
    <w:rPr>
      <w:b/>
      <w:bCs/>
      <w:sz w:val="20"/>
      <w:szCs w:val="20"/>
    </w:rPr>
  </w:style>
  <w:style w:type="paragraph" w:styleId="BalloonText">
    <w:name w:val="Balloon Text"/>
    <w:basedOn w:val="Normal"/>
    <w:link w:val="BalloonTextChar"/>
    <w:uiPriority w:val="99"/>
    <w:semiHidden/>
    <w:unhideWhenUsed/>
    <w:rsid w:val="004201BC"/>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4201BC"/>
    <w:rPr>
      <w:rFonts w:ascii="Segoe UI" w:hAnsi="Segoe UI" w:cs="Segoe UI"/>
      <w:sz w:val="18"/>
      <w:szCs w:val="18"/>
    </w:rPr>
  </w:style>
  <w:style w:type="paragraph" w:styleId="Revision">
    <w:name w:val="Revision"/>
    <w:hidden/>
    <w:uiPriority w:val="99"/>
    <w:semiHidden/>
    <w:rsid w:val="00777B76"/>
  </w:style>
  <w:style w:type="character" w:styleId="FollowedHyperlink">
    <w:name w:val="FollowedHyperlink"/>
    <w:basedOn w:val="DefaultParagraphFont"/>
    <w:uiPriority w:val="99"/>
    <w:semiHidden/>
    <w:unhideWhenUsed/>
    <w:rsid w:val="006E2A12"/>
    <w:rPr>
      <w:color w:val="96607D" w:themeColor="followedHyperlink"/>
      <w:u w:val="single"/>
    </w:rPr>
  </w:style>
  <w:style w:type="paragraph" w:styleId="Footer">
    <w:name w:val="footer"/>
    <w:basedOn w:val="Normal"/>
    <w:link w:val="FooterChar"/>
    <w:uiPriority w:val="99"/>
    <w:unhideWhenUsed/>
    <w:rsid w:val="00C814B5"/>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C814B5"/>
  </w:style>
  <w:style w:type="character" w:styleId="PageNumber">
    <w:name w:val="page number"/>
    <w:basedOn w:val="DefaultParagraphFont"/>
    <w:uiPriority w:val="99"/>
    <w:semiHidden/>
    <w:unhideWhenUsed/>
    <w:rsid w:val="00C814B5"/>
  </w:style>
  <w:style w:type="table" w:styleId="TableGrid">
    <w:name w:val="Table Grid"/>
    <w:basedOn w:val="TableNormal"/>
    <w:uiPriority w:val="39"/>
    <w:rsid w:val="007A43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7A4319"/>
    <w:pPr>
      <w:spacing w:before="100" w:beforeAutospacing="1" w:after="100" w:afterAutospacing="1"/>
    </w:pPr>
  </w:style>
  <w:style w:type="paragraph" w:customStyle="1" w:styleId="xl65">
    <w:name w:val="xl65"/>
    <w:basedOn w:val="Normal"/>
    <w:rsid w:val="007A4319"/>
    <w:pPr>
      <w:spacing w:before="100" w:beforeAutospacing="1" w:after="100" w:afterAutospacing="1"/>
    </w:pPr>
    <w:rPr>
      <w:rFonts w:ascii="Aptos Narrow" w:hAnsi="Aptos Narrow"/>
      <w:b/>
      <w:bCs/>
    </w:rPr>
  </w:style>
  <w:style w:type="paragraph" w:customStyle="1" w:styleId="xl66">
    <w:name w:val="xl66"/>
    <w:basedOn w:val="Normal"/>
    <w:rsid w:val="007D0302"/>
    <w:pPr>
      <w:spacing w:before="100" w:beforeAutospacing="1" w:after="100" w:afterAutospacing="1"/>
    </w:pPr>
    <w:rPr>
      <w:rFonts w:ascii="Times Roman" w:hAnsi="Times Roman"/>
    </w:rPr>
  </w:style>
  <w:style w:type="character" w:styleId="LineNumber">
    <w:name w:val="line number"/>
    <w:basedOn w:val="DefaultParagraphFont"/>
    <w:uiPriority w:val="99"/>
    <w:semiHidden/>
    <w:unhideWhenUsed/>
    <w:rsid w:val="007A638C"/>
  </w:style>
  <w:style w:type="paragraph" w:styleId="Header">
    <w:name w:val="header"/>
    <w:basedOn w:val="Normal"/>
    <w:link w:val="HeaderChar"/>
    <w:uiPriority w:val="99"/>
    <w:unhideWhenUsed/>
    <w:rsid w:val="00B37854"/>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B37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11680">
      <w:bodyDiv w:val="1"/>
      <w:marLeft w:val="0"/>
      <w:marRight w:val="0"/>
      <w:marTop w:val="0"/>
      <w:marBottom w:val="0"/>
      <w:divBdr>
        <w:top w:val="none" w:sz="0" w:space="0" w:color="auto"/>
        <w:left w:val="none" w:sz="0" w:space="0" w:color="auto"/>
        <w:bottom w:val="none" w:sz="0" w:space="0" w:color="auto"/>
        <w:right w:val="none" w:sz="0" w:space="0" w:color="auto"/>
      </w:divBdr>
    </w:div>
    <w:div w:id="57633397">
      <w:bodyDiv w:val="1"/>
      <w:marLeft w:val="0"/>
      <w:marRight w:val="0"/>
      <w:marTop w:val="0"/>
      <w:marBottom w:val="0"/>
      <w:divBdr>
        <w:top w:val="none" w:sz="0" w:space="0" w:color="auto"/>
        <w:left w:val="none" w:sz="0" w:space="0" w:color="auto"/>
        <w:bottom w:val="none" w:sz="0" w:space="0" w:color="auto"/>
        <w:right w:val="none" w:sz="0" w:space="0" w:color="auto"/>
      </w:divBdr>
    </w:div>
    <w:div w:id="311830440">
      <w:bodyDiv w:val="1"/>
      <w:marLeft w:val="0"/>
      <w:marRight w:val="0"/>
      <w:marTop w:val="0"/>
      <w:marBottom w:val="0"/>
      <w:divBdr>
        <w:top w:val="none" w:sz="0" w:space="0" w:color="auto"/>
        <w:left w:val="none" w:sz="0" w:space="0" w:color="auto"/>
        <w:bottom w:val="none" w:sz="0" w:space="0" w:color="auto"/>
        <w:right w:val="none" w:sz="0" w:space="0" w:color="auto"/>
      </w:divBdr>
    </w:div>
    <w:div w:id="485168004">
      <w:bodyDiv w:val="1"/>
      <w:marLeft w:val="0"/>
      <w:marRight w:val="0"/>
      <w:marTop w:val="0"/>
      <w:marBottom w:val="0"/>
      <w:divBdr>
        <w:top w:val="none" w:sz="0" w:space="0" w:color="auto"/>
        <w:left w:val="none" w:sz="0" w:space="0" w:color="auto"/>
        <w:bottom w:val="none" w:sz="0" w:space="0" w:color="auto"/>
        <w:right w:val="none" w:sz="0" w:space="0" w:color="auto"/>
      </w:divBdr>
    </w:div>
    <w:div w:id="561332653">
      <w:bodyDiv w:val="1"/>
      <w:marLeft w:val="0"/>
      <w:marRight w:val="0"/>
      <w:marTop w:val="0"/>
      <w:marBottom w:val="0"/>
      <w:divBdr>
        <w:top w:val="none" w:sz="0" w:space="0" w:color="auto"/>
        <w:left w:val="none" w:sz="0" w:space="0" w:color="auto"/>
        <w:bottom w:val="none" w:sz="0" w:space="0" w:color="auto"/>
        <w:right w:val="none" w:sz="0" w:space="0" w:color="auto"/>
      </w:divBdr>
    </w:div>
    <w:div w:id="1171026173">
      <w:bodyDiv w:val="1"/>
      <w:marLeft w:val="0"/>
      <w:marRight w:val="0"/>
      <w:marTop w:val="0"/>
      <w:marBottom w:val="0"/>
      <w:divBdr>
        <w:top w:val="none" w:sz="0" w:space="0" w:color="auto"/>
        <w:left w:val="none" w:sz="0" w:space="0" w:color="auto"/>
        <w:bottom w:val="none" w:sz="0" w:space="0" w:color="auto"/>
        <w:right w:val="none" w:sz="0" w:space="0" w:color="auto"/>
      </w:divBdr>
    </w:div>
    <w:div w:id="1251428126">
      <w:bodyDiv w:val="1"/>
      <w:marLeft w:val="0"/>
      <w:marRight w:val="0"/>
      <w:marTop w:val="0"/>
      <w:marBottom w:val="0"/>
      <w:divBdr>
        <w:top w:val="none" w:sz="0" w:space="0" w:color="auto"/>
        <w:left w:val="none" w:sz="0" w:space="0" w:color="auto"/>
        <w:bottom w:val="none" w:sz="0" w:space="0" w:color="auto"/>
        <w:right w:val="none" w:sz="0" w:space="0" w:color="auto"/>
      </w:divBdr>
    </w:div>
    <w:div w:id="1336690839">
      <w:bodyDiv w:val="1"/>
      <w:marLeft w:val="0"/>
      <w:marRight w:val="0"/>
      <w:marTop w:val="0"/>
      <w:marBottom w:val="0"/>
      <w:divBdr>
        <w:top w:val="none" w:sz="0" w:space="0" w:color="auto"/>
        <w:left w:val="none" w:sz="0" w:space="0" w:color="auto"/>
        <w:bottom w:val="none" w:sz="0" w:space="0" w:color="auto"/>
        <w:right w:val="none" w:sz="0" w:space="0" w:color="auto"/>
      </w:divBdr>
    </w:div>
    <w:div w:id="1416055589">
      <w:bodyDiv w:val="1"/>
      <w:marLeft w:val="0"/>
      <w:marRight w:val="0"/>
      <w:marTop w:val="0"/>
      <w:marBottom w:val="0"/>
      <w:divBdr>
        <w:top w:val="none" w:sz="0" w:space="0" w:color="auto"/>
        <w:left w:val="none" w:sz="0" w:space="0" w:color="auto"/>
        <w:bottom w:val="none" w:sz="0" w:space="0" w:color="auto"/>
        <w:right w:val="none" w:sz="0" w:space="0" w:color="auto"/>
      </w:divBdr>
    </w:div>
    <w:div w:id="1586261331">
      <w:bodyDiv w:val="1"/>
      <w:marLeft w:val="0"/>
      <w:marRight w:val="0"/>
      <w:marTop w:val="0"/>
      <w:marBottom w:val="0"/>
      <w:divBdr>
        <w:top w:val="none" w:sz="0" w:space="0" w:color="auto"/>
        <w:left w:val="none" w:sz="0" w:space="0" w:color="auto"/>
        <w:bottom w:val="none" w:sz="0" w:space="0" w:color="auto"/>
        <w:right w:val="none" w:sz="0" w:space="0" w:color="auto"/>
      </w:divBdr>
    </w:div>
    <w:div w:id="1606572296">
      <w:bodyDiv w:val="1"/>
      <w:marLeft w:val="0"/>
      <w:marRight w:val="0"/>
      <w:marTop w:val="0"/>
      <w:marBottom w:val="0"/>
      <w:divBdr>
        <w:top w:val="none" w:sz="0" w:space="0" w:color="auto"/>
        <w:left w:val="none" w:sz="0" w:space="0" w:color="auto"/>
        <w:bottom w:val="none" w:sz="0" w:space="0" w:color="auto"/>
        <w:right w:val="none" w:sz="0" w:space="0" w:color="auto"/>
      </w:divBdr>
    </w:div>
    <w:div w:id="1747922261">
      <w:bodyDiv w:val="1"/>
      <w:marLeft w:val="0"/>
      <w:marRight w:val="0"/>
      <w:marTop w:val="0"/>
      <w:marBottom w:val="0"/>
      <w:divBdr>
        <w:top w:val="none" w:sz="0" w:space="0" w:color="auto"/>
        <w:left w:val="none" w:sz="0" w:space="0" w:color="auto"/>
        <w:bottom w:val="none" w:sz="0" w:space="0" w:color="auto"/>
        <w:right w:val="none" w:sz="0" w:space="0" w:color="auto"/>
      </w:divBdr>
    </w:div>
    <w:div w:id="1805389514">
      <w:bodyDiv w:val="1"/>
      <w:marLeft w:val="0"/>
      <w:marRight w:val="0"/>
      <w:marTop w:val="0"/>
      <w:marBottom w:val="0"/>
      <w:divBdr>
        <w:top w:val="none" w:sz="0" w:space="0" w:color="auto"/>
        <w:left w:val="none" w:sz="0" w:space="0" w:color="auto"/>
        <w:bottom w:val="none" w:sz="0" w:space="0" w:color="auto"/>
        <w:right w:val="none" w:sz="0" w:space="0" w:color="auto"/>
      </w:divBdr>
    </w:div>
    <w:div w:id="184867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nenberg@gwu.edu" TargetMode="External"/><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21CD4-8759-6541-A100-0D9CC3F80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19</Pages>
  <Words>22728</Words>
  <Characters>129553</Characters>
  <Application>Microsoft Office Word</Application>
  <DocSecurity>0</DocSecurity>
  <Lines>1079</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Greta Katherine</dc:creator>
  <cp:keywords/>
  <dc:description/>
  <cp:lastModifiedBy>Martin, Greta Katherine</cp:lastModifiedBy>
  <cp:revision>6</cp:revision>
  <cp:lastPrinted>2025-02-18T18:29:00Z</cp:lastPrinted>
  <dcterms:created xsi:type="dcterms:W3CDTF">2025-08-05T22:16:00Z</dcterms:created>
  <dcterms:modified xsi:type="dcterms:W3CDTF">2025-08-06T13:50:00Z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id="WE7Q6kTq"/&gt;&lt;style id="http://www.zotero.org/styles/american-medical-association" hasBibliography="1" bibliographyStyleHasBeenSet="1"/&gt;&lt;prefs&gt;&lt;pref name="fieldType" value="Field"/&gt;&lt;/prefs&gt;&lt;/data&gt;</vt:lpwstr>
  </property>
</Properties>
</file>