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b/>
          <w:bCs/>
        </w:rPr>
      </w:pPr>
      <w:r w:rsidRPr="00E150CA">
        <w:rPr>
          <w:b/>
          <w:bCs/>
        </w:rPr>
        <w:t>Title</w:t>
      </w:r>
    </w:p>
    <w:p w14:paraId="31B6B276" w14:textId="49424E77" w:rsidR="00C52434" w:rsidRPr="00E150CA" w:rsidRDefault="00107F48" w:rsidP="00C52434">
      <w:r w:rsidRPr="00E150CA">
        <w:t>A health impact assessment</w:t>
      </w:r>
      <w:r w:rsidR="00C52434" w:rsidRPr="00E150CA">
        <w:t xml:space="preserve"> </w:t>
      </w:r>
      <w:r w:rsidRPr="00E150CA">
        <w:t xml:space="preserve">of </w:t>
      </w:r>
      <w:r w:rsidR="00B53F41">
        <w:t>changes in NDVI on</w:t>
      </w:r>
      <w:r w:rsidRPr="00E150CA">
        <w:t xml:space="preserve"> all-cause mortality </w:t>
      </w:r>
      <w:r w:rsidR="00C52434" w:rsidRPr="00E150CA">
        <w:t>across 1,04</w:t>
      </w:r>
      <w:r w:rsidR="004A13B2">
        <w:t>1</w:t>
      </w:r>
      <w:r w:rsidR="00C52434" w:rsidRPr="00E150CA">
        <w:t xml:space="preserve"> global cities</w:t>
      </w:r>
    </w:p>
    <w:p w14:paraId="7753AB88" w14:textId="3E3E1C1D" w:rsidR="00FA2EC9" w:rsidRPr="00E150CA" w:rsidRDefault="00FA2EC9" w:rsidP="00551D54"/>
    <w:p w14:paraId="4D404FBB" w14:textId="18E63531" w:rsidR="00551D54" w:rsidRPr="00E150CA" w:rsidRDefault="00551D54" w:rsidP="00551D54">
      <w:pPr>
        <w:rPr>
          <w:b/>
          <w:bCs/>
        </w:rPr>
      </w:pPr>
      <w:r w:rsidRPr="00E150CA">
        <w:rPr>
          <w:b/>
          <w:bCs/>
        </w:rPr>
        <w:t>Authors</w:t>
      </w:r>
    </w:p>
    <w:p w14:paraId="1707BEE0" w14:textId="5B9EF3A6" w:rsidR="00420610" w:rsidRPr="00E150CA" w:rsidRDefault="00420610" w:rsidP="00420610">
      <w:pPr>
        <w:rPr>
          <w:color w:val="000000" w:themeColor="text1"/>
          <w:vertAlign w:val="superscript"/>
        </w:rPr>
      </w:pPr>
      <w:r w:rsidRPr="00E150CA">
        <w:rPr>
          <w:color w:val="000000" w:themeColor="text1"/>
        </w:rPr>
        <w:t>Greta K. Martin</w:t>
      </w:r>
      <w:r w:rsidRPr="00E150CA">
        <w:rPr>
          <w:color w:val="000000" w:themeColor="text1"/>
          <w:vertAlign w:val="superscript"/>
        </w:rPr>
        <w:t>1</w:t>
      </w:r>
      <w:r w:rsidRPr="00E150CA">
        <w:rPr>
          <w:color w:val="000000" w:themeColor="text1"/>
        </w:rPr>
        <w:t xml:space="preserve">, </w:t>
      </w:r>
      <w:r w:rsidR="001C6CE6" w:rsidRPr="00E150CA">
        <w:rPr>
          <w:color w:val="000000" w:themeColor="text1"/>
        </w:rPr>
        <w:t>Jennifer D. Stowell</w:t>
      </w:r>
      <w:r w:rsidR="001C6CE6" w:rsidRPr="00E150CA">
        <w:rPr>
          <w:color w:val="000000" w:themeColor="text1"/>
          <w:vertAlign w:val="superscript"/>
        </w:rPr>
        <w:t>2</w:t>
      </w:r>
      <w:r w:rsidR="001C6CE6" w:rsidRPr="00E150CA">
        <w:rPr>
          <w:color w:val="000000" w:themeColor="text1"/>
        </w:rPr>
        <w:t xml:space="preserve">, </w:t>
      </w:r>
      <w:r w:rsidRPr="00E150CA">
        <w:rPr>
          <w:color w:val="000000" w:themeColor="text1"/>
        </w:rPr>
        <w:t>Patrick L. Kinney</w:t>
      </w:r>
      <w:r w:rsidRPr="00E150CA">
        <w:rPr>
          <w:color w:val="000000" w:themeColor="text1"/>
          <w:vertAlign w:val="superscript"/>
        </w:rPr>
        <w:t>2</w:t>
      </w:r>
      <w:r w:rsidRPr="00E150CA">
        <w:rPr>
          <w:color w:val="000000" w:themeColor="text1"/>
        </w:rPr>
        <w:t>, Susan C. Anenberg</w:t>
      </w:r>
      <w:r w:rsidRPr="00E150CA">
        <w:rPr>
          <w:color w:val="000000" w:themeColor="text1"/>
          <w:vertAlign w:val="superscript"/>
        </w:rPr>
        <w:t>1</w:t>
      </w:r>
      <w:r w:rsidR="00686C7C">
        <w:rPr>
          <w:color w:val="000000" w:themeColor="text1"/>
          <w:vertAlign w:val="superscript"/>
        </w:rPr>
        <w:t>*</w:t>
      </w:r>
    </w:p>
    <w:p w14:paraId="1F324D7A" w14:textId="241A43E8" w:rsidR="00420610" w:rsidRPr="00E150CA" w:rsidRDefault="00420610" w:rsidP="00420610">
      <w:pPr>
        <w:rPr>
          <w:color w:val="000000" w:themeColor="text1"/>
        </w:rPr>
      </w:pPr>
      <w:r w:rsidRPr="00E150CA">
        <w:rPr>
          <w:color w:val="000000" w:themeColor="text1"/>
          <w:vertAlign w:val="superscript"/>
        </w:rPr>
        <w:t>1</w:t>
      </w:r>
      <w:r w:rsidRPr="00E150CA">
        <w:rPr>
          <w:color w:val="000000" w:themeColor="text1"/>
        </w:rPr>
        <w:t>The George Washington University Milken Institute of Public Health, Washington, DC</w:t>
      </w:r>
    </w:p>
    <w:p w14:paraId="19BFF8F5" w14:textId="60B79632" w:rsidR="00420610" w:rsidRPr="00E150CA" w:rsidRDefault="00420610" w:rsidP="00420610">
      <w:pPr>
        <w:rPr>
          <w:color w:val="000000" w:themeColor="text1"/>
        </w:rPr>
      </w:pPr>
      <w:r w:rsidRPr="00E150CA">
        <w:rPr>
          <w:color w:val="000000" w:themeColor="text1"/>
          <w:vertAlign w:val="superscript"/>
        </w:rPr>
        <w:t>2</w:t>
      </w:r>
      <w:r w:rsidRPr="00E150CA">
        <w:rPr>
          <w:color w:val="000000" w:themeColor="text1"/>
        </w:rPr>
        <w:t>Boston University School of Public Health, Boston, MA</w:t>
      </w:r>
    </w:p>
    <w:p w14:paraId="0151347F" w14:textId="7E09E25D" w:rsidR="00FA2EC9" w:rsidRDefault="00FA2EC9" w:rsidP="00551D54"/>
    <w:p w14:paraId="66FF4854" w14:textId="33190FDA" w:rsidR="00686C7C" w:rsidRPr="004948EA" w:rsidRDefault="00686C7C" w:rsidP="00686C7C">
      <w:r w:rsidRPr="004948EA">
        <w:t xml:space="preserve">*Corresponding author: Susan Anenberg, 950 New Hampshire Ave NW, Washington DC 20015, </w:t>
      </w:r>
      <w:hyperlink r:id="rId8" w:history="1">
        <w:r w:rsidRPr="004948EA">
          <w:rPr>
            <w:rStyle w:val="Hyperlink"/>
          </w:rPr>
          <w:t>sanenberg@gwu.edu</w:t>
        </w:r>
      </w:hyperlink>
    </w:p>
    <w:p w14:paraId="622C6B9B" w14:textId="6381E287" w:rsidR="00686C7C" w:rsidRPr="00E150CA" w:rsidRDefault="00686C7C" w:rsidP="00551D54"/>
    <w:p w14:paraId="1D3C241D" w14:textId="05C53A53" w:rsidR="00551D54" w:rsidRPr="00E150CA" w:rsidRDefault="00551D54" w:rsidP="00551D54">
      <w:pPr>
        <w:rPr>
          <w:b/>
          <w:bCs/>
        </w:rPr>
      </w:pPr>
      <w:r w:rsidRPr="00E150CA">
        <w:rPr>
          <w:b/>
          <w:bCs/>
        </w:rPr>
        <w:t>Keywords</w:t>
      </w:r>
    </w:p>
    <w:p w14:paraId="73C38941" w14:textId="1789FA26" w:rsidR="00DA7A83" w:rsidRPr="00E150CA" w:rsidRDefault="00DA7A83" w:rsidP="00551D54">
      <w:r w:rsidRPr="00E150CA">
        <w:t>Health impact assessment, greenspace, Normalized Difference Vegetation Index, NDVI, urban nature</w:t>
      </w:r>
    </w:p>
    <w:p w14:paraId="708DDE7F" w14:textId="234E2F31" w:rsidR="00FA2EC9" w:rsidRPr="00E150CA" w:rsidRDefault="00FA2EC9" w:rsidP="00551D54"/>
    <w:p w14:paraId="7D60FC6A" w14:textId="2E0ABA1C" w:rsidR="00F73B7D" w:rsidRDefault="00551D54" w:rsidP="00551D54">
      <w:r w:rsidRPr="00E150CA">
        <w:rPr>
          <w:b/>
          <w:bCs/>
        </w:rPr>
        <w:t>Abstract</w:t>
      </w:r>
      <w:r w:rsidR="00B8324E">
        <w:rPr>
          <w:b/>
          <w:bCs/>
        </w:rPr>
        <w:t xml:space="preserve"> </w:t>
      </w:r>
    </w:p>
    <w:p w14:paraId="68C00227" w14:textId="138EDB79" w:rsidR="00F73B7D" w:rsidRPr="00741FA6" w:rsidRDefault="00E319B6" w:rsidP="00551D54">
      <w:pPr>
        <w:rPr>
          <w:color w:val="000000" w:themeColor="text1"/>
        </w:rPr>
      </w:pPr>
      <w:r>
        <w:t>Urban greenspaces</w:t>
      </w:r>
      <w:r w:rsidR="00CB5E40">
        <w:t xml:space="preserve"> </w:t>
      </w:r>
      <w:r>
        <w:t xml:space="preserve">are associated with improved health and climate resiliency. </w:t>
      </w:r>
      <w:r w:rsidR="00CB5E40">
        <w:t>Large scale h</w:t>
      </w:r>
      <w:r>
        <w:t xml:space="preserve">ealth impact assessments of urban greenspace and mortality have been limited to American and European cities. </w:t>
      </w:r>
      <w:r w:rsidR="00CB5E40">
        <w:t>We</w:t>
      </w:r>
      <w:r>
        <w:t xml:space="preserve"> estimate</w:t>
      </w:r>
      <w:r w:rsidR="00CD7109">
        <w:t>d</w:t>
      </w:r>
      <w:r>
        <w:t xml:space="preserve"> changes in mortality associated with observed </w:t>
      </w:r>
      <w:r w:rsidR="00CB5E40">
        <w:t xml:space="preserve">differences </w:t>
      </w:r>
      <w:r>
        <w:t>in population-weighted greenest</w:t>
      </w:r>
      <w:r w:rsidR="000011F2">
        <w:t xml:space="preserve"> </w:t>
      </w:r>
      <w:r>
        <w:t>season normalized difference vegetation index (NDVI) between 2014-2018 and 2019-2023 across 1,041 global cities representing 174 countries. We use</w:t>
      </w:r>
      <w:r w:rsidR="00CD7109">
        <w:t>d</w:t>
      </w:r>
      <w:r>
        <w:t xml:space="preserve"> publicly available high-resolution satellite</w:t>
      </w:r>
      <w:r w:rsidR="00671DB8">
        <w:t>-</w:t>
      </w:r>
      <w:r>
        <w:t>derive</w:t>
      </w:r>
      <w:r w:rsidR="00671DB8">
        <w:t>d</w:t>
      </w:r>
      <w:r>
        <w:t xml:space="preserve"> estimates of NDVI and population</w:t>
      </w:r>
      <w:r w:rsidR="00671DB8">
        <w:t>,</w:t>
      </w:r>
      <w:r>
        <w:t xml:space="preserve"> baseline disease rates from the Global Burden of Disease study</w:t>
      </w:r>
      <w:r w:rsidR="00671DB8">
        <w:t>,</w:t>
      </w:r>
      <w:r>
        <w:t xml:space="preserve"> and a</w:t>
      </w:r>
      <w:r w:rsidR="00671DB8">
        <w:t xml:space="preserve"> hazard ratio of the association between NDVI and all-cause mortality </w:t>
      </w:r>
      <w:r>
        <w:t>from a</w:t>
      </w:r>
      <w:r w:rsidR="0075549E">
        <w:t>n epidemiological</w:t>
      </w:r>
      <w:r>
        <w:t xml:space="preserve"> meta-analysis. </w:t>
      </w:r>
      <w:r w:rsidR="003708FF">
        <w:t xml:space="preserve">We found </w:t>
      </w:r>
      <w:r w:rsidR="00B83171">
        <w:t>that u</w:t>
      </w:r>
      <w:r w:rsidR="003708FF">
        <w:t>rban</w:t>
      </w:r>
      <w:r w:rsidR="0001515D">
        <w:t xml:space="preserve"> greenspace varies substantially</w:t>
      </w:r>
      <w:r w:rsidR="003708FF">
        <w:t xml:space="preserve"> across cities</w:t>
      </w:r>
      <w:r w:rsidR="0001515D">
        <w:t xml:space="preserve"> </w:t>
      </w:r>
      <w:r w:rsidR="003708FF">
        <w:t>(</w:t>
      </w:r>
      <w:r w:rsidR="00BE3370">
        <w:t xml:space="preserve">NDVI </w:t>
      </w:r>
      <w:r w:rsidR="003708FF">
        <w:t xml:space="preserve">mean: 0.270, range: 0.072, 0.580) and </w:t>
      </w:r>
      <w:r w:rsidR="0001515D">
        <w:t xml:space="preserve">by climate </w:t>
      </w:r>
      <w:r w:rsidR="00B83171">
        <w:t xml:space="preserve">classification </w:t>
      </w:r>
      <w:r w:rsidR="0001515D">
        <w:t>and geographic region.</w:t>
      </w:r>
      <w:r w:rsidR="00E144F5">
        <w:t xml:space="preserve"> </w:t>
      </w:r>
      <w:r w:rsidR="0001515D">
        <w:t>D</w:t>
      </w:r>
      <w:r w:rsidR="00E144F5">
        <w:t>espite modest global</w:t>
      </w:r>
      <w:r w:rsidR="00B83171">
        <w:t xml:space="preserve"> average</w:t>
      </w:r>
      <w:r w:rsidR="00E144F5">
        <w:t xml:space="preserve"> changes</w:t>
      </w:r>
      <w:r w:rsidR="003708FF">
        <w:t xml:space="preserve"> in NDVI from 2014-2018 to 2019-2023</w:t>
      </w:r>
      <w:r w:rsidR="00E144F5">
        <w:t xml:space="preserve">, </w:t>
      </w:r>
      <w:r w:rsidR="00C1576E">
        <w:t>NDVI</w:t>
      </w:r>
      <w:r w:rsidR="00E144F5">
        <w:t xml:space="preserve"> has changed by o</w:t>
      </w:r>
      <w:r w:rsidR="003A005E">
        <w:t>ver +/-</w:t>
      </w:r>
      <w:r w:rsidR="00E144F5">
        <w:t xml:space="preserve">20% in individual cities. </w:t>
      </w:r>
      <w:r w:rsidR="00BB7230">
        <w:t>Median</w:t>
      </w:r>
      <w:r w:rsidR="00E2427E">
        <w:t xml:space="preserve"> </w:t>
      </w:r>
      <w:r w:rsidR="00555E05">
        <w:t>regional</w:t>
      </w:r>
      <w:r w:rsidR="00E2427E">
        <w:t xml:space="preserve"> c</w:t>
      </w:r>
      <w:r w:rsidR="003708FF">
        <w:t>hanges were largest in South-eastern Asia (-0.022), Sub-Saharan Africa (-0.010) and Eastern Asia (+0.014)</w:t>
      </w:r>
      <w:r w:rsidR="00E2427E">
        <w:t xml:space="preserve"> and most stable in arid climate</w:t>
      </w:r>
      <w:r w:rsidR="00555E05">
        <w:t xml:space="preserve">s </w:t>
      </w:r>
      <w:r w:rsidR="00E2427E">
        <w:t>(&lt;0.000)</w:t>
      </w:r>
      <w:r w:rsidR="003708FF">
        <w:t xml:space="preserve">. </w:t>
      </w:r>
      <w:r w:rsidR="0001515D">
        <w:t xml:space="preserve">These changes </w:t>
      </w:r>
      <w:r w:rsidR="003708FF">
        <w:t>were associated with</w:t>
      </w:r>
      <w:r w:rsidR="0001515D">
        <w:t xml:space="preserve"> a global </w:t>
      </w:r>
      <w:r w:rsidR="00EC276D">
        <w:t xml:space="preserve">mean of </w:t>
      </w:r>
      <w:r w:rsidR="00EC276D" w:rsidRPr="005C5123">
        <w:t>0.19 (95% CI: 0.1</w:t>
      </w:r>
      <w:r w:rsidR="004E3805">
        <w:t>2</w:t>
      </w:r>
      <w:r w:rsidR="00EC276D" w:rsidRPr="005C5123">
        <w:t>, 0.2</w:t>
      </w:r>
      <w:r w:rsidR="004E3805">
        <w:t>7</w:t>
      </w:r>
      <w:r w:rsidR="00EC276D" w:rsidRPr="005C5123">
        <w:t>)</w:t>
      </w:r>
      <w:r w:rsidR="00EC276D">
        <w:t xml:space="preserve"> </w:t>
      </w:r>
      <w:r w:rsidR="0001515D">
        <w:t xml:space="preserve">additional </w:t>
      </w:r>
      <w:r w:rsidR="00C66916">
        <w:t xml:space="preserve">annual </w:t>
      </w:r>
      <w:r w:rsidR="0001515D">
        <w:t>deaths</w:t>
      </w:r>
      <w:r w:rsidR="00C66916">
        <w:t xml:space="preserve"> per 100,000 </w:t>
      </w:r>
      <w:r w:rsidR="000B7BE0">
        <w:t xml:space="preserve">in </w:t>
      </w:r>
      <w:r w:rsidR="00264F6A">
        <w:t>the 2020 population</w:t>
      </w:r>
      <w:r w:rsidR="0001515D">
        <w:t xml:space="preserve">, ranging from </w:t>
      </w:r>
      <w:r w:rsidR="007727CC">
        <w:t>24.44</w:t>
      </w:r>
      <w:r w:rsidR="0001515D">
        <w:t xml:space="preserve"> fewer to </w:t>
      </w:r>
      <w:r w:rsidR="007727CC">
        <w:t>21.84</w:t>
      </w:r>
      <w:r w:rsidR="0001515D">
        <w:t xml:space="preserve"> more deaths per 100,000 across cities</w:t>
      </w:r>
      <w:r w:rsidR="0001515D" w:rsidRPr="00741FA6">
        <w:rPr>
          <w:color w:val="000000" w:themeColor="text1"/>
        </w:rPr>
        <w:t>.</w:t>
      </w:r>
      <w:r w:rsidR="00841A64" w:rsidRPr="00741FA6">
        <w:rPr>
          <w:color w:val="000000" w:themeColor="text1"/>
        </w:rPr>
        <w:t xml:space="preserve"> </w:t>
      </w:r>
      <w:r w:rsidR="008740AE" w:rsidRPr="00741FA6">
        <w:rPr>
          <w:color w:val="000000" w:themeColor="text1"/>
        </w:rPr>
        <w:t>H</w:t>
      </w:r>
      <w:r w:rsidR="00841A64" w:rsidRPr="00741FA6">
        <w:rPr>
          <w:color w:val="000000" w:themeColor="text1"/>
        </w:rPr>
        <w:t xml:space="preserve">ealth impact </w:t>
      </w:r>
      <w:r w:rsidR="00227D90" w:rsidRPr="00741FA6">
        <w:rPr>
          <w:color w:val="000000" w:themeColor="text1"/>
        </w:rPr>
        <w:t>assessments</w:t>
      </w:r>
      <w:r w:rsidR="00841A64" w:rsidRPr="00741FA6">
        <w:rPr>
          <w:color w:val="000000" w:themeColor="text1"/>
        </w:rPr>
        <w:t xml:space="preserve"> of NDVI and all-cause mortality have </w:t>
      </w:r>
      <w:r w:rsidR="008740AE" w:rsidRPr="00741FA6">
        <w:rPr>
          <w:color w:val="000000" w:themeColor="text1"/>
        </w:rPr>
        <w:t>largely been conducted in European and North American cities, where we found NDVI was generally higher and more stable</w:t>
      </w:r>
      <w:r w:rsidR="00841A64" w:rsidRPr="00741FA6">
        <w:rPr>
          <w:color w:val="000000" w:themeColor="text1"/>
        </w:rPr>
        <w:t xml:space="preserve">. Our results highlight large </w:t>
      </w:r>
      <w:r w:rsidR="009E4029" w:rsidRPr="00741FA6">
        <w:rPr>
          <w:color w:val="000000" w:themeColor="text1"/>
        </w:rPr>
        <w:t>heterogeneity</w:t>
      </w:r>
      <w:r w:rsidR="00841A64" w:rsidRPr="00741FA6">
        <w:rPr>
          <w:color w:val="000000" w:themeColor="text1"/>
        </w:rPr>
        <w:t xml:space="preserve"> in urban greenspace </w:t>
      </w:r>
      <w:r w:rsidR="001507B3" w:rsidRPr="00741FA6">
        <w:rPr>
          <w:color w:val="000000" w:themeColor="text1"/>
        </w:rPr>
        <w:t xml:space="preserve">extent and variability </w:t>
      </w:r>
      <w:r w:rsidR="00227D90" w:rsidRPr="00741FA6">
        <w:rPr>
          <w:color w:val="000000" w:themeColor="text1"/>
        </w:rPr>
        <w:t>across global cities</w:t>
      </w:r>
      <w:r w:rsidR="00841A64" w:rsidRPr="00741FA6">
        <w:rPr>
          <w:color w:val="000000" w:themeColor="text1"/>
        </w:rPr>
        <w:t xml:space="preserve"> and the </w:t>
      </w:r>
      <w:r w:rsidR="00BE3370" w:rsidRPr="00741FA6">
        <w:rPr>
          <w:color w:val="000000" w:themeColor="text1"/>
        </w:rPr>
        <w:t>importance of characterizing</w:t>
      </w:r>
      <w:r w:rsidR="00841A64" w:rsidRPr="00741FA6">
        <w:rPr>
          <w:color w:val="000000" w:themeColor="text1"/>
        </w:rPr>
        <w:t xml:space="preserve"> the </w:t>
      </w:r>
      <w:r w:rsidR="008740AE" w:rsidRPr="00741FA6">
        <w:rPr>
          <w:color w:val="000000" w:themeColor="text1"/>
        </w:rPr>
        <w:t xml:space="preserve">relationship between </w:t>
      </w:r>
      <w:r w:rsidR="00841A64" w:rsidRPr="00741FA6">
        <w:rPr>
          <w:color w:val="000000" w:themeColor="text1"/>
        </w:rPr>
        <w:t xml:space="preserve">health </w:t>
      </w:r>
      <w:r w:rsidR="008740AE" w:rsidRPr="00741FA6">
        <w:rPr>
          <w:color w:val="000000" w:themeColor="text1"/>
        </w:rPr>
        <w:t>and</w:t>
      </w:r>
      <w:r w:rsidR="00841A64" w:rsidRPr="00741FA6">
        <w:rPr>
          <w:color w:val="000000" w:themeColor="text1"/>
        </w:rPr>
        <w:t xml:space="preserve"> NDVI </w:t>
      </w:r>
      <w:r w:rsidR="001507B3" w:rsidRPr="00741FA6">
        <w:rPr>
          <w:color w:val="000000" w:themeColor="text1"/>
        </w:rPr>
        <w:t>in more diverse contexts</w:t>
      </w:r>
      <w:r w:rsidR="00227D90" w:rsidRPr="00741FA6">
        <w:rPr>
          <w:color w:val="000000" w:themeColor="text1"/>
        </w:rPr>
        <w:t>.</w:t>
      </w:r>
      <w:r w:rsidR="00841A64" w:rsidRPr="00741FA6">
        <w:rPr>
          <w:color w:val="000000" w:themeColor="text1"/>
        </w:rPr>
        <w:t xml:space="preserve"> </w:t>
      </w:r>
    </w:p>
    <w:p w14:paraId="3A7BA0FA" w14:textId="3B65E334" w:rsidR="00F73B7D" w:rsidRDefault="00F73B7D" w:rsidP="00551D54"/>
    <w:p w14:paraId="062D01AC" w14:textId="4ECA0F37" w:rsidR="00F73B7D" w:rsidRDefault="00F73B7D" w:rsidP="00551D54"/>
    <w:p w14:paraId="2918E66C" w14:textId="38B69C34" w:rsidR="00F73B7D" w:rsidRDefault="00F73B7D" w:rsidP="00551D54"/>
    <w:p w14:paraId="47BA0E42" w14:textId="50934DF5" w:rsidR="003708FF" w:rsidRDefault="003708FF" w:rsidP="00551D54"/>
    <w:p w14:paraId="01F98059" w14:textId="3E228C64" w:rsidR="00F73B7D" w:rsidRDefault="00F73B7D" w:rsidP="00551D54"/>
    <w:p w14:paraId="12A72D01" w14:textId="4E70B0BE" w:rsidR="00F73B7D" w:rsidRDefault="00F73B7D" w:rsidP="00551D54"/>
    <w:p w14:paraId="237C09F9" w14:textId="54394FC0" w:rsidR="00F73B7D" w:rsidRDefault="00F73B7D" w:rsidP="00551D54"/>
    <w:p w14:paraId="56A5F604" w14:textId="35B553B7" w:rsidR="003807BC" w:rsidRDefault="003807BC" w:rsidP="00551D54"/>
    <w:p w14:paraId="0ADB8F2D" w14:textId="08595A97" w:rsidR="003807BC" w:rsidRDefault="003807BC" w:rsidP="00551D54"/>
    <w:p w14:paraId="6C68D377" w14:textId="66F514CA" w:rsidR="00227D90" w:rsidRDefault="00227D90" w:rsidP="00551D54"/>
    <w:p w14:paraId="5E5D4CC8" w14:textId="17641B83" w:rsidR="00551D54" w:rsidRPr="00E150CA" w:rsidRDefault="00551D54" w:rsidP="00551D54">
      <w:pPr>
        <w:rPr>
          <w:b/>
          <w:bCs/>
        </w:rPr>
      </w:pPr>
      <w:r w:rsidRPr="00E150CA">
        <w:rPr>
          <w:b/>
          <w:bCs/>
        </w:rPr>
        <w:lastRenderedPageBreak/>
        <w:t>Introduction</w:t>
      </w:r>
    </w:p>
    <w:p w14:paraId="6EF598EA" w14:textId="587FF7A9" w:rsidR="00AF54A8" w:rsidRPr="00E150CA" w:rsidRDefault="00AF54A8" w:rsidP="00AF54A8">
      <w:pPr>
        <w:rPr>
          <w:color w:val="000000" w:themeColor="text1"/>
        </w:rPr>
      </w:pPr>
    </w:p>
    <w:p w14:paraId="3F69CF97" w14:textId="080040EB" w:rsidR="00580922" w:rsidRDefault="00377F9E" w:rsidP="007B6224">
      <w:pPr>
        <w:rPr>
          <w:color w:val="000000" w:themeColor="text1"/>
        </w:rPr>
      </w:pPr>
      <w:r w:rsidRPr="00E150CA">
        <w:rPr>
          <w:color w:val="000000"/>
          <w:shd w:val="clear" w:color="auto" w:fill="FFFFFF"/>
        </w:rPr>
        <w:t>Over</w:t>
      </w:r>
      <w:r w:rsidR="00751D10" w:rsidRPr="00E150CA">
        <w:rPr>
          <w:color w:val="000000"/>
          <w:shd w:val="clear" w:color="auto" w:fill="FFFFFF"/>
        </w:rPr>
        <w:t xml:space="preserve"> half of the world’s population </w:t>
      </w:r>
      <w:r w:rsidRPr="00E150CA">
        <w:rPr>
          <w:color w:val="000000"/>
          <w:shd w:val="clear" w:color="auto" w:fill="FFFFFF"/>
        </w:rPr>
        <w:t>lives</w:t>
      </w:r>
      <w:r w:rsidR="00751D10" w:rsidRPr="00E150CA">
        <w:rPr>
          <w:color w:val="000000"/>
          <w:shd w:val="clear" w:color="auto" w:fill="FFFFFF"/>
        </w:rPr>
        <w:t xml:space="preserve"> in cities </w:t>
      </w:r>
      <w:r w:rsidRPr="00E150CA">
        <w:rPr>
          <w:color w:val="000000"/>
          <w:shd w:val="clear" w:color="auto" w:fill="FFFFFF"/>
        </w:rPr>
        <w:t xml:space="preserve">and this </w:t>
      </w:r>
      <w:r w:rsidR="00751D10" w:rsidRPr="00E150CA">
        <w:rPr>
          <w:color w:val="000000"/>
          <w:shd w:val="clear" w:color="auto" w:fill="FFFFFF"/>
        </w:rPr>
        <w:t>share is predicted to grow to two-thirds by 2050</w:t>
      </w:r>
      <w:r w:rsidR="00836CE4">
        <w:rPr>
          <w:color w:val="000000"/>
          <w:shd w:val="clear" w:color="auto" w:fill="FFFFFF"/>
        </w:rPr>
        <w:t>.</w:t>
      </w:r>
      <w:r w:rsidR="00751D10" w:rsidRPr="00E150CA">
        <w:rPr>
          <w:color w:val="000000"/>
          <w:shd w:val="clear" w:color="auto" w:fill="FFFFFF"/>
        </w:rPr>
        <w:fldChar w:fldCharType="begin"/>
      </w:r>
      <w:r w:rsidR="007B4DCE">
        <w:rPr>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color w:val="000000"/>
          <w:shd w:val="clear" w:color="auto" w:fill="FFFFFF"/>
        </w:rPr>
        <w:fldChar w:fldCharType="separate"/>
      </w:r>
      <w:r w:rsidR="007B4DCE" w:rsidRPr="007B4DCE">
        <w:rPr>
          <w:color w:val="000000"/>
          <w:vertAlign w:val="superscript"/>
        </w:rPr>
        <w:t>1</w:t>
      </w:r>
      <w:r w:rsidR="00751D10" w:rsidRPr="00E150CA">
        <w:rPr>
          <w:color w:val="000000"/>
          <w:shd w:val="clear" w:color="auto" w:fill="FFFFFF"/>
        </w:rPr>
        <w:fldChar w:fldCharType="end"/>
      </w:r>
      <w:r w:rsidR="00751D10" w:rsidRPr="00E150CA">
        <w:rPr>
          <w:color w:val="000000"/>
          <w:shd w:val="clear" w:color="auto" w:fill="FFFFFF"/>
          <w:vertAlign w:val="superscript"/>
        </w:rPr>
        <w:t xml:space="preserve"> </w:t>
      </w:r>
      <w:r w:rsidRPr="00E150CA">
        <w:rPr>
          <w:color w:val="000000"/>
          <w:shd w:val="clear" w:color="auto" w:fill="FFFFFF"/>
        </w:rPr>
        <w:t>U</w:t>
      </w:r>
      <w:r w:rsidR="00751D10" w:rsidRPr="00E150CA">
        <w:rPr>
          <w:color w:val="000000"/>
          <w:shd w:val="clear" w:color="auto" w:fill="FFFFFF"/>
        </w:rPr>
        <w:t xml:space="preserve">rbanization </w:t>
      </w:r>
      <w:r w:rsidRPr="00E150CA">
        <w:rPr>
          <w:color w:val="000000"/>
          <w:shd w:val="clear" w:color="auto" w:fill="FFFFFF"/>
        </w:rPr>
        <w:t xml:space="preserve">has been accompanied by the </w:t>
      </w:r>
      <w:r w:rsidR="00751D10" w:rsidRPr="00E150CA">
        <w:rPr>
          <w:color w:val="000000"/>
          <w:shd w:val="clear" w:color="auto" w:fill="FFFFFF"/>
        </w:rPr>
        <w:t>pollution of natural resources</w:t>
      </w:r>
      <w:r w:rsidR="00D36FAE">
        <w:rPr>
          <w:color w:val="000000"/>
          <w:shd w:val="clear" w:color="auto" w:fill="FFFFFF"/>
        </w:rPr>
        <w:t>,</w:t>
      </w:r>
      <w:r w:rsidR="001C57B1">
        <w:rPr>
          <w:color w:val="000000"/>
          <w:shd w:val="clear" w:color="auto" w:fill="FFFFFF"/>
        </w:rPr>
        <w:t xml:space="preserve"> like air and water</w:t>
      </w:r>
      <w:r w:rsidR="00D36FAE">
        <w:rPr>
          <w:color w:val="000000"/>
          <w:shd w:val="clear" w:color="auto" w:fill="FFFFFF"/>
        </w:rPr>
        <w:t>,</w:t>
      </w:r>
      <w:r w:rsidR="00751D10" w:rsidRPr="00E150CA">
        <w:rPr>
          <w:color w:val="000000"/>
          <w:shd w:val="clear" w:color="auto" w:fill="FFFFFF"/>
        </w:rPr>
        <w:t xml:space="preserve"> and</w:t>
      </w:r>
      <w:r w:rsidR="001C57B1">
        <w:rPr>
          <w:color w:val="000000"/>
          <w:shd w:val="clear" w:color="auto" w:fill="FFFFFF"/>
        </w:rPr>
        <w:t xml:space="preserve"> the</w:t>
      </w:r>
      <w:r w:rsidR="00751D10" w:rsidRPr="00E150CA">
        <w:rPr>
          <w:color w:val="000000"/>
          <w:shd w:val="clear" w:color="auto" w:fill="FFFFFF"/>
        </w:rPr>
        <w:t xml:space="preserve"> destruction of natural environments. </w:t>
      </w:r>
      <w:r w:rsidR="001C57B1" w:rsidRPr="00741FA6">
        <w:rPr>
          <w:color w:val="000000" w:themeColor="text1"/>
          <w:shd w:val="clear" w:color="auto" w:fill="FFFFFF"/>
        </w:rPr>
        <w:t>While</w:t>
      </w:r>
      <w:r w:rsidR="00751D10" w:rsidRPr="00741FA6">
        <w:rPr>
          <w:color w:val="000000" w:themeColor="text1"/>
          <w:shd w:val="clear" w:color="auto" w:fill="FFFFFF"/>
        </w:rPr>
        <w:t xml:space="preserve"> cities are responsible for over 80% of global greenhouse gas emissions</w:t>
      </w:r>
      <w:r w:rsidR="00836CE4" w:rsidRPr="00741FA6">
        <w:rPr>
          <w:color w:val="000000" w:themeColor="text1"/>
          <w:shd w:val="clear" w:color="auto" w:fill="FFFFFF"/>
        </w:rPr>
        <w:t>,</w:t>
      </w:r>
      <w:r w:rsidR="00751D10"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741FA6">
        <w:rPr>
          <w:color w:val="000000" w:themeColor="text1"/>
          <w:shd w:val="clear" w:color="auto" w:fill="FFFFFF"/>
        </w:rPr>
        <w:fldChar w:fldCharType="separate"/>
      </w:r>
      <w:r w:rsidR="007B4DCE" w:rsidRPr="00741FA6">
        <w:rPr>
          <w:color w:val="000000" w:themeColor="text1"/>
          <w:vertAlign w:val="superscript"/>
        </w:rPr>
        <w:t>2</w:t>
      </w:r>
      <w:r w:rsidR="00751D10" w:rsidRPr="00741FA6">
        <w:rPr>
          <w:color w:val="000000" w:themeColor="text1"/>
          <w:shd w:val="clear" w:color="auto" w:fill="FFFFFF"/>
        </w:rPr>
        <w:fldChar w:fldCharType="end"/>
      </w:r>
      <w:r w:rsidR="001C57B1" w:rsidRPr="00741FA6">
        <w:rPr>
          <w:color w:val="000000" w:themeColor="text1"/>
          <w:shd w:val="clear" w:color="auto" w:fill="FFFFFF"/>
        </w:rPr>
        <w:t xml:space="preserve"> emissions per capita</w:t>
      </w:r>
      <w:r w:rsidR="00F06C1D" w:rsidRPr="00741FA6">
        <w:rPr>
          <w:color w:val="000000" w:themeColor="text1"/>
          <w:shd w:val="clear" w:color="auto" w:fill="FFFFFF"/>
        </w:rPr>
        <w:t xml:space="preserve"> in developed nations</w:t>
      </w:r>
      <w:r w:rsidR="001C57B1" w:rsidRPr="00741FA6">
        <w:rPr>
          <w:color w:val="000000" w:themeColor="text1"/>
          <w:shd w:val="clear" w:color="auto" w:fill="FFFFFF"/>
        </w:rPr>
        <w:t xml:space="preserve"> tend to be lower in cities than in less dense communities</w:t>
      </w:r>
      <w:r w:rsidR="00205BBE" w:rsidRPr="00741FA6">
        <w:rPr>
          <w:color w:val="000000" w:themeColor="text1"/>
          <w:shd w:val="clear" w:color="auto" w:fill="FFFFFF"/>
        </w:rPr>
        <w:t xml:space="preserve"> due to more efficient</w:t>
      </w:r>
      <w:r w:rsidR="00DB1587" w:rsidRPr="00741FA6">
        <w:rPr>
          <w:color w:val="000000" w:themeColor="text1"/>
          <w:shd w:val="clear" w:color="auto" w:fill="FFFFFF"/>
        </w:rPr>
        <w:t xml:space="preserve"> </w:t>
      </w:r>
      <w:r w:rsidR="00205BBE" w:rsidRPr="00741FA6">
        <w:rPr>
          <w:color w:val="000000" w:themeColor="text1"/>
          <w:shd w:val="clear" w:color="auto" w:fill="FFFFFF"/>
        </w:rPr>
        <w:t xml:space="preserve">transportation, </w:t>
      </w:r>
      <w:r w:rsidR="00DB1587" w:rsidRPr="00741FA6">
        <w:rPr>
          <w:color w:val="000000" w:themeColor="text1"/>
          <w:shd w:val="clear" w:color="auto" w:fill="FFFFFF"/>
        </w:rPr>
        <w:t>energy production</w:t>
      </w:r>
      <w:r w:rsidR="00205BBE" w:rsidRPr="00741FA6">
        <w:rPr>
          <w:color w:val="000000" w:themeColor="text1"/>
          <w:shd w:val="clear" w:color="auto" w:fill="FFFFFF"/>
        </w:rPr>
        <w:t>, and</w:t>
      </w:r>
      <w:r w:rsidR="00DB1587" w:rsidRPr="00741FA6">
        <w:rPr>
          <w:color w:val="000000" w:themeColor="text1"/>
          <w:shd w:val="clear" w:color="auto" w:fill="FFFFFF"/>
        </w:rPr>
        <w:t xml:space="preserve"> land use</w:t>
      </w:r>
      <w:r w:rsidR="00FD73CF" w:rsidRPr="00741FA6">
        <w:rPr>
          <w:color w:val="000000" w:themeColor="text1"/>
          <w:shd w:val="clear" w:color="auto" w:fill="FFFFFF"/>
        </w:rPr>
        <w:t>.</w:t>
      </w:r>
      <w:r w:rsidR="003B1DDA"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741FA6">
        <w:rPr>
          <w:color w:val="000000" w:themeColor="text1"/>
          <w:shd w:val="clear" w:color="auto" w:fill="FFFFFF"/>
        </w:rPr>
        <w:fldChar w:fldCharType="separate"/>
      </w:r>
      <w:r w:rsidR="007B4DCE" w:rsidRPr="00741FA6">
        <w:rPr>
          <w:color w:val="000000" w:themeColor="text1"/>
          <w:vertAlign w:val="superscript"/>
        </w:rPr>
        <w:t>3</w:t>
      </w:r>
      <w:r w:rsidR="003B1DDA" w:rsidRPr="00741FA6">
        <w:rPr>
          <w:color w:val="000000" w:themeColor="text1"/>
          <w:shd w:val="clear" w:color="auto" w:fill="FFFFFF"/>
        </w:rPr>
        <w:fldChar w:fldCharType="end"/>
      </w:r>
      <w:r w:rsidR="001C57B1" w:rsidRPr="00741FA6">
        <w:rPr>
          <w:color w:val="000000" w:themeColor="text1"/>
          <w:shd w:val="clear" w:color="auto" w:fill="FFFFFF"/>
        </w:rPr>
        <w:t xml:space="preserve"> </w:t>
      </w:r>
      <w:r w:rsidR="001C57B1" w:rsidRPr="001C57B1">
        <w:rPr>
          <w:color w:val="000000"/>
          <w:shd w:val="clear" w:color="auto" w:fill="FFFFFF"/>
        </w:rPr>
        <w:t>In addition, cities</w:t>
      </w:r>
      <w:r w:rsidR="00751D10" w:rsidRPr="00E150CA">
        <w:rPr>
          <w:color w:val="000000"/>
          <w:shd w:val="clear" w:color="auto" w:fill="FFFFFF"/>
        </w:rPr>
        <w:t xml:space="preserve"> can be effective entities of change</w:t>
      </w:r>
      <w:r w:rsidR="00DC1566">
        <w:rPr>
          <w:color w:val="000000"/>
          <w:shd w:val="clear" w:color="auto" w:fill="FFFFFF"/>
        </w:rPr>
        <w:t xml:space="preserve"> and</w:t>
      </w:r>
      <w:r w:rsidR="00751D10" w:rsidRPr="00E150CA">
        <w:rPr>
          <w:color w:val="000000"/>
          <w:shd w:val="clear" w:color="auto" w:fill="FFFFFF"/>
        </w:rPr>
        <w:t xml:space="preserve"> </w:t>
      </w:r>
      <w:r w:rsidR="0088371A" w:rsidRPr="00E150CA">
        <w:rPr>
          <w:color w:val="000000"/>
          <w:shd w:val="clear" w:color="auto" w:fill="FFFFFF"/>
        </w:rPr>
        <w:t xml:space="preserve">can </w:t>
      </w:r>
      <w:r w:rsidR="00751D10" w:rsidRPr="00E150CA">
        <w:rPr>
          <w:color w:val="000000"/>
          <w:shd w:val="clear" w:color="auto" w:fill="FFFFFF"/>
        </w:rPr>
        <w:t xml:space="preserve">provide a large enough scale to create </w:t>
      </w:r>
      <w:r w:rsidR="0088371A" w:rsidRPr="00E150CA">
        <w:rPr>
          <w:color w:val="000000"/>
          <w:shd w:val="clear" w:color="auto" w:fill="FFFFFF"/>
        </w:rPr>
        <w:t>meaningful</w:t>
      </w:r>
      <w:r w:rsidR="00751D10" w:rsidRPr="00E150CA">
        <w:rPr>
          <w:color w:val="000000"/>
          <w:shd w:val="clear" w:color="auto" w:fill="FFFFFF"/>
        </w:rPr>
        <w:t xml:space="preserve"> change while remaining small enough to test policies that might not be feasible at a national scale. </w:t>
      </w:r>
      <w:r w:rsidR="009E573D" w:rsidRPr="00E150CA">
        <w:rPr>
          <w:color w:val="000000" w:themeColor="text1"/>
        </w:rPr>
        <w:t>City-level interventions to increase urban nature offer a climate adaptation strategy with health advantages.</w:t>
      </w:r>
    </w:p>
    <w:p w14:paraId="6C743201" w14:textId="77777777" w:rsidR="00AB1FFE" w:rsidRDefault="00AB1FFE" w:rsidP="007B6224">
      <w:pPr>
        <w:rPr>
          <w:color w:val="000000" w:themeColor="text1"/>
        </w:rPr>
      </w:pPr>
    </w:p>
    <w:p w14:paraId="1F1269C5" w14:textId="5EF57145" w:rsidR="00AB1FFE" w:rsidRDefault="00AB1FFE" w:rsidP="00AB1FFE">
      <w:pPr>
        <w:rPr>
          <w:color w:val="000000" w:themeColor="text1"/>
        </w:rPr>
      </w:pPr>
      <w:r w:rsidRPr="00E150CA">
        <w:rPr>
          <w:color w:val="000000"/>
          <w:shd w:val="clear" w:color="auto" w:fill="FFFFFF"/>
        </w:rPr>
        <w:t>Urban green</w:t>
      </w:r>
      <w:r>
        <w:rPr>
          <w:color w:val="000000"/>
          <w:shd w:val="clear" w:color="auto" w:fill="FFFFFF"/>
        </w:rPr>
        <w:t xml:space="preserve">spaces (such as city parks and tree-lined streets) and blue spaces (like lakes, rivers, and coastlines) </w:t>
      </w:r>
      <w:r w:rsidRPr="00E150CA">
        <w:rPr>
          <w:color w:val="000000"/>
          <w:shd w:val="clear" w:color="auto" w:fill="FFFFFF"/>
        </w:rPr>
        <w:t xml:space="preserve">have been linked to improvements in </w:t>
      </w:r>
      <w:r>
        <w:rPr>
          <w:color w:val="000000"/>
          <w:shd w:val="clear" w:color="auto" w:fill="FFFFFF"/>
        </w:rPr>
        <w:t xml:space="preserve">human </w:t>
      </w:r>
      <w:r w:rsidRPr="00E150CA">
        <w:rPr>
          <w:color w:val="000000"/>
          <w:shd w:val="clear" w:color="auto" w:fill="FFFFFF"/>
        </w:rPr>
        <w:t>health and climate resilienc</w:t>
      </w:r>
      <w:r>
        <w:rPr>
          <w:color w:val="000000"/>
          <w:shd w:val="clear" w:color="auto" w:fill="FFFFFF"/>
        </w:rPr>
        <w:t>y</w:t>
      </w:r>
      <w:r w:rsidRPr="00E150CA">
        <w:rPr>
          <w:color w:val="000000"/>
          <w:shd w:val="clear" w:color="auto" w:fill="FFFFFF"/>
        </w:rPr>
        <w:t xml:space="preserve">. </w:t>
      </w:r>
      <w:r w:rsidRPr="00E150CA">
        <w:rPr>
          <w:color w:val="000000" w:themeColor="text1"/>
        </w:rPr>
        <w:t xml:space="preserve">Greenspace </w:t>
      </w:r>
      <w:r>
        <w:rPr>
          <w:color w:val="000000" w:themeColor="text1"/>
        </w:rPr>
        <w:t>has been</w:t>
      </w:r>
      <w:r w:rsidRPr="00E150CA">
        <w:rPr>
          <w:color w:val="000000" w:themeColor="text1"/>
        </w:rPr>
        <w:t xml:space="preserve"> associated with improved mental and physical health</w:t>
      </w:r>
      <w:r>
        <w:rPr>
          <w:color w:val="000000" w:themeColor="text1"/>
        </w:rPr>
        <w:t>.</w:t>
      </w:r>
      <w:r w:rsidRPr="00E150CA">
        <w:rPr>
          <w:color w:val="000000" w:themeColor="text1"/>
        </w:rPr>
        <w:fldChar w:fldCharType="begin"/>
      </w:r>
      <w:r w:rsidR="007B4DCE">
        <w:rPr>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color w:val="000000" w:themeColor="text1"/>
        </w:rPr>
        <w:fldChar w:fldCharType="separate"/>
      </w:r>
      <w:r w:rsidR="007B4DCE" w:rsidRPr="007B4DCE">
        <w:rPr>
          <w:color w:val="000000"/>
          <w:vertAlign w:val="superscript"/>
        </w:rPr>
        <w:t>4</w:t>
      </w:r>
      <w:r w:rsidRPr="00E150CA">
        <w:rPr>
          <w:color w:val="000000" w:themeColor="text1"/>
        </w:rPr>
        <w:fldChar w:fldCharType="end"/>
      </w:r>
      <w:r w:rsidR="003F0411">
        <w:rPr>
          <w:color w:val="000000" w:themeColor="text1"/>
        </w:rPr>
        <w:t xml:space="preserve"> Systematic reviews sup</w:t>
      </w:r>
      <w:r w:rsidR="006422ED">
        <w:rPr>
          <w:color w:val="000000" w:themeColor="text1"/>
        </w:rPr>
        <w:t xml:space="preserve">port an association between increased residential greenspace and </w:t>
      </w:r>
      <w:r w:rsidR="006422ED" w:rsidRPr="006422ED">
        <w:rPr>
          <w:color w:val="000000" w:themeColor="text1"/>
        </w:rPr>
        <w:t>decreased risk of depression and anxiety</w:t>
      </w:r>
      <w:r w:rsidR="00E34A08">
        <w:rPr>
          <w:color w:val="000000" w:themeColor="text1"/>
        </w:rPr>
        <w:t>,</w:t>
      </w:r>
      <w:r w:rsidR="006422ED">
        <w:rPr>
          <w:color w:val="000000" w:themeColor="text1"/>
        </w:rPr>
        <w:fldChar w:fldCharType="begin"/>
      </w:r>
      <w:r w:rsidR="006422ED">
        <w:rPr>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color w:val="000000" w:themeColor="text1"/>
        </w:rPr>
        <w:fldChar w:fldCharType="separate"/>
      </w:r>
      <w:r w:rsidR="006422ED" w:rsidRPr="006422ED">
        <w:rPr>
          <w:color w:val="000000"/>
          <w:vertAlign w:val="superscript"/>
        </w:rPr>
        <w:t>5</w:t>
      </w:r>
      <w:r w:rsidR="006422ED">
        <w:rPr>
          <w:color w:val="000000" w:themeColor="text1"/>
        </w:rPr>
        <w:fldChar w:fldCharType="end"/>
      </w:r>
      <w:r w:rsidR="001F7B29" w:rsidRPr="001F7B29">
        <w:rPr>
          <w:color w:val="000000" w:themeColor="text1"/>
        </w:rPr>
        <w:t xml:space="preserve"> </w:t>
      </w:r>
      <w:r w:rsidR="001F7B29" w:rsidRPr="006422ED">
        <w:rPr>
          <w:color w:val="000000" w:themeColor="text1"/>
        </w:rPr>
        <w:t>low birth weight</w:t>
      </w:r>
      <w:r w:rsidR="00E34A08">
        <w:rPr>
          <w:color w:val="000000" w:themeColor="text1"/>
        </w:rPr>
        <w:t>,</w:t>
      </w:r>
      <w:r w:rsidR="001E1F53">
        <w:rPr>
          <w:color w:val="000000" w:themeColor="text1"/>
        </w:rPr>
        <w:fldChar w:fldCharType="begin"/>
      </w:r>
      <w:r w:rsidR="001E1F53">
        <w:rPr>
          <w:color w:val="000000" w:themeColor="text1"/>
        </w:rPr>
        <w:instrText xml:space="preserve"> ADDIN ZOTERO_ITEM CSL_CITATION {"citationID":"21qjSZhC","properties":{"formattedCitation":"\\super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1E1F53">
        <w:rPr>
          <w:color w:val="000000" w:themeColor="text1"/>
        </w:rPr>
        <w:fldChar w:fldCharType="separate"/>
      </w:r>
      <w:r w:rsidR="001E1F53" w:rsidRPr="001E1F53">
        <w:rPr>
          <w:color w:val="000000"/>
          <w:vertAlign w:val="superscript"/>
        </w:rPr>
        <w:t>6</w:t>
      </w:r>
      <w:r w:rsidR="001E1F53">
        <w:rPr>
          <w:color w:val="000000" w:themeColor="text1"/>
        </w:rPr>
        <w:fldChar w:fldCharType="end"/>
      </w:r>
      <w:r w:rsidR="001F7B29">
        <w:rPr>
          <w:color w:val="000000" w:themeColor="text1"/>
        </w:rPr>
        <w:t xml:space="preserve"> </w:t>
      </w:r>
      <w:r w:rsidR="00E34A08" w:rsidRPr="006422ED">
        <w:rPr>
          <w:color w:val="000000" w:themeColor="text1"/>
        </w:rPr>
        <w:t xml:space="preserve">cardiovascular </w:t>
      </w:r>
      <w:r w:rsidR="00E34A08">
        <w:rPr>
          <w:color w:val="000000" w:themeColor="text1"/>
        </w:rPr>
        <w:t>events,</w:t>
      </w:r>
      <w:r w:rsidR="00E34A08" w:rsidRPr="006422ED">
        <w:rPr>
          <w:color w:val="000000" w:themeColor="text1"/>
        </w:rPr>
        <w:fldChar w:fldCharType="begin"/>
      </w:r>
      <w:r w:rsidR="00B050E8">
        <w:rPr>
          <w:color w:val="000000" w:themeColor="text1"/>
        </w:rPr>
        <w:instrText xml:space="preserve"> ADDIN ZOTERO_ITEM CSL_CITATION {"citationID":"8kCKlDu0","properties":{"formattedCitation":"\\super 7\\nosupersub{}","plainCitation":"7","noteIndex":0},"citationItems":[{"id":644,"uris":["http://zotero.org/users/10202395/items/QEKIXS6B"],"itemData":{"id":644,"type":"article-journal","abstract":"Significance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r w:rsidR="00E34A08" w:rsidRPr="006422ED">
        <w:rPr>
          <w:color w:val="000000" w:themeColor="text1"/>
        </w:rPr>
        <w:fldChar w:fldCharType="separate"/>
      </w:r>
      <w:r w:rsidR="00B050E8" w:rsidRPr="00B050E8">
        <w:rPr>
          <w:color w:val="000000"/>
          <w:vertAlign w:val="superscript"/>
        </w:rPr>
        <w:t>7</w:t>
      </w:r>
      <w:r w:rsidR="00E34A08" w:rsidRPr="006422ED">
        <w:rPr>
          <w:color w:val="000000" w:themeColor="text1"/>
        </w:rPr>
        <w:fldChar w:fldCharType="end"/>
      </w:r>
      <w:r w:rsidR="00E34A08">
        <w:rPr>
          <w:color w:val="000000" w:themeColor="text1"/>
        </w:rPr>
        <w:t xml:space="preserve"> </w:t>
      </w:r>
      <w:r w:rsidR="001F7B29" w:rsidRPr="006422ED">
        <w:rPr>
          <w:color w:val="000000" w:themeColor="text1"/>
        </w:rPr>
        <w:t>lung and prostate cancer mortality</w:t>
      </w:r>
      <w:r w:rsidR="00E34A08">
        <w:rPr>
          <w:color w:val="000000" w:themeColor="text1"/>
        </w:rPr>
        <w:t>,</w:t>
      </w:r>
      <w:r w:rsidR="001F7B29" w:rsidRPr="006422ED">
        <w:rPr>
          <w:color w:val="000000" w:themeColor="text1"/>
        </w:rPr>
        <w:fldChar w:fldCharType="begin"/>
      </w:r>
      <w:r w:rsidR="00B050E8">
        <w:rPr>
          <w:color w:val="000000" w:themeColor="text1"/>
        </w:rPr>
        <w:instrText xml:space="preserve"> ADDIN ZOTERO_ITEM CSL_CITATION {"citationID":"EWvGnmaY","properties":{"formattedCitation":"\\super 8\\nosupersub{}","plainCitation":"8","noteIndex":0},"citationItems":[{"id":701,"uris":["http://zotero.org/users/10202395/items/TTQ58A8X"],"itemData":{"id":701,"type":"article-journal","container-title":"Environmental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r w:rsidR="001F7B29" w:rsidRPr="006422ED">
        <w:rPr>
          <w:color w:val="000000" w:themeColor="text1"/>
        </w:rPr>
        <w:fldChar w:fldCharType="separate"/>
      </w:r>
      <w:r w:rsidR="00B050E8" w:rsidRPr="00B050E8">
        <w:rPr>
          <w:color w:val="000000"/>
          <w:vertAlign w:val="superscript"/>
        </w:rPr>
        <w:t>8</w:t>
      </w:r>
      <w:r w:rsidR="001F7B29" w:rsidRPr="006422ED">
        <w:rPr>
          <w:color w:val="000000" w:themeColor="text1"/>
        </w:rPr>
        <w:fldChar w:fldCharType="end"/>
      </w:r>
      <w:r w:rsidR="001F7B29">
        <w:rPr>
          <w:color w:val="000000" w:themeColor="text1"/>
        </w:rPr>
        <w:t xml:space="preserve"> </w:t>
      </w:r>
      <w:r w:rsidR="00E34A08" w:rsidRPr="006422ED">
        <w:rPr>
          <w:color w:val="000000" w:themeColor="text1"/>
        </w:rPr>
        <w:t>and all-cause mortalit</w:t>
      </w:r>
      <w:r w:rsidR="00E34A08">
        <w:rPr>
          <w:color w:val="000000" w:themeColor="text1"/>
        </w:rPr>
        <w:t>y</w:t>
      </w:r>
      <w:r w:rsidR="00FF7320">
        <w:rPr>
          <w:color w:val="000000" w:themeColor="text1"/>
        </w:rPr>
        <w:t>.</w:t>
      </w:r>
      <w:r w:rsidR="00E34A08">
        <w:rPr>
          <w:color w:val="000000" w:themeColor="text1"/>
        </w:rPr>
        <w:fldChar w:fldCharType="begin"/>
      </w:r>
      <w:r w:rsidR="00B050E8">
        <w:rPr>
          <w:color w:val="000000" w:themeColor="text1"/>
        </w:rPr>
        <w:instrText xml:space="preserve"> ADDIN ZOTERO_ITEM CSL_CITATION {"citationID":"KR5MV0Hf","properties":{"formattedCitation":"\\super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4A08">
        <w:rPr>
          <w:color w:val="000000" w:themeColor="text1"/>
        </w:rPr>
        <w:fldChar w:fldCharType="separate"/>
      </w:r>
      <w:r w:rsidR="00B050E8" w:rsidRPr="00B050E8">
        <w:rPr>
          <w:color w:val="000000"/>
          <w:vertAlign w:val="superscript"/>
        </w:rPr>
        <w:t>9</w:t>
      </w:r>
      <w:r w:rsidR="00E34A08">
        <w:rPr>
          <w:color w:val="000000" w:themeColor="text1"/>
        </w:rPr>
        <w:fldChar w:fldCharType="end"/>
      </w:r>
      <w:r w:rsidR="006422ED" w:rsidRPr="006422ED">
        <w:rPr>
          <w:color w:val="000000" w:themeColor="text1"/>
        </w:rPr>
        <w:t xml:space="preserve"> </w:t>
      </w:r>
      <w:r w:rsidRPr="00E150CA">
        <w:rPr>
          <w:color w:val="000000" w:themeColor="text1"/>
        </w:rPr>
        <w:t>While less studied, blue space has also been linked to improved health</w:t>
      </w:r>
      <w:r>
        <w:rPr>
          <w:color w:val="000000" w:themeColor="text1"/>
        </w:rPr>
        <w:t>.</w:t>
      </w:r>
      <w:r w:rsidRPr="00E150CA">
        <w:rPr>
          <w:color w:val="000000" w:themeColor="text1"/>
        </w:rPr>
        <w:fldChar w:fldCharType="begin"/>
      </w:r>
      <w:r w:rsidR="00E34A08">
        <w:rPr>
          <w:color w:val="000000" w:themeColor="text1"/>
        </w:rPr>
        <w:instrText xml:space="preserve"> ADDIN ZOTERO_ITEM CSL_CITATION {"citationID":"mYo2d5Lp","properties":{"formattedCitation":"\\super 10\\nosupersub{}","plainCitation":"10","noteIndex":0},"citationItems":[{"id":74,"uris":["http://zotero.org/users/10202395/items/4TYTJGWL"],"itemData":{"id":74,"type":"article-journal","abstract":"Blue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color w:val="000000" w:themeColor="text1"/>
        </w:rPr>
        <w:fldChar w:fldCharType="separate"/>
      </w:r>
      <w:r w:rsidR="00E34A08" w:rsidRPr="00E34A08">
        <w:rPr>
          <w:color w:val="000000"/>
          <w:vertAlign w:val="superscript"/>
        </w:rPr>
        <w:t>10</w:t>
      </w:r>
      <w:r w:rsidRPr="00E150CA">
        <w:rPr>
          <w:color w:val="000000" w:themeColor="text1"/>
        </w:rPr>
        <w:fldChar w:fldCharType="end"/>
      </w:r>
      <w:r w:rsidRPr="00E150CA">
        <w:rPr>
          <w:color w:val="000000" w:themeColor="text1"/>
        </w:rPr>
        <w:t xml:space="preserve"> Urban </w:t>
      </w:r>
      <w:r>
        <w:rPr>
          <w:color w:val="000000" w:themeColor="text1"/>
        </w:rPr>
        <w:t>green and blue spaces</w:t>
      </w:r>
      <w:r w:rsidRPr="00E150CA">
        <w:rPr>
          <w:color w:val="000000" w:themeColor="text1"/>
        </w:rPr>
        <w:t xml:space="preserve"> </w:t>
      </w:r>
      <w:r>
        <w:rPr>
          <w:color w:val="000000" w:themeColor="text1"/>
        </w:rPr>
        <w:t>have</w:t>
      </w:r>
      <w:r w:rsidRPr="00E150CA">
        <w:rPr>
          <w:color w:val="000000" w:themeColor="text1"/>
        </w:rPr>
        <w:t xml:space="preserve"> </w:t>
      </w:r>
      <w:r>
        <w:rPr>
          <w:color w:val="000000" w:themeColor="text1"/>
        </w:rPr>
        <w:t xml:space="preserve">also been </w:t>
      </w:r>
      <w:r w:rsidRPr="00E150CA">
        <w:rPr>
          <w:color w:val="000000" w:themeColor="text1"/>
        </w:rPr>
        <w:t xml:space="preserve">associated with beneficial environmental outcomes such as better storm water management and heat regulation, increased biodiversity, and reductions in air pollution and ultraviolet </w:t>
      </w:r>
      <w:r>
        <w:rPr>
          <w:color w:val="000000" w:themeColor="text1"/>
        </w:rPr>
        <w:t>radiation.</w:t>
      </w:r>
      <w:r w:rsidRPr="00E150CA">
        <w:rPr>
          <w:color w:val="000000" w:themeColor="text1"/>
        </w:rPr>
        <w:fldChar w:fldCharType="begin"/>
      </w:r>
      <w:r w:rsidR="00E34A08">
        <w:rPr>
          <w:color w:val="000000" w:themeColor="text1"/>
        </w:rPr>
        <w:instrText xml:space="preserve"> ADDIN ZOTERO_ITEM CSL_CITATION {"citationID":"8Gjz6iNG","properties":{"formattedCitation":"\\super 11\\uc0\\u8211{}14\\nosupersub{}","plainCitation":"11–14","noteIndex":0},"citationItems":[{"id":725,"uris":["http://zotero.org/users/10202395/items/S87ZWPVR"],"itemData":{"id":725,"type":"article-journal","abstract":"Background: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color w:val="000000" w:themeColor="text1"/>
        </w:rPr>
        <w:fldChar w:fldCharType="separate"/>
      </w:r>
      <w:r w:rsidR="00E34A08" w:rsidRPr="00E34A08">
        <w:rPr>
          <w:color w:val="000000"/>
          <w:vertAlign w:val="superscript"/>
        </w:rPr>
        <w:t>11–14</w:t>
      </w:r>
      <w:r w:rsidRPr="00E150CA">
        <w:rPr>
          <w:color w:val="000000" w:themeColor="text1"/>
        </w:rPr>
        <w:fldChar w:fldCharType="end"/>
      </w:r>
      <w:r w:rsidRPr="00E150CA">
        <w:rPr>
          <w:color w:val="000000" w:themeColor="text1"/>
        </w:rPr>
        <w:t xml:space="preserve"> Greenspace has generally been the focus of urban nature policies and interventions, as it is more feasible to </w:t>
      </w:r>
      <w:r>
        <w:rPr>
          <w:color w:val="000000" w:themeColor="text1"/>
        </w:rPr>
        <w:t>create</w:t>
      </w:r>
      <w:r w:rsidRPr="00E150CA">
        <w:rPr>
          <w:color w:val="000000" w:themeColor="text1"/>
        </w:rPr>
        <w:t xml:space="preserve"> than blue space.</w:t>
      </w:r>
      <w:r w:rsidR="007A02E0">
        <w:rPr>
          <w:color w:val="000000" w:themeColor="text1"/>
        </w:rPr>
        <w:t xml:space="preserve"> Three main pathways have been hypothesized to link greenspace with health: reduced environmental harm (i.e. </w:t>
      </w:r>
      <w:r w:rsidR="007A02E0" w:rsidRPr="00133807">
        <w:rPr>
          <w:color w:val="000000"/>
        </w:rPr>
        <w:t>less heat, noise, and air pollution), restor</w:t>
      </w:r>
      <w:r w:rsidR="007A02E0">
        <w:rPr>
          <w:color w:val="000000"/>
        </w:rPr>
        <w:t>ation</w:t>
      </w:r>
      <w:r w:rsidR="007A02E0" w:rsidRPr="00133807">
        <w:rPr>
          <w:color w:val="000000"/>
        </w:rPr>
        <w:t xml:space="preserve"> capacities (i.e. reduced stress), and building capacities (i.e. increased physical activity and social gathering)</w:t>
      </w:r>
      <w:r w:rsidR="005E459E">
        <w:rPr>
          <w:color w:val="000000"/>
        </w:rPr>
        <w:t>.</w:t>
      </w:r>
      <w:r w:rsidR="007B4DCE">
        <w:rPr>
          <w:color w:val="000000"/>
        </w:rPr>
        <w:fldChar w:fldCharType="begin"/>
      </w:r>
      <w:r w:rsidR="00E34A08">
        <w:rPr>
          <w:color w:val="000000"/>
        </w:rPr>
        <w:instrText xml:space="preserve"> ADDIN ZOTERO_ITEM CSL_CITATION {"citationID":"sIvVNiNQ","properties":{"formattedCitation":"\\super 15\\nosupersub{}","plainCitation":"15","noteIndex":0},"citationItems":[{"id":280,"uris":["http://zotero.org/users/10202395/items/CK6S8WDF"],"itemData":{"id":280,"type":"article-journal","abstract":"Background\nIn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color w:val="000000"/>
        </w:rPr>
        <w:fldChar w:fldCharType="separate"/>
      </w:r>
      <w:r w:rsidR="00E34A08" w:rsidRPr="00E34A08">
        <w:rPr>
          <w:color w:val="000000"/>
          <w:vertAlign w:val="superscript"/>
        </w:rPr>
        <w:t>15</w:t>
      </w:r>
      <w:r w:rsidR="007B4DCE">
        <w:rPr>
          <w:color w:val="000000"/>
        </w:rPr>
        <w:fldChar w:fldCharType="end"/>
      </w:r>
      <w:r w:rsidR="00722DE3">
        <w:rPr>
          <w:color w:val="000000"/>
        </w:rPr>
        <w:t xml:space="preserve"> Mediation studies</w:t>
      </w:r>
      <w:r w:rsidR="00861214">
        <w:rPr>
          <w:color w:val="000000"/>
        </w:rPr>
        <w:t xml:space="preserve"> </w:t>
      </w:r>
      <w:r w:rsidR="00722DE3">
        <w:rPr>
          <w:color w:val="000000"/>
        </w:rPr>
        <w:t xml:space="preserve">have </w:t>
      </w:r>
      <w:r w:rsidR="00722DE3" w:rsidRPr="00133807">
        <w:rPr>
          <w:color w:val="000000"/>
        </w:rPr>
        <w:t>found evidence that greenspace is associated with health through better air quality, increased physical activity, and reduced stress</w:t>
      </w:r>
      <w:r w:rsidR="00722DE3">
        <w:rPr>
          <w:color w:val="000000"/>
        </w:rPr>
        <w:t>.</w:t>
      </w:r>
      <w:r w:rsidR="00722DE3">
        <w:rPr>
          <w:color w:val="000000"/>
        </w:rPr>
        <w:fldChar w:fldCharType="begin"/>
      </w:r>
      <w:r w:rsidR="00E34A08">
        <w:rPr>
          <w:color w:val="000000"/>
        </w:rPr>
        <w:instrText xml:space="preserve"> ADDIN ZOTERO_ITEM CSL_CITATION {"citationID":"YStRrlxy","properties":{"formattedCitation":"\\super 16\\nosupersub{}","plainCitation":"16","noteIndex":0},"citationItems":[{"id":270,"uris":["http://zotero.org/users/10202395/items/NVXQT3QC"],"itemData":{"id":270,"type":"article-journal","abstract":"Background: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color w:val="000000"/>
        </w:rPr>
        <w:fldChar w:fldCharType="separate"/>
      </w:r>
      <w:r w:rsidR="00E34A08" w:rsidRPr="00E34A08">
        <w:rPr>
          <w:color w:val="000000"/>
          <w:vertAlign w:val="superscript"/>
        </w:rPr>
        <w:t>16</w:t>
      </w:r>
      <w:r w:rsidR="00722DE3">
        <w:rPr>
          <w:color w:val="000000"/>
        </w:rPr>
        <w:fldChar w:fldCharType="end"/>
      </w:r>
      <w:r w:rsidR="00722DE3" w:rsidDel="007B4DCE">
        <w:rPr>
          <w:color w:val="000000"/>
        </w:rPr>
        <w:t xml:space="preserve"> </w:t>
      </w:r>
    </w:p>
    <w:p w14:paraId="02B1D303" w14:textId="77777777" w:rsidR="00580922" w:rsidRDefault="00580922" w:rsidP="007B6224">
      <w:pPr>
        <w:rPr>
          <w:color w:val="000000" w:themeColor="text1"/>
        </w:rPr>
      </w:pPr>
    </w:p>
    <w:p w14:paraId="69B3D446" w14:textId="5CC71413" w:rsidR="00AE765C" w:rsidRDefault="00791C22" w:rsidP="007B6224">
      <w:pPr>
        <w:rPr>
          <w:color w:val="000000"/>
          <w:shd w:val="clear" w:color="auto" w:fill="FFFFFF"/>
        </w:rPr>
      </w:pPr>
      <w:r>
        <w:rPr>
          <w:color w:val="000000" w:themeColor="text1"/>
        </w:rPr>
        <w:t>Studies linking greenspace to reductions in mortality have generally use the Normalized Difference Vegetation Index (NDVI). NDVI is a satellite-derived measure that uses red and near-infrared light waves to</w:t>
      </w:r>
      <w:r w:rsidR="00B66810">
        <w:rPr>
          <w:color w:val="000000" w:themeColor="text1"/>
        </w:rPr>
        <w:t xml:space="preserve"> determine the health and density of vegetation.</w:t>
      </w:r>
      <w:r w:rsidR="00B66810">
        <w:rPr>
          <w:color w:val="000000" w:themeColor="text1"/>
        </w:rPr>
        <w:fldChar w:fldCharType="begin"/>
      </w:r>
      <w:r w:rsidR="00E34A08">
        <w:rPr>
          <w:color w:val="000000" w:themeColor="text1"/>
        </w:rPr>
        <w:instrText xml:space="preserve"> ADDIN ZOTERO_ITEM CSL_CITATION {"citationID":"25xi92bS","properties":{"formattedCitation":"\\super 17\\nosupersub{}","plainCitation":"17","noteIndex":0},"citationItems":[{"id":777,"uris":["http://zotero.org/users/10202395/items/3XYGY6X4"],"itemData":{"id":777,"type":"webpage","title":"NDVI,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color w:val="000000" w:themeColor="text1"/>
        </w:rPr>
        <w:fldChar w:fldCharType="separate"/>
      </w:r>
      <w:r w:rsidR="00E34A08" w:rsidRPr="00E34A08">
        <w:rPr>
          <w:color w:val="000000"/>
          <w:vertAlign w:val="superscript"/>
        </w:rPr>
        <w:t>17</w:t>
      </w:r>
      <w:r w:rsidR="00B66810">
        <w:rPr>
          <w:color w:val="000000" w:themeColor="text1"/>
        </w:rPr>
        <w:fldChar w:fldCharType="end"/>
      </w:r>
      <w:r w:rsidR="00B66810">
        <w:rPr>
          <w:color w:val="000000" w:themeColor="text1"/>
        </w:rPr>
        <w:t xml:space="preserve"> Generally, negative values correspond to water, snow and ice, values near zero represent barren land and higher positive values indicate greener, denser vegetation.</w:t>
      </w:r>
      <w:r>
        <w:rPr>
          <w:color w:val="000000" w:themeColor="text1"/>
        </w:rPr>
        <w:t xml:space="preserve"> </w:t>
      </w:r>
      <w:r w:rsidR="003C3846" w:rsidRPr="00E150CA">
        <w:rPr>
          <w:color w:val="000000"/>
          <w:shd w:val="clear" w:color="auto" w:fill="FFFFFF"/>
        </w:rPr>
        <w:t xml:space="preserve">Two </w:t>
      </w:r>
      <w:r w:rsidR="00A82B15">
        <w:rPr>
          <w:color w:val="000000"/>
          <w:shd w:val="clear" w:color="auto" w:fill="FFFFFF"/>
        </w:rPr>
        <w:t xml:space="preserve">studies estimating the </w:t>
      </w:r>
      <w:r w:rsidR="003C3846" w:rsidRPr="00E150CA">
        <w:rPr>
          <w:color w:val="000000"/>
          <w:shd w:val="clear" w:color="auto" w:fill="FFFFFF"/>
        </w:rPr>
        <w:t xml:space="preserve">number of deaths associated with hypothetical changes in </w:t>
      </w:r>
      <w:r w:rsidR="00B66810">
        <w:rPr>
          <w:color w:val="000000"/>
          <w:shd w:val="clear" w:color="auto" w:fill="FFFFFF"/>
        </w:rPr>
        <w:t xml:space="preserve">NDVI </w:t>
      </w:r>
      <w:r w:rsidR="00E63418">
        <w:rPr>
          <w:color w:val="000000"/>
          <w:shd w:val="clear" w:color="auto" w:fill="FFFFFF"/>
        </w:rPr>
        <w:t>in European and American cities</w:t>
      </w:r>
      <w:r w:rsidR="00A82B15">
        <w:rPr>
          <w:color w:val="000000"/>
          <w:shd w:val="clear" w:color="auto" w:fill="FFFFFF"/>
        </w:rPr>
        <w:t xml:space="preserve"> indicate</w:t>
      </w:r>
      <w:r w:rsidR="00580922">
        <w:rPr>
          <w:color w:val="000000"/>
          <w:shd w:val="clear" w:color="auto" w:fill="FFFFFF"/>
        </w:rPr>
        <w:t>d</w:t>
      </w:r>
      <w:r w:rsidR="00A82B15">
        <w:rPr>
          <w:color w:val="000000"/>
          <w:shd w:val="clear" w:color="auto" w:fill="FFFFFF"/>
        </w:rPr>
        <w:t xml:space="preserve"> th</w:t>
      </w:r>
      <w:r w:rsidR="006E2A12">
        <w:rPr>
          <w:color w:val="000000"/>
          <w:shd w:val="clear" w:color="auto" w:fill="FFFFFF"/>
        </w:rPr>
        <w:t xml:space="preserve">at increasing urban greenspace can </w:t>
      </w:r>
      <w:r w:rsidR="002B7A9A">
        <w:rPr>
          <w:color w:val="000000"/>
          <w:shd w:val="clear" w:color="auto" w:fill="FFFFFF"/>
        </w:rPr>
        <w:t xml:space="preserve">substantially </w:t>
      </w:r>
      <w:r w:rsidR="006E2A12">
        <w:rPr>
          <w:color w:val="000000"/>
          <w:shd w:val="clear" w:color="auto" w:fill="FFFFFF"/>
        </w:rPr>
        <w:t>reduce mortality</w:t>
      </w:r>
      <w:r w:rsidR="003C3846" w:rsidRPr="00E150CA">
        <w:rPr>
          <w:color w:val="000000"/>
          <w:shd w:val="clear" w:color="auto" w:fill="FFFFFF"/>
        </w:rPr>
        <w:t xml:space="preserve">. </w:t>
      </w:r>
      <w:r w:rsidR="00EF5AD7" w:rsidRPr="00E150CA">
        <w:rPr>
          <w:color w:val="000000"/>
          <w:shd w:val="clear" w:color="auto" w:fill="FFFFFF"/>
        </w:rPr>
        <w:t xml:space="preserve">A 2021 </w:t>
      </w:r>
      <w:r w:rsidR="00D3001E" w:rsidRPr="00E150CA">
        <w:rPr>
          <w:color w:val="000000"/>
          <w:shd w:val="clear" w:color="auto" w:fill="FFFFFF"/>
        </w:rPr>
        <w:t>study of</w:t>
      </w:r>
      <w:r w:rsidR="00EF5AD7" w:rsidRPr="00E150CA">
        <w:rPr>
          <w:color w:val="000000"/>
          <w:shd w:val="clear" w:color="auto" w:fill="FFFFFF"/>
        </w:rPr>
        <w:t xml:space="preserve"> 978 cities in 31 European countries</w:t>
      </w:r>
      <w:r w:rsidR="00D3001E" w:rsidRPr="00E150CA">
        <w:rPr>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{"citationID":"EA1Brj9c","properties":{"formattedCitation":"\\super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18</w:t>
      </w:r>
      <w:r w:rsidR="00EF5AD7" w:rsidRPr="00E150CA">
        <w:rPr>
          <w:color w:val="000000"/>
          <w:shd w:val="clear" w:color="auto" w:fill="FFFFFF"/>
        </w:rPr>
        <w:fldChar w:fldCharType="end"/>
      </w:r>
      <w:r w:rsidR="00836CE4">
        <w:rPr>
          <w:color w:val="000000"/>
          <w:shd w:val="clear" w:color="auto" w:fill="FFFFFF"/>
        </w:rPr>
        <w:t xml:space="preserve"> </w:t>
      </w:r>
      <w:r w:rsidR="00EF5AD7" w:rsidRPr="00E150CA">
        <w:rPr>
          <w:color w:val="000000"/>
          <w:shd w:val="clear" w:color="auto" w:fill="FFFFFF"/>
        </w:rPr>
        <w:t xml:space="preserve">A </w:t>
      </w:r>
      <w:r w:rsidR="002D77F9" w:rsidRPr="00E150CA">
        <w:rPr>
          <w:color w:val="000000"/>
          <w:shd w:val="clear" w:color="auto" w:fill="FFFFFF"/>
        </w:rPr>
        <w:t>2022 study of the 35 most populous</w:t>
      </w:r>
      <w:r w:rsidR="00EF5AD7" w:rsidRPr="00E150CA">
        <w:rPr>
          <w:color w:val="000000"/>
          <w:shd w:val="clear" w:color="auto" w:fill="FFFFFF"/>
        </w:rPr>
        <w:t xml:space="preserve"> American cities found that </w:t>
      </w:r>
      <w:r w:rsidR="00D3799D" w:rsidRPr="00E150CA">
        <w:rPr>
          <w:color w:val="000000"/>
          <w:shd w:val="clear" w:color="auto" w:fill="FFFFFF"/>
        </w:rPr>
        <w:t xml:space="preserve">if </w:t>
      </w:r>
      <w:r w:rsidR="00D11318">
        <w:rPr>
          <w:color w:val="000000"/>
          <w:shd w:val="clear" w:color="auto" w:fill="FFFFFF"/>
        </w:rPr>
        <w:t xml:space="preserve">overall </w:t>
      </w:r>
      <w:r w:rsidR="00D3799D" w:rsidRPr="00E150CA">
        <w:rPr>
          <w:color w:val="000000"/>
          <w:shd w:val="clear" w:color="auto" w:fill="FFFFFF"/>
        </w:rPr>
        <w:t xml:space="preserve">NDVI </w:t>
      </w:r>
      <w:r w:rsidR="00D11318">
        <w:rPr>
          <w:color w:val="000000"/>
          <w:shd w:val="clear" w:color="auto" w:fill="FFFFFF"/>
        </w:rPr>
        <w:t>was</w:t>
      </w:r>
      <w:r w:rsidR="00D540D0">
        <w:rPr>
          <w:color w:val="000000"/>
          <w:shd w:val="clear" w:color="auto" w:fill="FFFFFF"/>
        </w:rPr>
        <w:t xml:space="preserve"> </w:t>
      </w:r>
      <w:r w:rsidR="00D3799D" w:rsidRPr="00E150CA">
        <w:rPr>
          <w:color w:val="000000"/>
          <w:shd w:val="clear" w:color="auto" w:fill="FFFFFF"/>
        </w:rPr>
        <w:t xml:space="preserve">increased by 0.1, </w:t>
      </w:r>
      <w:r w:rsidR="00EF5AD7" w:rsidRPr="00E150CA">
        <w:rPr>
          <w:color w:val="000000"/>
          <w:shd w:val="clear" w:color="auto" w:fill="FFFFFF"/>
        </w:rPr>
        <w:t xml:space="preserve">38,000 deaths (95% CI: 28,640-57,281) could have been avoided in 2019 </w:t>
      </w:r>
      <w:r w:rsidR="002D77F9" w:rsidRPr="00E150CA">
        <w:rPr>
          <w:color w:val="000000"/>
          <w:shd w:val="clear" w:color="auto" w:fill="FFFFFF"/>
        </w:rPr>
        <w:t xml:space="preserve">among those </w:t>
      </w:r>
      <w:r w:rsidR="00447748">
        <w:rPr>
          <w:color w:val="000000"/>
          <w:shd w:val="clear" w:color="auto" w:fill="FFFFFF"/>
        </w:rPr>
        <w:t xml:space="preserve">aged </w:t>
      </w:r>
      <w:r w:rsidR="002D77F9" w:rsidRPr="00E150CA">
        <w:rPr>
          <w:color w:val="000000"/>
          <w:shd w:val="clear" w:color="auto" w:fill="FFFFFF"/>
        </w:rPr>
        <w:t>65</w:t>
      </w:r>
      <w:r w:rsidR="00447748">
        <w:rPr>
          <w:color w:val="000000"/>
          <w:shd w:val="clear" w:color="auto" w:fill="FFFFFF"/>
        </w:rPr>
        <w:t xml:space="preserve"> years</w:t>
      </w:r>
      <w:r w:rsidR="002D77F9" w:rsidRPr="00E150CA">
        <w:rPr>
          <w:color w:val="000000"/>
          <w:shd w:val="clear" w:color="auto" w:fill="FFFFFF"/>
        </w:rPr>
        <w:t xml:space="preserve"> and older</w:t>
      </w:r>
      <w:r w:rsidR="0023601F">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{"citationID":"2IFhD644","properties":{"formattedCitation":"\\super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19</w:t>
      </w:r>
      <w:r w:rsidR="00EF5AD7" w:rsidRPr="00E150CA">
        <w:rPr>
          <w:color w:val="000000"/>
          <w:shd w:val="clear" w:color="auto" w:fill="FFFFFF"/>
        </w:rPr>
        <w:fldChar w:fldCharType="end"/>
      </w:r>
      <w:r w:rsidR="006E2A12">
        <w:rPr>
          <w:color w:val="000000"/>
          <w:shd w:val="clear" w:color="auto" w:fill="FFFFFF"/>
        </w:rPr>
        <w:t xml:space="preserve"> These studies </w:t>
      </w:r>
      <w:r w:rsidR="00CF3D70">
        <w:rPr>
          <w:color w:val="000000"/>
          <w:shd w:val="clear" w:color="auto" w:fill="FFFFFF"/>
        </w:rPr>
        <w:t>s</w:t>
      </w:r>
      <w:r w:rsidR="00B53A90">
        <w:rPr>
          <w:color w:val="000000"/>
          <w:shd w:val="clear" w:color="auto" w:fill="FFFFFF"/>
        </w:rPr>
        <w:t>uggest</w:t>
      </w:r>
      <w:r w:rsidR="00CF3D70">
        <w:rPr>
          <w:color w:val="000000"/>
          <w:shd w:val="clear" w:color="auto" w:fill="FFFFFF"/>
        </w:rPr>
        <w:t xml:space="preserve"> that urban greenspace can </w:t>
      </w:r>
      <w:r w:rsidR="00205BBE">
        <w:rPr>
          <w:color w:val="000000"/>
          <w:shd w:val="clear" w:color="auto" w:fill="FFFFFF"/>
        </w:rPr>
        <w:t>reduce premature mortality</w:t>
      </w:r>
      <w:r w:rsidR="00CF3D70">
        <w:rPr>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color w:val="000000"/>
          <w:shd w:val="clear" w:color="auto" w:fill="FFFFFF"/>
        </w:rPr>
      </w:pPr>
    </w:p>
    <w:p w14:paraId="26590397" w14:textId="4705E016" w:rsidR="00FA2EC9" w:rsidRPr="00E150CA" w:rsidRDefault="006036D8" w:rsidP="00551D54">
      <w:r w:rsidRPr="00E150CA">
        <w:rPr>
          <w:color w:val="000000"/>
          <w:shd w:val="clear" w:color="auto" w:fill="FFFFFF"/>
        </w:rPr>
        <w:t>In 2020, The Lancet Countdown began tracking u</w:t>
      </w:r>
      <w:r w:rsidR="007A26CC" w:rsidRPr="00E150CA">
        <w:rPr>
          <w:color w:val="000000"/>
          <w:shd w:val="clear" w:color="auto" w:fill="FFFFFF"/>
        </w:rPr>
        <w:t>rban greenspace</w:t>
      </w:r>
      <w:r w:rsidR="00717770" w:rsidRPr="00E150CA">
        <w:rPr>
          <w:color w:val="000000"/>
          <w:shd w:val="clear" w:color="auto" w:fill="FFFFFF"/>
        </w:rPr>
        <w:t xml:space="preserve"> across a global set of cities</w:t>
      </w:r>
      <w:r w:rsidR="007A26CC" w:rsidRPr="00E150CA">
        <w:rPr>
          <w:color w:val="000000"/>
          <w:shd w:val="clear" w:color="auto" w:fill="FFFFFF"/>
        </w:rPr>
        <w:t xml:space="preserve">. </w:t>
      </w:r>
      <w:r w:rsidR="00855772" w:rsidRPr="00E150CA">
        <w:rPr>
          <w:color w:val="000000"/>
          <w:shd w:val="clear" w:color="auto" w:fill="FFFFFF"/>
        </w:rPr>
        <w:t xml:space="preserve">The Lancet Countdown is an annual publication dedicated to tracking progress towards the goals </w:t>
      </w:r>
      <w:r w:rsidR="00855772" w:rsidRPr="00E150CA">
        <w:rPr>
          <w:color w:val="000000"/>
          <w:shd w:val="clear" w:color="auto" w:fill="FFFFFF"/>
        </w:rPr>
        <w:lastRenderedPageBreak/>
        <w:t>of the Paris Agreement and documenting the health implications of climate change.</w:t>
      </w:r>
      <w:r w:rsidR="00712FD7" w:rsidRPr="00E150CA">
        <w:rPr>
          <w:color w:val="000000"/>
          <w:shd w:val="clear" w:color="auto" w:fill="FFFFFF"/>
        </w:rPr>
        <w:fldChar w:fldCharType="begin"/>
      </w:r>
      <w:r w:rsidR="00E34A08">
        <w:rPr>
          <w:color w:val="000000"/>
          <w:shd w:val="clear" w:color="auto" w:fill="FFFFFF"/>
        </w:rPr>
        <w:instrText xml:space="preserve"> ADDIN ZOTERO_ITEM CSL_CITATION {"citationID":"DAlaYyHt","properties":{"formattedCitation":"\\super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color w:val="000000"/>
          <w:shd w:val="clear" w:color="auto" w:fill="FFFFFF"/>
        </w:rPr>
        <w:fldChar w:fldCharType="separate"/>
      </w:r>
      <w:r w:rsidR="00E34A08" w:rsidRPr="00E34A08">
        <w:rPr>
          <w:color w:val="000000"/>
          <w:vertAlign w:val="superscript"/>
        </w:rPr>
        <w:t>20</w:t>
      </w:r>
      <w:r w:rsidR="00712FD7" w:rsidRPr="00E150CA">
        <w:rPr>
          <w:color w:val="000000"/>
          <w:shd w:val="clear" w:color="auto" w:fill="FFFFFF"/>
        </w:rPr>
        <w:fldChar w:fldCharType="end"/>
      </w:r>
      <w:r w:rsidR="00DD7A83" w:rsidRPr="00E150CA">
        <w:rPr>
          <w:color w:val="000000"/>
          <w:shd w:val="clear" w:color="auto" w:fill="FFFFFF"/>
        </w:rPr>
        <w:t xml:space="preserve"> </w:t>
      </w:r>
      <w:r w:rsidR="00703441">
        <w:rPr>
          <w:color w:val="000000"/>
          <w:shd w:val="clear" w:color="auto" w:fill="FFFFFF"/>
        </w:rPr>
        <w:t>We update</w:t>
      </w:r>
      <w:r w:rsidR="00B53A90">
        <w:rPr>
          <w:color w:val="000000"/>
          <w:shd w:val="clear" w:color="auto" w:fill="FFFFFF"/>
        </w:rPr>
        <w:t>d</w:t>
      </w:r>
      <w:r w:rsidR="00703441">
        <w:rPr>
          <w:color w:val="000000"/>
          <w:shd w:val="clear" w:color="auto" w:fill="FFFFFF"/>
        </w:rPr>
        <w:t xml:space="preserve"> the Lancet Countdown methodology to capture population at a finer scale (100m instead of 1km resolution) and to remove </w:t>
      </w:r>
      <w:r w:rsidR="00A26064">
        <w:rPr>
          <w:color w:val="000000"/>
          <w:shd w:val="clear" w:color="auto" w:fill="FFFFFF"/>
        </w:rPr>
        <w:t xml:space="preserve">surface </w:t>
      </w:r>
      <w:r w:rsidR="00703441">
        <w:rPr>
          <w:color w:val="000000"/>
          <w:shd w:val="clear" w:color="auto" w:fill="FFFFFF"/>
        </w:rPr>
        <w:t>water from the urban greenspace calculation</w:t>
      </w:r>
      <w:r w:rsidR="00834FE1">
        <w:rPr>
          <w:color w:val="000000"/>
          <w:shd w:val="clear" w:color="auto" w:fill="FFFFFF"/>
        </w:rPr>
        <w:t xml:space="preserve">. </w:t>
      </w:r>
      <w:r w:rsidR="00BE6189" w:rsidRPr="00E150CA">
        <w:rPr>
          <w:color w:val="000000"/>
          <w:shd w:val="clear" w:color="auto" w:fill="FFFFFF"/>
        </w:rPr>
        <w:t xml:space="preserve">We </w:t>
      </w:r>
      <w:r w:rsidR="00834FE1">
        <w:rPr>
          <w:color w:val="000000"/>
          <w:shd w:val="clear" w:color="auto" w:fill="FFFFFF"/>
        </w:rPr>
        <w:t xml:space="preserve">further </w:t>
      </w:r>
      <w:r w:rsidR="00BE6189" w:rsidRPr="00E150CA">
        <w:rPr>
          <w:color w:val="000000"/>
          <w:shd w:val="clear" w:color="auto" w:fill="FFFFFF"/>
        </w:rPr>
        <w:t>conduct</w:t>
      </w:r>
      <w:r w:rsidR="00087E0C">
        <w:rPr>
          <w:color w:val="000000"/>
          <w:shd w:val="clear" w:color="auto" w:fill="FFFFFF"/>
        </w:rPr>
        <w:t>ed</w:t>
      </w:r>
      <w:r w:rsidR="00BE6189" w:rsidRPr="00E150CA">
        <w:rPr>
          <w:color w:val="000000"/>
          <w:shd w:val="clear" w:color="auto" w:fill="FFFFFF"/>
        </w:rPr>
        <w:t xml:space="preserve"> a health impact assessment of the </w:t>
      </w:r>
      <w:r w:rsidR="00D350FF">
        <w:rPr>
          <w:color w:val="000000"/>
          <w:shd w:val="clear" w:color="auto" w:fill="FFFFFF"/>
        </w:rPr>
        <w:t>increases</w:t>
      </w:r>
      <w:r w:rsidR="00D350FF" w:rsidRPr="00E150CA">
        <w:rPr>
          <w:color w:val="000000"/>
          <w:shd w:val="clear" w:color="auto" w:fill="FFFFFF"/>
        </w:rPr>
        <w:t xml:space="preserve"> </w:t>
      </w:r>
      <w:r w:rsidR="00BE6189" w:rsidRPr="00E150CA">
        <w:rPr>
          <w:color w:val="000000"/>
          <w:shd w:val="clear" w:color="auto" w:fill="FFFFFF"/>
        </w:rPr>
        <w:t xml:space="preserve">or </w:t>
      </w:r>
      <w:r w:rsidR="00D350FF">
        <w:rPr>
          <w:color w:val="000000"/>
          <w:shd w:val="clear" w:color="auto" w:fill="FFFFFF"/>
        </w:rPr>
        <w:t>reductions in</w:t>
      </w:r>
      <w:r w:rsidR="00D350FF" w:rsidRPr="00E150CA">
        <w:rPr>
          <w:color w:val="000000"/>
          <w:shd w:val="clear" w:color="auto" w:fill="FFFFFF"/>
        </w:rPr>
        <w:t xml:space="preserve"> </w:t>
      </w:r>
      <w:r w:rsidR="00BE6189" w:rsidRPr="00E150CA">
        <w:rPr>
          <w:color w:val="000000"/>
          <w:shd w:val="clear" w:color="auto" w:fill="FFFFFF"/>
        </w:rPr>
        <w:t xml:space="preserve">deaths associated with changes in </w:t>
      </w:r>
      <w:r w:rsidR="005160DC">
        <w:rPr>
          <w:color w:val="000000"/>
          <w:shd w:val="clear" w:color="auto" w:fill="FFFFFF"/>
        </w:rPr>
        <w:t xml:space="preserve">urban </w:t>
      </w:r>
      <w:r w:rsidR="00BE6189" w:rsidRPr="00E150CA">
        <w:rPr>
          <w:color w:val="000000"/>
          <w:shd w:val="clear" w:color="auto" w:fill="FFFFFF"/>
        </w:rPr>
        <w:t xml:space="preserve">greenspace over time across </w:t>
      </w:r>
      <w:r w:rsidR="00D350FF">
        <w:rPr>
          <w:color w:val="000000"/>
          <w:shd w:val="clear" w:color="auto" w:fill="FFFFFF"/>
        </w:rPr>
        <w:t xml:space="preserve">the </w:t>
      </w:r>
      <w:r w:rsidR="00BE6189" w:rsidRPr="00E150CA">
        <w:rPr>
          <w:color w:val="000000"/>
          <w:shd w:val="clear" w:color="auto" w:fill="FFFFFF"/>
        </w:rPr>
        <w:t>1,04</w:t>
      </w:r>
      <w:r w:rsidR="00BB75C8">
        <w:rPr>
          <w:color w:val="000000"/>
          <w:shd w:val="clear" w:color="auto" w:fill="FFFFFF"/>
        </w:rPr>
        <w:t>1</w:t>
      </w:r>
      <w:r w:rsidR="00BE6189" w:rsidRPr="00E150CA">
        <w:rPr>
          <w:color w:val="000000"/>
          <w:shd w:val="clear" w:color="auto" w:fill="FFFFFF"/>
        </w:rPr>
        <w:t xml:space="preserve"> global cities</w:t>
      </w:r>
      <w:r w:rsidR="005160DC">
        <w:rPr>
          <w:color w:val="000000"/>
          <w:shd w:val="clear" w:color="auto" w:fill="FFFFFF"/>
        </w:rPr>
        <w:t xml:space="preserve"> included in the Lancet Countdown’s greenspace analysis</w:t>
      </w:r>
      <w:r w:rsidR="00BE6189" w:rsidRPr="00E150CA">
        <w:rPr>
          <w:color w:val="000000"/>
          <w:shd w:val="clear" w:color="auto" w:fill="FFFFFF"/>
        </w:rPr>
        <w:t>.</w:t>
      </w:r>
      <w:r w:rsidR="00531C5E" w:rsidRPr="00E150CA">
        <w:rPr>
          <w:color w:val="000000"/>
          <w:shd w:val="clear" w:color="auto" w:fill="FFFFFF"/>
        </w:rPr>
        <w:t xml:space="preserve"> </w:t>
      </w:r>
      <w:r w:rsidR="003C57E4">
        <w:rPr>
          <w:color w:val="000000"/>
          <w:shd w:val="clear" w:color="auto" w:fill="FFFFFF"/>
        </w:rPr>
        <w:t>We characterize</w:t>
      </w:r>
      <w:r w:rsidR="00653950">
        <w:rPr>
          <w:color w:val="000000"/>
          <w:shd w:val="clear" w:color="auto" w:fill="FFFFFF"/>
        </w:rPr>
        <w:t>d</w:t>
      </w:r>
      <w:r w:rsidR="003C57E4">
        <w:rPr>
          <w:color w:val="000000"/>
          <w:shd w:val="clear" w:color="auto" w:fill="FFFFFF"/>
        </w:rPr>
        <w:t xml:space="preserve"> urban greenspace across these cities from 2014 to </w:t>
      </w:r>
      <w:r w:rsidR="004A429B">
        <w:rPr>
          <w:color w:val="000000"/>
          <w:shd w:val="clear" w:color="auto" w:fill="FFFFFF"/>
        </w:rPr>
        <w:t>2023 and</w:t>
      </w:r>
      <w:r w:rsidR="003C57E4">
        <w:rPr>
          <w:color w:val="000000"/>
          <w:shd w:val="clear" w:color="auto" w:fill="FFFFFF"/>
        </w:rPr>
        <w:t xml:space="preserve"> estimated the </w:t>
      </w:r>
      <w:r w:rsidR="001818F3">
        <w:rPr>
          <w:color w:val="000000"/>
          <w:shd w:val="clear" w:color="auto" w:fill="FFFFFF"/>
        </w:rPr>
        <w:t>changes in mortality associated with</w:t>
      </w:r>
      <w:r w:rsidR="003C57E4">
        <w:rPr>
          <w:color w:val="000000"/>
          <w:shd w:val="clear" w:color="auto" w:fill="FFFFFF"/>
        </w:rPr>
        <w:t xml:space="preserve"> </w:t>
      </w:r>
      <w:r w:rsidR="00580922">
        <w:rPr>
          <w:color w:val="000000"/>
          <w:shd w:val="clear" w:color="auto" w:fill="FFFFFF"/>
        </w:rPr>
        <w:t xml:space="preserve">differences in </w:t>
      </w:r>
      <w:r w:rsidR="003C57E4">
        <w:rPr>
          <w:color w:val="000000"/>
          <w:shd w:val="clear" w:color="auto" w:fill="FFFFFF"/>
        </w:rPr>
        <w:t>greenspace between two five-year periods, 2014-201</w:t>
      </w:r>
      <w:r w:rsidR="004A429B">
        <w:rPr>
          <w:color w:val="000000"/>
          <w:shd w:val="clear" w:color="auto" w:fill="FFFFFF"/>
        </w:rPr>
        <w:t>8</w:t>
      </w:r>
      <w:r w:rsidR="003C57E4">
        <w:rPr>
          <w:color w:val="000000"/>
          <w:shd w:val="clear" w:color="auto" w:fill="FFFFFF"/>
        </w:rPr>
        <w:t xml:space="preserve"> and 20</w:t>
      </w:r>
      <w:r w:rsidR="004A429B">
        <w:rPr>
          <w:color w:val="000000"/>
          <w:shd w:val="clear" w:color="auto" w:fill="FFFFFF"/>
        </w:rPr>
        <w:t>19</w:t>
      </w:r>
      <w:r w:rsidR="003C57E4">
        <w:rPr>
          <w:color w:val="000000"/>
          <w:shd w:val="clear" w:color="auto" w:fill="FFFFFF"/>
        </w:rPr>
        <w:t>-2023</w:t>
      </w:r>
      <w:r w:rsidR="004A429B">
        <w:rPr>
          <w:color w:val="000000"/>
          <w:shd w:val="clear" w:color="auto" w:fill="FFFFFF"/>
        </w:rPr>
        <w:t>.</w:t>
      </w:r>
      <w:r w:rsidR="001D6941">
        <w:rPr>
          <w:color w:val="000000"/>
          <w:shd w:val="clear" w:color="auto" w:fill="FFFFFF"/>
        </w:rPr>
        <w:t xml:space="preserve"> </w:t>
      </w:r>
      <w:r w:rsidR="00D86A16">
        <w:rPr>
          <w:color w:val="000000"/>
          <w:shd w:val="clear" w:color="auto" w:fill="FFFFFF"/>
        </w:rPr>
        <w:t>We chose five-year time periods to minimize the</w:t>
      </w:r>
      <w:r w:rsidR="00CE2519">
        <w:rPr>
          <w:color w:val="000000"/>
          <w:shd w:val="clear" w:color="auto" w:fill="FFFFFF"/>
        </w:rPr>
        <w:t xml:space="preserve"> effect of year-to-year extremes and</w:t>
      </w:r>
      <w:r w:rsidR="00D86A16">
        <w:rPr>
          <w:color w:val="000000"/>
          <w:shd w:val="clear" w:color="auto" w:fill="FFFFFF"/>
        </w:rPr>
        <w:t xml:space="preserve"> capture</w:t>
      </w:r>
      <w:r w:rsidR="00CE2519">
        <w:rPr>
          <w:color w:val="000000"/>
          <w:shd w:val="clear" w:color="auto" w:fill="FFFFFF"/>
        </w:rPr>
        <w:t xml:space="preserve"> longer-term trends in urban greenspace exposure.</w:t>
      </w:r>
      <w:r w:rsidR="00D86A16">
        <w:rPr>
          <w:color w:val="000000"/>
          <w:shd w:val="clear" w:color="auto" w:fill="FFFFFF"/>
        </w:rPr>
        <w:t xml:space="preserve"> </w:t>
      </w:r>
      <w:r w:rsidR="001D6941">
        <w:rPr>
          <w:color w:val="000000"/>
          <w:shd w:val="clear" w:color="auto" w:fill="FFFFFF"/>
        </w:rPr>
        <w:t xml:space="preserve">The results of this study can be used to compare greenspace </w:t>
      </w:r>
      <w:r w:rsidR="0071768E">
        <w:rPr>
          <w:color w:val="000000"/>
          <w:shd w:val="clear" w:color="auto" w:fill="FFFFFF"/>
        </w:rPr>
        <w:t xml:space="preserve">changes over time and </w:t>
      </w:r>
      <w:r w:rsidR="00ED7F58">
        <w:rPr>
          <w:color w:val="000000"/>
          <w:shd w:val="clear" w:color="auto" w:fill="FFFFFF"/>
        </w:rPr>
        <w:t xml:space="preserve">the </w:t>
      </w:r>
      <w:r w:rsidR="0071768E">
        <w:rPr>
          <w:color w:val="000000"/>
          <w:shd w:val="clear" w:color="auto" w:fill="FFFFFF"/>
        </w:rPr>
        <w:t xml:space="preserve">associated health implications </w:t>
      </w:r>
      <w:r w:rsidR="001D6941">
        <w:rPr>
          <w:color w:val="000000"/>
          <w:shd w:val="clear" w:color="auto" w:fill="FFFFFF"/>
        </w:rPr>
        <w:t xml:space="preserve">across cities </w:t>
      </w:r>
      <w:r w:rsidR="0071768E">
        <w:rPr>
          <w:color w:val="000000"/>
          <w:shd w:val="clear" w:color="auto" w:fill="FFFFFF"/>
        </w:rPr>
        <w:t>globally</w:t>
      </w:r>
      <w:r w:rsidR="004A429B">
        <w:rPr>
          <w:color w:val="000000"/>
          <w:shd w:val="clear" w:color="auto" w:fill="FFFFFF"/>
        </w:rPr>
        <w:t xml:space="preserve">.  </w:t>
      </w:r>
    </w:p>
    <w:p w14:paraId="35625F09" w14:textId="0C086B5B" w:rsidR="00FC67E2" w:rsidRDefault="00FC67E2" w:rsidP="00551D54">
      <w:pPr>
        <w:rPr>
          <w:b/>
          <w:bCs/>
        </w:rPr>
      </w:pPr>
    </w:p>
    <w:p w14:paraId="515C94D2" w14:textId="04150984" w:rsidR="004035B0" w:rsidRDefault="00551D54" w:rsidP="00551D54">
      <w:pPr>
        <w:rPr>
          <w:b/>
          <w:bCs/>
        </w:rPr>
      </w:pPr>
      <w:r w:rsidRPr="00E150CA">
        <w:rPr>
          <w:b/>
          <w:bCs/>
        </w:rPr>
        <w:t>Method</w:t>
      </w:r>
      <w:r w:rsidR="002C67A4" w:rsidRPr="00E150CA">
        <w:rPr>
          <w:b/>
          <w:bCs/>
        </w:rPr>
        <w:t>s</w:t>
      </w:r>
    </w:p>
    <w:p w14:paraId="641A8ED2" w14:textId="77777777" w:rsidR="00823A75" w:rsidRPr="00E150CA" w:rsidRDefault="00823A75" w:rsidP="00551D54">
      <w:pPr>
        <w:rPr>
          <w:b/>
          <w:bCs/>
        </w:rPr>
      </w:pPr>
    </w:p>
    <w:p w14:paraId="5C1B45D6" w14:textId="42628212" w:rsidR="00595315" w:rsidRDefault="00595315" w:rsidP="00551D54">
      <w:r>
        <w:t xml:space="preserve">We estimated </w:t>
      </w:r>
      <w:r w:rsidR="00D81E68">
        <w:t xml:space="preserve">peak seasonal </w:t>
      </w:r>
      <w:r>
        <w:t xml:space="preserve">urban greenspace </w:t>
      </w:r>
      <w:r w:rsidR="009B7B4B">
        <w:t xml:space="preserve">using </w:t>
      </w:r>
      <w:r w:rsidR="00675FFE">
        <w:t xml:space="preserve">population-weighted </w:t>
      </w:r>
      <w:r w:rsidR="009B7B4B">
        <w:t xml:space="preserve">NDVI from </w:t>
      </w:r>
      <w:r w:rsidR="004A6A1E">
        <w:t>2014</w:t>
      </w:r>
      <w:r w:rsidR="009B7B4B">
        <w:t xml:space="preserve"> to </w:t>
      </w:r>
      <w:r w:rsidR="004A6A1E">
        <w:t>2023</w:t>
      </w:r>
      <w:r w:rsidR="009B7B4B">
        <w:t>,</w:t>
      </w:r>
      <w:r w:rsidR="004A6A1E">
        <w:t xml:space="preserve"> </w:t>
      </w:r>
      <w:r>
        <w:t>in 1,04</w:t>
      </w:r>
      <w:r w:rsidR="00D85548">
        <w:t>1</w:t>
      </w:r>
      <w:r>
        <w:t xml:space="preserve"> </w:t>
      </w:r>
      <w:r>
        <w:t xml:space="preserve">cities across 174 countries. We then </w:t>
      </w:r>
      <w:r w:rsidR="009B7B4B">
        <w:t xml:space="preserve">estimated </w:t>
      </w:r>
      <w:r w:rsidRPr="007C220F">
        <w:t xml:space="preserve">the </w:t>
      </w:r>
      <w:r w:rsidR="009B7B4B">
        <w:t xml:space="preserve">mortality </w:t>
      </w:r>
      <w:r w:rsidRPr="007C220F">
        <w:t xml:space="preserve">change in each </w:t>
      </w:r>
      <w:r w:rsidR="009B7B4B">
        <w:t xml:space="preserve">city </w:t>
      </w:r>
      <w:r w:rsidRPr="007C220F">
        <w:t xml:space="preserve">associated with </w:t>
      </w:r>
      <w:r w:rsidR="007E58B1">
        <w:t xml:space="preserve">the difference in </w:t>
      </w:r>
      <w:r w:rsidR="009B7B4B">
        <w:t>NDVI between two five-year periods, from</w:t>
      </w:r>
      <w:r w:rsidR="009B7B4B" w:rsidRPr="007C220F">
        <w:t xml:space="preserve"> </w:t>
      </w:r>
      <w:r w:rsidR="00D3065F">
        <w:t>2014-2018</w:t>
      </w:r>
      <w:r w:rsidRPr="007C220F">
        <w:t xml:space="preserve"> </w:t>
      </w:r>
      <w:r w:rsidR="007E09D3">
        <w:t>to</w:t>
      </w:r>
      <w:r w:rsidRPr="007C220F">
        <w:t xml:space="preserve"> </w:t>
      </w:r>
      <w:r w:rsidR="00D3065F">
        <w:t>2019-2023</w:t>
      </w:r>
      <w:r w:rsidRPr="007C220F">
        <w:t xml:space="preserve">. </w:t>
      </w:r>
      <w:r w:rsidR="00EA3427" w:rsidRPr="007C220F">
        <w:t xml:space="preserve">We </w:t>
      </w:r>
      <w:r w:rsidR="00675FFE">
        <w:t>defined urban extents using</w:t>
      </w:r>
      <w:r w:rsidR="00675FFE" w:rsidRPr="007C220F">
        <w:t xml:space="preserve"> </w:t>
      </w:r>
      <w:r w:rsidR="00EA3427" w:rsidRPr="007C220F">
        <w:t xml:space="preserve">the </w:t>
      </w:r>
      <w:r w:rsidR="007C220F" w:rsidRPr="007C220F">
        <w:t>Global Human Settlement Urban Centre Database (GHS-UCDB)</w:t>
      </w:r>
      <w:r w:rsidR="00675FFE">
        <w:t xml:space="preserve">, which provides </w:t>
      </w:r>
      <w:r w:rsidR="00EA3427" w:rsidRPr="007C220F">
        <w:t>a consistent methodology based on</w:t>
      </w:r>
      <w:r w:rsidR="00432318" w:rsidRPr="007C220F">
        <w:t xml:space="preserve"> population and</w:t>
      </w:r>
      <w:r w:rsidR="00EA3427" w:rsidRPr="007C220F">
        <w:t xml:space="preserve"> </w:t>
      </w:r>
      <w:r w:rsidR="00432318" w:rsidRPr="007C220F">
        <w:t>remote sensing data.</w:t>
      </w:r>
      <w:r w:rsidR="00CE7C15" w:rsidRPr="007C220F">
        <w:fldChar w:fldCharType="begin"/>
      </w:r>
      <w:r w:rsidR="00E34A08">
        <w:instrText xml:space="preserve"> ADDIN ZOTERO_ITEM CSL_CITATION {"citationID":"rAD9MYvP","properties":{"formattedCitation":"\\super 21\\nosupersub{}","plainCitation":"21","noteIndex":0},"citationItems":[{"id":757,"uris":["http://zotero.org/users/10202395/items/FBYZPBIZ"],"itemData":{"id":757,"type":"dataset","abstract":"The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fldChar w:fldCharType="separate"/>
      </w:r>
      <w:r w:rsidR="00E34A08" w:rsidRPr="00E34A08">
        <w:rPr>
          <w:vertAlign w:val="superscript"/>
        </w:rPr>
        <w:t>21</w:t>
      </w:r>
      <w:r w:rsidR="00CE7C15" w:rsidRPr="007C220F">
        <w:fldChar w:fldCharType="end"/>
      </w:r>
      <w:r w:rsidR="00B723B6" w:rsidRPr="007C220F">
        <w:t xml:space="preserve"> </w:t>
      </w:r>
      <w:r w:rsidR="00F5233A">
        <w:t>We included the 1,041 cities for which urban greenspace was estimated by the Lancet Countdown on health and climate change. The Lancet Countdown</w:t>
      </w:r>
      <w:r w:rsidR="00B723B6" w:rsidRPr="007C220F">
        <w:t xml:space="preserve"> included </w:t>
      </w:r>
      <w:r w:rsidR="00F5233A">
        <w:t xml:space="preserve">cities </w:t>
      </w:r>
      <w:r w:rsidR="00B723B6" w:rsidRPr="007C220F">
        <w:t xml:space="preserve">if they were the most populous in their country or had over 500,000 inhabitants. </w:t>
      </w:r>
      <w:r w:rsidR="007E09D3">
        <w:t xml:space="preserve">Twenty-two </w:t>
      </w:r>
      <w:r w:rsidR="00723309">
        <w:t xml:space="preserve">small, mainly island, </w:t>
      </w:r>
      <w:r w:rsidR="007E09D3">
        <w:t xml:space="preserve">countries did not have cities in </w:t>
      </w:r>
      <w:r w:rsidR="00B723B6" w:rsidRPr="007C220F">
        <w:t xml:space="preserve">the </w:t>
      </w:r>
      <w:r w:rsidR="007C220F" w:rsidRPr="007C220F">
        <w:t>GHS-</w:t>
      </w:r>
      <w:r w:rsidR="00B723B6" w:rsidRPr="007C220F">
        <w:t>UCDB</w:t>
      </w:r>
      <w:r w:rsidR="007E09D3">
        <w:t xml:space="preserve"> and </w:t>
      </w:r>
      <w:r w:rsidR="00B723B6" w:rsidRPr="007C220F">
        <w:t>were</w:t>
      </w:r>
      <w:r w:rsidR="00B723B6">
        <w:t xml:space="preserve"> not represented in the analysis</w:t>
      </w:r>
      <w:r w:rsidR="00723309">
        <w:t xml:space="preserve"> (see appendix</w:t>
      </w:r>
      <w:r w:rsidR="00AE2153">
        <w:t xml:space="preserve"> List S1,</w:t>
      </w:r>
      <w:r w:rsidR="00723309">
        <w:t xml:space="preserve"> for </w:t>
      </w:r>
      <w:r w:rsidR="009C1F86">
        <w:t xml:space="preserve">a </w:t>
      </w:r>
      <w:r w:rsidR="00723309">
        <w:t>complete list)</w:t>
      </w:r>
      <w:r w:rsidR="00B723B6">
        <w:t xml:space="preserve">. </w:t>
      </w:r>
    </w:p>
    <w:p w14:paraId="3DC394E4" w14:textId="1765C502" w:rsidR="00C1696B" w:rsidRPr="00E150CA" w:rsidRDefault="00C1696B" w:rsidP="00551D54"/>
    <w:p w14:paraId="0F8F828B" w14:textId="582F14AF" w:rsidR="00A06A27" w:rsidRDefault="00E457AE" w:rsidP="00551D54">
      <w:pPr>
        <w:rPr>
          <w:i/>
          <w:iCs/>
        </w:rPr>
      </w:pPr>
      <w:r>
        <w:rPr>
          <w:i/>
          <w:iCs/>
        </w:rPr>
        <w:t>Population-weighted greenest season NDVI</w:t>
      </w:r>
    </w:p>
    <w:p w14:paraId="0089DEA3" w14:textId="2139601B" w:rsidR="00D51E22" w:rsidRPr="00E150CA" w:rsidRDefault="00D51E22" w:rsidP="00551D54">
      <w:pPr>
        <w:rPr>
          <w:i/>
          <w:iCs/>
        </w:rPr>
      </w:pPr>
    </w:p>
    <w:p w14:paraId="125EAC6C" w14:textId="4A070357" w:rsidR="000231D0" w:rsidRDefault="00090A79" w:rsidP="00551D54">
      <w:r>
        <w:t>For NDVI, we used</w:t>
      </w:r>
      <w:r w:rsidR="00D51E22">
        <w:t xml:space="preserve"> Landsat</w:t>
      </w:r>
      <w:r w:rsidR="008E053E">
        <w:t xml:space="preserve"> 8 satellite</w:t>
      </w:r>
      <w:r w:rsidR="0093536B">
        <w:t xml:space="preserve"> imagery</w:t>
      </w:r>
      <w:r w:rsidR="0060540D">
        <w:t>,</w:t>
      </w:r>
      <w:r>
        <w:t xml:space="preserve"> </w:t>
      </w:r>
      <w:r w:rsidR="0060540D">
        <w:t xml:space="preserve">accessed through </w:t>
      </w:r>
      <w:r w:rsidR="0016141A">
        <w:t>Google Earth Engine (</w:t>
      </w:r>
      <w:r w:rsidR="00354BDF">
        <w:t>GEE</w:t>
      </w:r>
      <w:r w:rsidR="0016141A">
        <w:t>)</w:t>
      </w:r>
      <w:r w:rsidR="0060540D">
        <w:t xml:space="preserve">. Landsat </w:t>
      </w:r>
      <w:r w:rsidR="00AD75A9">
        <w:t>data</w:t>
      </w:r>
      <w:r w:rsidR="0060540D">
        <w:t xml:space="preserve"> is available</w:t>
      </w:r>
      <w:r w:rsidR="00354BDF">
        <w:t xml:space="preserve"> </w:t>
      </w:r>
      <w:r w:rsidR="00484172">
        <w:t xml:space="preserve">at the 30m resolution </w:t>
      </w:r>
      <w:r w:rsidR="0060540D">
        <w:t>with new images</w:t>
      </w:r>
      <w:r w:rsidR="00AD75A9">
        <w:t xml:space="preserve"> captured</w:t>
      </w:r>
      <w:r w:rsidR="0060540D">
        <w:t xml:space="preserve"> </w:t>
      </w:r>
      <w:r w:rsidR="00484172">
        <w:t>approximately every 16 days</w:t>
      </w:r>
      <w:r w:rsidR="00AD75A9">
        <w:t xml:space="preserve"> for a given location</w:t>
      </w:r>
      <w:r w:rsidR="00484172">
        <w:t xml:space="preserve">. </w:t>
      </w:r>
      <w:r w:rsidR="00FA1C0B">
        <w:t xml:space="preserve">Following the methods used by many of the studies included in the meta-analysis of greenspace and mortality that we use for our </w:t>
      </w:r>
      <w:r w:rsidR="00CD5550">
        <w:t>exposure response function</w:t>
      </w:r>
      <w:r w:rsidR="00FA1C0B">
        <w:t xml:space="preserve">, we removed pixels representing water and clouds. </w:t>
      </w:r>
      <w:r w:rsidR="00703441">
        <w:t>To remove cloudy pixels, w</w:t>
      </w:r>
      <w:r w:rsidR="00064A1A">
        <w:t>e used the “</w:t>
      </w:r>
      <w:proofErr w:type="spellStart"/>
      <w:r w:rsidR="00064A1A">
        <w:t>Landsat.simpleComposite</w:t>
      </w:r>
      <w:proofErr w:type="spellEnd"/>
      <w:r w:rsidR="00064A1A">
        <w:t>” algorithm from GEE</w:t>
      </w:r>
      <w:r w:rsidR="00703441">
        <w:t>.</w:t>
      </w:r>
      <w:r w:rsidR="00064A1A">
        <w:t xml:space="preserve"> </w:t>
      </w:r>
      <w:r w:rsidR="005D506E">
        <w:t>W</w:t>
      </w:r>
      <w:r w:rsidR="0060540D">
        <w:t xml:space="preserve">e used the Joint Research </w:t>
      </w:r>
      <w:r w:rsidR="00B53F41">
        <w:t xml:space="preserve">Centre </w:t>
      </w:r>
      <w:r w:rsidR="006E45F4">
        <w:t>(JRC)</w:t>
      </w:r>
      <w:r w:rsidR="00827425">
        <w:t>’s</w:t>
      </w:r>
      <w:r w:rsidR="0060540D">
        <w:t xml:space="preserve"> </w:t>
      </w:r>
      <w:r w:rsidR="005D506E">
        <w:t xml:space="preserve">Landsat-derived </w:t>
      </w:r>
      <w:r>
        <w:t xml:space="preserve">global surface water </w:t>
      </w:r>
      <w:r w:rsidR="0078361F">
        <w:t>dataset</w:t>
      </w:r>
      <w:r w:rsidR="006E4C2C">
        <w:t xml:space="preserve"> (30m resolution)</w:t>
      </w:r>
      <w:r w:rsidR="0078361F">
        <w:t xml:space="preserve"> </w:t>
      </w:r>
      <w:r w:rsidR="00827425">
        <w:t xml:space="preserve">to </w:t>
      </w:r>
      <w:r w:rsidR="005D506E">
        <w:t xml:space="preserve">exclude </w:t>
      </w:r>
      <w:r w:rsidR="00827425">
        <w:t xml:space="preserve">pixels that were </w:t>
      </w:r>
      <w:r w:rsidR="0078361F">
        <w:t>classified as</w:t>
      </w:r>
      <w:r w:rsidR="00827425">
        <w:t xml:space="preserve"> </w:t>
      </w:r>
      <w:r>
        <w:t>“</w:t>
      </w:r>
      <w:r w:rsidR="00827425">
        <w:t>permanent water</w:t>
      </w:r>
      <w:r w:rsidR="005D506E">
        <w:t>.</w:t>
      </w:r>
      <w:r>
        <w:t>”</w:t>
      </w:r>
      <w:r w:rsidR="00524E7C">
        <w:fldChar w:fldCharType="begin"/>
      </w:r>
      <w:r w:rsidR="00E34A08">
        <w:instrText xml:space="preserve"> ADDIN ZOTERO_ITEM CSL_CITATION {"citationID":"gbvxCowy","properties":{"formattedCitation":"\\super 22\\nosupersub{}","plainCitation":"22","noteIndex":0},"citationItems":[{"id":100,"uris":["http://zotero.org/users/10202395/items/J2DZEYSX"],"itemData":{"id":100,"type":"article-journal","container-title":"Nature","DOI":"10.1038/nature20584","ISSN":"0028-0836,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fldChar w:fldCharType="separate"/>
      </w:r>
      <w:r w:rsidR="00E34A08" w:rsidRPr="00E34A08">
        <w:rPr>
          <w:vertAlign w:val="superscript"/>
        </w:rPr>
        <w:t>22</w:t>
      </w:r>
      <w:r w:rsidR="00524E7C">
        <w:fldChar w:fldCharType="end"/>
      </w:r>
      <w:r w:rsidR="005D506E">
        <w:t xml:space="preserve"> </w:t>
      </w:r>
      <w:r w:rsidR="00827425">
        <w:t xml:space="preserve">We used the 2015 </w:t>
      </w:r>
      <w:r w:rsidR="005D506E">
        <w:t xml:space="preserve">JRC </w:t>
      </w:r>
      <w:r w:rsidR="0078361F">
        <w:t xml:space="preserve">dataset to </w:t>
      </w:r>
      <w:r w:rsidR="000231D0">
        <w:t>mask</w:t>
      </w:r>
      <w:r w:rsidR="00827425">
        <w:t xml:space="preserve"> water pixels in </w:t>
      </w:r>
      <w:r w:rsidR="00825A98">
        <w:t>the</w:t>
      </w:r>
      <w:r w:rsidR="00827425">
        <w:t xml:space="preserve"> </w:t>
      </w:r>
      <w:r w:rsidR="00522757">
        <w:t>2014-</w:t>
      </w:r>
      <w:r w:rsidR="00827425">
        <w:t>201</w:t>
      </w:r>
      <w:r w:rsidR="00522757">
        <w:t>8</w:t>
      </w:r>
      <w:r w:rsidR="00827425">
        <w:t xml:space="preserve"> </w:t>
      </w:r>
      <w:r w:rsidR="00825A98">
        <w:t>images</w:t>
      </w:r>
      <w:r w:rsidR="00827425">
        <w:t xml:space="preserve"> and the 2020 dataset to mask water pixels in </w:t>
      </w:r>
      <w:r w:rsidR="00825A98">
        <w:t>the</w:t>
      </w:r>
      <w:r w:rsidR="00827425">
        <w:t xml:space="preserve"> </w:t>
      </w:r>
      <w:r w:rsidR="00522757">
        <w:t>2019-2023</w:t>
      </w:r>
      <w:r w:rsidR="00827425">
        <w:t xml:space="preserve"> </w:t>
      </w:r>
      <w:r w:rsidR="00825A98">
        <w:t>images</w:t>
      </w:r>
      <w:r w:rsidR="00827425">
        <w:t>.</w:t>
      </w:r>
      <w:r w:rsidR="00F06C1D">
        <w:t xml:space="preserve"> We then downscaled the NDVI dataset to the 100m resolution to align with our population dataset.</w:t>
      </w:r>
    </w:p>
    <w:p w14:paraId="64CAEF0B" w14:textId="5E807EC6" w:rsidR="000231D0" w:rsidRDefault="000231D0" w:rsidP="00551D54"/>
    <w:p w14:paraId="0CB61711" w14:textId="69001DC9" w:rsidR="00441531" w:rsidRDefault="001329DE" w:rsidP="00441531">
      <w:r>
        <w:t>We</w:t>
      </w:r>
      <w:r w:rsidR="00024A18" w:rsidRPr="00435A59">
        <w:t xml:space="preserve"> used</w:t>
      </w:r>
      <w:r>
        <w:t xml:space="preserve"> Rojas-Rueda et al. </w:t>
      </w:r>
      <w:r w:rsidR="003A23CA">
        <w:t xml:space="preserve">(2019)’s meta-analysis </w:t>
      </w:r>
      <w:r>
        <w:t xml:space="preserve">to </w:t>
      </w:r>
      <w:r w:rsidR="00024A18">
        <w:t>define the epidemiologic relationship between increased NDVI and reductions in all-cause mortality</w:t>
      </w:r>
      <w:r w:rsidR="003A23CA">
        <w:t xml:space="preserve">. </w:t>
      </w:r>
      <w:r w:rsidR="00CA27EC">
        <w:t>The nine longitudinal studies included in this meta-analysis had follow-up periods ranging from four to 18 years and measured urban greenspace using NDVI. Three studies</w:t>
      </w:r>
      <w:r w:rsidR="00024A18">
        <w:t xml:space="preserve"> </w:t>
      </w:r>
      <w:r w:rsidR="00024A18" w:rsidRPr="00435A59">
        <w:t xml:space="preserve">defined greenspace using the average NDVI value </w:t>
      </w:r>
      <w:r w:rsidR="00024A18">
        <w:t>from</w:t>
      </w:r>
      <w:r w:rsidR="00024A18" w:rsidRPr="00435A59">
        <w:t xml:space="preserve"> the greenest season</w:t>
      </w:r>
      <w:r w:rsidR="00CA27EC">
        <w:t xml:space="preserve"> of each year within the study period,</w:t>
      </w:r>
      <w:r w:rsidR="00343620">
        <w:t xml:space="preserve"> </w:t>
      </w:r>
      <w:r w:rsidR="00CA27EC">
        <w:t>while</w:t>
      </w:r>
      <w:r w:rsidR="00343620">
        <w:t xml:space="preserve"> </w:t>
      </w:r>
      <w:r w:rsidR="00CA27EC">
        <w:t>four</w:t>
      </w:r>
      <w:r w:rsidR="00343620">
        <w:t xml:space="preserve"> others use</w:t>
      </w:r>
      <w:r w:rsidR="00CA27EC">
        <w:t>s</w:t>
      </w:r>
      <w:r w:rsidR="00343620">
        <w:t xml:space="preserve"> the greenest day or greenest month</w:t>
      </w:r>
      <w:r w:rsidR="00CA27EC">
        <w:t xml:space="preserve"> from a representative year or years</w:t>
      </w:r>
      <w:r w:rsidR="00024A18" w:rsidRPr="00435A59">
        <w:t>.</w:t>
      </w:r>
      <w:r w:rsidR="00024A18" w:rsidRPr="00435A59">
        <w:fldChar w:fldCharType="begin"/>
      </w:r>
      <w:r w:rsidR="00B050E8">
        <w:instrText xml:space="preserve"> ADDIN ZOTERO_ITEM CSL_CITATION {"citationID":"RZ7pTqXG","properties":{"formattedCitation":"\\super 23\\uc0\\u8211{}31\\nosupersub{}","plainCitation":"23–31","noteIndex":0},"citationItems":[{"id":620,"uris":["http://zotero.org/users/10202395/items/P63AXWQ7"],"itemData":{"id":620,"type":"article-journal","abstract":"Introduction: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J."},{"family":"Nieuwenhuijsen","given":"Mark"},{"family":"Heyworth","given":"Jane"}],"issued":{"date-parts":[["2019",4]]}}},{"id":814,"uris":["http://zotero.org/users/10202395/items/7U4RTEN6"],"itemData":{"id":814,"type":"article-journal","abstract":"Background: Green, natural environments may ameliorate adverse environmental exposures (e.g., air pollution, noise, and extreme heat), increase physical activity and social engagement, and lower stress.\nObjectives: We aimed to examine the prospective association between residential greenness and mortality.\nMethods: Using data from the U.S.-based Nurses’ Health Study prospective cohort, we defined cumulative average time-varying seasonal greenness surrounding each participant’s address using satellite imagery [Normalized Difference Vegetation Index (NDVI)]. We followed 108,630 women and observed 8,604 deaths between 2000 and 2008.\nResults: In models adjusted for mortality risk factors (age, race/ethnicity, smoking, and individualand area-level socioeconomic status), women living in the highest quintile of cumulative average greenness (accounting for changes in residence during follow-up) in the 250-m area around their home had a 12% lower rate of all-cause nonaccidental mortality [95% confidence interval (CI); 0.82, 0.94] than those in the lowest quintile. The results were consistent for the 1,250-m area, although the relationship was slightly attenuated. These associations were strongest for respiratory and cancer mortality. The findings from a mediation analysis suggested that the association between greenness and mortality may be at least partly mediated by physical activity, particulate matter &lt; 2.5 μm, social engagement, and depression.\nConclusions: Higher levels of green vegetation were associated with decreased mortality. Policies to increase vegetation may provide opportunities for physical activity, reduce harmful exposures, increase social engagement, and improve mental health. Planting vegetation may mitigate the effects of climate change; in addition, evidence of an association between vegetation and lower mortality rates suggests it also might be used to improve health.","container-title":"Environmental Health Perspectives","DOI":"10.1289/ehp.1510363","ISSN":"0091-6765, 1552-9924","issue":"9","journalAbbreviation":"Environ Health Perspect","language":"en","page":"1344-1352","source":"DOI.org (Crossref)","title":"Exposure to Greenness and Mortality in a Nationwide Prospective Cohort Study of Women","volume":"124","author":[{"family":"James","given":"Peter"},{"family":"Hart","given":"Jaime E."},{"family":"Banay","given":"Rachel F."},{"family":"Laden","given":"Francine"}],"issued":{"date-parts":[["2016",9]]}}},{"id":815,"uris":["http://zotero.org/users/10202395/items/K6FGJ93P"],"itemData":{"id":815,"type":"article-journal","abstract":"Background: Residential proximity to green space has been associated with physical and mental health beneﬁts, but whether green space is associated with post-stroke survival has not been studied.\nMethods: Patients Z21 years of age admitted to the Beth Israel Deaconess Medical Center (BIDMC) between 1999 and 2008 with acute ischemic stroke were identiﬁed. Demographics, presenting symptoms, medical history and imaging results were abstracted from medical records at the time of hospitalization for stroke onset. Addresses were linked to average Normalized Difference Vegetation Index, distance to roadways with more than 10,000 cars/day, and US census block group. Deaths were identiﬁed through June 2012 using the Social Security Death Index.\nResults: There were 929 deaths among 1645 patients with complete data (median follow up: 5 years). In multivariable Cox models adjusted for indicators of medical history, demographic and socioeconomic factors, the hazard ratio for patients living in locations in the highest quartile of green space compared to the lowest quartile was 0.78 (95% Conﬁdence Interval: 0.63–0.97) (p-trend¼0.009). This association remained statistically signiﬁcant after adjustment for residential proximity to a high trafﬁc road.\nConclusions: Residential proximity to green space is associated with higher survival rates after ischemic stroke in multivariable adjusted models. Further work is necessary to elucidate the underlying mechanisms for this association, and to better understand the exposure–response relationships and susceptibility factors that may contribute to higher mortality in low green space areas.","container-title":"Environmental Research","DOI":"10.1016/j.envres.2014.05.005","ISSN":"00139351","journalAbbreviation":"Environmental Research","language":"en","page":"42-48","source":"DOI.org (Crossref)","title":"Green space and mortality following ischemic stroke","volume":"133","author":[{"family":"Wilker","given":"Elissa H."},{"family":"Wu","given":"Chih-Da"},{"family":"McNeely","given":"Eileen"},{"family":"Mostofsky","given":"Elizabeth"},{"family":"Spengler","given":"John"},{"family":"Wellenius","given":"Gregory A."},{"family":"Mittleman","given":"Murray A."}],"issued":{"date-parts":[["2014",8]]}}},{"id":816,"uris":["http://zotero.org/users/10202395/items/886287M5"],"itemData":{"id":816,"type":"article-journal","abstract":"Parks and green space areas are important to human health for psychological and physiological reasons. There have been few evaluations of access to green space on mortality. This paper describes a cohort study of approximately 575,000 adults, 35 years of age and older, who resided in 10 urban areas in Ontario, Canada, between 1982 and 1986. Individuals were identiﬁed from income tax ﬁlings, and vital status was determined up to December 31, 2004 through record linkage to the Canadian Mortality Data Base. Place of residence was deﬁned by postal code data that were extracted from income tax ﬁlings. Urban green space was deﬁned by Landsat satellite retrievals with the Normalized Difference Vegetation Index and this was assigned to individuals’ place of residence at inception into the cohort using both a 30 m grid cell and a 500 m buffer. The proportional hazards model was used to estimate rate ratios (RRs) and their corresponding 95% conﬁdence intervals (CI) for selected underlying causes of death. The rate ratios were adjusted for income, marital status, ambient air pollution, and contextual neighborhood characteristics. About 187,000 subjects died during follow-up. An increase in the interquartile range of green space, using a 500 m buffer, was associated with reduced non-accidental mortality (RR ¼ 0.95, 95% CI ¼0.94–0.96). Reductions in mortality with increased residential green space were observed for each underlying cause of death; the strongest association was found for respiratory disease mortality (RR ¼0.91, 95% CI¼ 0.89–0.93). Risk estimates were essentially unchanged after adjusting for ambient air pollution. Our study suggests that green space in urban environments was associated with long-term reduction in mortality although this ﬁnding should be interpreted cautiously as this association may be inﬂuenced by residual confounding of sociodemographic and lifestyle factors. Further research is needed to: conﬁrm these ﬁndings, better understand the relationships between access to green space and behavioral risk factors for mortality, and identify what green space characteristics may confer the greatest health beneﬁt.","container-title":"Environmental Research","DOI":"10.1016/j.envres.2012.03.003","ISSN":"00139351","journalAbbreviation":"Environmental Research","language":"en","page":"51-58","source":"DOI.org (Crossref)","title":"A cohort study relating urban green space with mortality in Ontario, Canada","volume":"115","author":[{"family":"Villeneuve","given":"Paul J."},{"family":"Jerrett","given":"Michael"},{"family":"G. Su","given":"Jason"},{"family":"Burnett","given":"Richard T."},{"family":"Chen","given":"Hong"},{"family":"Wheeler","given":"Amanda J."},{"family":"Goldberg","given":"Mark S."}],"issued":{"date-parts":[["2012",5]]}}},{"id":818,"uris":["http://zotero.org/users/10202395/items/RFQA3A6G"],"itemData":{"id":818,"type":"article-journal","abstract":"Background Exposure to natural vegetation, or greenness, might affect health through several pathways, including increased physical activity and social engagement, improved mental health, and reductions in exposure to air pollution, extreme temperatures, and noise. Few studies of the effects of greenness have focused on Asia, and, to the best of our knowledge, no study has assessed the effect on vulnerable oldest-old populations. We assessed the association between residential greenness and mortality in an older cohort in China.","container-title":"The Lancet Planetary Health","DOI":"10.1016/S2542-5196(18)30264-X","ISSN":"25425196","issue":"1","journalAbbreviation":"The Lancet Planetary Health","language":"en","page":"e17-e25","source":"DOI.org (Crossref)","title":"Residential greenness and mortality in oldest-old women and men in China: a longitudinal cohort study","title-short":"Residential greenness and mortality in oldest-old women and men in China","volume":"3","author":[{"family":"Ji","given":"John S"},{"family":"Zhu","given":"Anna"},{"family":"Bai","given":"Chen"},{"family":"Wu","given":"Chih-Da"},{"family":"Yan","given":"Lijing"},{"family":"Tang","given":"Shenglan"},{"family":"Zeng","given":"Yi"},{"family":"James","given":"Peter"}],"issued":{"date-parts":[["2019",1]]}}},{"id":820,"uris":["http://zotero.org/users/10202395/items/XKGX9JWE"],"itemData":{"id":820,"type":"article-journal","abstract":"BACKGROUND: Living in areas with higher levels of surrounding greenness and access to urban green areas have been associated with beneﬁcial health outcomes. Some studies suggested a beneﬁcial inﬂuence on mortality, but the evidence is still controversial.\nOBJECTIVES: We used longitudinal data from a large cohort to estimate associations of two measures of residential greenness exposure with causespeciﬁc mortality and stroke incidence.\nMETHODS: We studied a population-based cohort of 1,263,721 residents in Rome aged ≥30 y, followed from 2001 to 2013. As greenness exposure, we utilized the leaf area index (LAI), which expresses the tree canopy as the leaf area per unit ground surface area, and the normalized difference vegetation index (NDVI) within 300- and 1,000-m buﬀers around home addresses. We estimated the association between the two measures of residential greenness and the outcomes using Cox models, after controlling for relevant individual covariates and contextual characteristics, and explored potential mediation by air pollution [ﬁne particulate matter with aerodynamic diameter ≤2:5 lm ðPM2:5Þ and NO2] and road traﬃc noise.\nRESULTS: We observed 198,704 deaths from nonaccidental causes, 81,269 from cardiovascular diseases [CVDs; 29,654 from ischemic heart disease (IHD)], 18,090 from cerebrovascular diseases, and 29,033 incident cases of stroke. Residential greenness, expressed as interquartile range (IQR) increase in LAI within 300 m, was inversely associated with stroke incidence {hazard ratio (HR) 0.977 [95% conﬁdence interval (CI): 0.961, 0.994]} and mortality for nonaccidental [HR 0.988 (95% CI: 0.981, 0.994)], cardiovascular [HR 0.984 (95% CI: 0.974, 0.994)] and cerebrovascular diseases [HR 0.964 (95% CI: 0.943, 0.985)]. Similar results were obtained using NDVI with 300- or 1,000-m buﬀers.\nCONCLUSIONS: Living in greener areas was associated with better health outcomes in our study, which could be partly due to reduced exposure to environmental hazards. Further research is required to understand the underlying mechanisms. https://doi.org/10.1289/EHP2854","container-title":"Environmental Health Perspectives","DOI":"10.1289/EHP2854","ISSN":"0091-6765, 1552-9924","issue":"2","journalAbbreviation":"Environ Health Perspect","language":"en","page":"027002","source":"DOI.org (Crossref)","title":"Exposure to Residential Greenness as a Predictor of Cause-Specific Mortality and Stroke Incidence in the Rome Longitudinal Study","volume":"127","author":[{"family":"Orioli","given":"Riccardo"},{"family":"Antonucci","given":"Chiara"},{"family":"Scortichini","given":"Matteo"},{"family":"Cerza","given":"Francesco"},{"family":"Marando","given":"Federica"},{"family":"Ancona","given":"Carla"},{"family":"Manes","given":"Fausto"},{"family":"Davoli","given":"Marina"},{"family":"Michelozzi","given":"Paola"},{"family":"Forastiere","given":"Francesco"},{"family":"Cesaroni","given":"Giulia"}],"issued":{"date-parts":[["2019",2]]}}},{"id":813,"uris":["http://zotero.org/users/10202395/items/CC6MFADX"],"itemData":{"id":813,"type":"article-journal","container-title":"Environment International","DOI":"10.1016/j.envint.2017.08.012","ISSN":"01604120","journalAbbreviation":"Environment International","language":"en","page":"176-184","source":"DOI.org (Crossref)","title":"More than clean air and tranquillity: Residential green is independently associated with decreasing mortality","title-short":"More than clean air and tranquillity","volume":"108","author":[{"family":"Vienneau","given":"Danielle"},{"family":"De Hoogh","given":"Kees"},{"family":"Faeh","given":"David"},{"family":"Kaufmann","given":"Marco"},{"family":"Wunderli","given":"Jean Marc"},{"family":"Röösli","given":"Martin"}],"issued":{"date-parts":[["2017",11]]}}}],"schema":"https://github.com/citation-style-language/schema/raw/master/csl-citation.json"} </w:instrText>
      </w:r>
      <w:r w:rsidR="00024A18" w:rsidRPr="00435A59">
        <w:fldChar w:fldCharType="separate"/>
      </w:r>
      <w:r w:rsidR="00B050E8" w:rsidRPr="00B050E8">
        <w:rPr>
          <w:vertAlign w:val="superscript"/>
        </w:rPr>
        <w:t>23–31</w:t>
      </w:r>
      <w:r w:rsidR="00024A18" w:rsidRPr="00435A59">
        <w:fldChar w:fldCharType="end"/>
      </w:r>
      <w:r w:rsidR="00024A18" w:rsidRPr="00435A59">
        <w:t xml:space="preserve"> </w:t>
      </w:r>
      <w:r w:rsidR="006648D7">
        <w:t>To align with the most commonly used exposure metric by the studies included in this meta-analysis, w</w:t>
      </w:r>
      <w:r w:rsidR="00024A18">
        <w:t>e therefore calculated the population-weighted greenest season NDVI</w:t>
      </w:r>
      <w:r w:rsidR="006648D7">
        <w:t xml:space="preserve">. </w:t>
      </w:r>
      <w:r w:rsidR="00E83E43">
        <w:t>After removing water pixels, we</w:t>
      </w:r>
      <w:r w:rsidR="000231D0">
        <w:t xml:space="preserve"> calculated </w:t>
      </w:r>
      <w:r w:rsidR="00A706D9">
        <w:t>pixel-</w:t>
      </w:r>
      <w:r w:rsidR="00A706D9">
        <w:lastRenderedPageBreak/>
        <w:t xml:space="preserve">level </w:t>
      </w:r>
      <w:r w:rsidR="000231D0">
        <w:t xml:space="preserve">NDVI averages for </w:t>
      </w:r>
      <w:r w:rsidR="006E4C2C">
        <w:t>each season</w:t>
      </w:r>
      <w:r w:rsidR="000231D0">
        <w:t>:</w:t>
      </w:r>
      <w:r w:rsidR="00E93D78">
        <w:t xml:space="preserve"> </w:t>
      </w:r>
      <w:r w:rsidR="000231D0" w:rsidRPr="00E93D78">
        <w:t>December 1 of the previous year through February 28</w:t>
      </w:r>
      <w:r w:rsidR="00E93D78">
        <w:t xml:space="preserve">, </w:t>
      </w:r>
      <w:r w:rsidR="000231D0" w:rsidRPr="00E93D78">
        <w:t>March 1 through May 31</w:t>
      </w:r>
      <w:r w:rsidR="00E93D78">
        <w:t xml:space="preserve">, </w:t>
      </w:r>
      <w:r w:rsidR="000231D0" w:rsidRPr="00E93D78">
        <w:t>June 1 through August 31</w:t>
      </w:r>
      <w:r w:rsidR="00E93D78">
        <w:t xml:space="preserve">, and </w:t>
      </w:r>
      <w:r w:rsidR="000231D0" w:rsidRPr="00E93D78">
        <w:t>September 1 through November 30.</w:t>
      </w:r>
      <w:r w:rsidR="00D95A79">
        <w:t xml:space="preserve"> </w:t>
      </w:r>
      <w:r w:rsidR="00C662A0">
        <w:t xml:space="preserve">We averaged </w:t>
      </w:r>
      <w:r w:rsidR="00037559">
        <w:t>all Landsat images within these time periods.</w:t>
      </w:r>
      <w:r w:rsidR="00837BA6">
        <w:t xml:space="preserve"> </w:t>
      </w:r>
      <w:r w:rsidR="00A706D9">
        <w:t>W</w:t>
      </w:r>
      <w:r w:rsidR="000231D0">
        <w:t xml:space="preserve">e combined our </w:t>
      </w:r>
      <w:r w:rsidR="00A706D9">
        <w:t xml:space="preserve">pixel-level </w:t>
      </w:r>
      <w:r w:rsidR="007978FB">
        <w:t xml:space="preserve">average seasonal NDVI </w:t>
      </w:r>
      <w:r w:rsidR="000231D0">
        <w:t xml:space="preserve">estimates with </w:t>
      </w:r>
      <w:r w:rsidR="007978FB">
        <w:t>gridded</w:t>
      </w:r>
      <w:r w:rsidR="00825A98">
        <w:t xml:space="preserve"> </w:t>
      </w:r>
      <w:r w:rsidR="001F1B3D">
        <w:t xml:space="preserve">total </w:t>
      </w:r>
      <w:r w:rsidR="000231D0">
        <w:t xml:space="preserve">population </w:t>
      </w:r>
      <w:r w:rsidR="00825A98">
        <w:t>data</w:t>
      </w:r>
      <w:r w:rsidR="00A92750">
        <w:t xml:space="preserve"> from JRC’s 100m Glob</w:t>
      </w:r>
      <w:r w:rsidR="00A47834">
        <w:t>a</w:t>
      </w:r>
      <w:r w:rsidR="00A92750">
        <w:t>l Human Settl</w:t>
      </w:r>
      <w:r w:rsidR="00A47834">
        <w:t>e</w:t>
      </w:r>
      <w:r w:rsidR="00A92750">
        <w:t>ment Layer</w:t>
      </w:r>
      <w:r w:rsidR="00A706D9">
        <w:t xml:space="preserve"> to calculate a </w:t>
      </w:r>
      <w:r w:rsidR="00441531" w:rsidRPr="00435A59">
        <w:t>population</w:t>
      </w:r>
      <w:r w:rsidR="004C72A3">
        <w:t>-</w:t>
      </w:r>
      <w:r w:rsidR="00441531" w:rsidRPr="00435A59">
        <w:t xml:space="preserve">weighted </w:t>
      </w:r>
      <w:r w:rsidR="004C72A3">
        <w:t xml:space="preserve">seasonal </w:t>
      </w:r>
      <w:r w:rsidR="00A706D9">
        <w:t xml:space="preserve">average </w:t>
      </w:r>
      <w:r w:rsidR="00441531" w:rsidRPr="00435A59">
        <w:t xml:space="preserve">NDVI </w:t>
      </w:r>
      <w:r w:rsidR="00441531">
        <w:t xml:space="preserve">for each city </w:t>
      </w:r>
      <w:r w:rsidR="00A706D9">
        <w:t xml:space="preserve">(Equation </w:t>
      </w:r>
      <w:r w:rsidR="00E91D7B">
        <w:t>1</w:t>
      </w:r>
      <w:r w:rsidR="00A706D9">
        <w:t>)</w:t>
      </w:r>
      <w:r w:rsidR="00441531">
        <w:t xml:space="preserve">: </w:t>
      </w:r>
    </w:p>
    <w:p w14:paraId="409F8CCA" w14:textId="6B0B7256" w:rsidR="00441531" w:rsidRDefault="00441531" w:rsidP="00441531">
      <w:pPr>
        <w:jc w:val="center"/>
        <w:rPr>
          <w:rFonts w:eastAsiaTheme="minorEastAsia"/>
        </w:rPr>
      </w:pPr>
      <w:r w:rsidRPr="00435A59">
        <w:rPr>
          <w:rFonts w:ascii="Cambria Math" w:hAnsi="Cambria Math"/>
        </w:rPr>
        <w:br/>
      </w:r>
      <w:r w:rsidRPr="00435A59">
        <w:rPr>
          <w:rFonts w:eastAsiaTheme="minorEastAsia"/>
        </w:rPr>
        <w:t xml:space="preserve">Equation </w:t>
      </w:r>
      <w:r w:rsidR="00E91D7B">
        <w:rPr>
          <w:rFonts w:eastAsiaTheme="minorEastAsia"/>
        </w:rPr>
        <w:t>1</w:t>
      </w:r>
      <w:r w:rsidRPr="00435A59">
        <w:rPr>
          <w:rFonts w:eastAsiaTheme="minorEastAsia"/>
        </w:rPr>
        <w:t xml:space="preserve">: </w:t>
      </w:r>
      <m:oMath>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NDVI</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num>
          <m:den>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den>
        </m:f>
      </m:oMath>
      <w:r w:rsidR="00D95A79">
        <w:rPr>
          <w:rFonts w:eastAsiaTheme="minorEastAsia"/>
        </w:rPr>
        <w:t>.</w:t>
      </w:r>
    </w:p>
    <w:p w14:paraId="6A941EA4" w14:textId="312E30D3" w:rsidR="004C72A3" w:rsidRDefault="004C72A3" w:rsidP="00441531">
      <w:pPr>
        <w:jc w:val="center"/>
        <w:rPr>
          <w:rFonts w:eastAsiaTheme="minorEastAsia"/>
        </w:rPr>
      </w:pPr>
    </w:p>
    <w:p w14:paraId="5662474D" w14:textId="7E22BFA0" w:rsidR="00294BE0" w:rsidRDefault="001F1B3D" w:rsidP="00551D54">
      <w:r>
        <w:t xml:space="preserve">This dataset is updated every five years. </w:t>
      </w:r>
      <w:r w:rsidR="00024A18">
        <w:t>We used t</w:t>
      </w:r>
      <w:r w:rsidR="00B356A6">
        <w:t xml:space="preserve">he 2015 population </w:t>
      </w:r>
      <w:r>
        <w:t xml:space="preserve">spatial </w:t>
      </w:r>
      <w:r w:rsidR="00BC6708">
        <w:t xml:space="preserve">distribution </w:t>
      </w:r>
      <w:r w:rsidR="00B356A6">
        <w:t>for years 2014-2018 and the 2020 population</w:t>
      </w:r>
      <w:r>
        <w:t xml:space="preserve"> spatial</w:t>
      </w:r>
      <w:r w:rsidR="00B356A6">
        <w:t xml:space="preserve"> </w:t>
      </w:r>
      <w:r w:rsidR="00BC6708">
        <w:t xml:space="preserve">distribution </w:t>
      </w:r>
      <w:r w:rsidR="00B356A6">
        <w:t xml:space="preserve">for years 2019-2023. </w:t>
      </w:r>
      <w:r w:rsidR="00E91D7B">
        <w:t>For each year, we selected the highest population-weighted seasonal average NDVI, representing the greenest</w:t>
      </w:r>
      <w:r w:rsidR="00744A00">
        <w:t xml:space="preserve"> or peak </w:t>
      </w:r>
      <w:r w:rsidR="00E91D7B">
        <w:t xml:space="preserve">season, for each city. </w:t>
      </w:r>
    </w:p>
    <w:p w14:paraId="04A3882F" w14:textId="3CD9347A" w:rsidR="0060540D" w:rsidRDefault="0060540D" w:rsidP="000626A4"/>
    <w:p w14:paraId="2F1D9702" w14:textId="03BAD4CB" w:rsidR="002F21BE" w:rsidRPr="00E150CA" w:rsidRDefault="002F21BE" w:rsidP="002F21BE">
      <w:pPr>
        <w:rPr>
          <w:i/>
          <w:iCs/>
        </w:rPr>
      </w:pPr>
      <w:r w:rsidRPr="00E150CA">
        <w:rPr>
          <w:i/>
          <w:iCs/>
        </w:rPr>
        <w:t xml:space="preserve">Health Impact Assessment </w:t>
      </w:r>
    </w:p>
    <w:p w14:paraId="5439A3CF" w14:textId="2C11BE28" w:rsidR="00435EC8" w:rsidRDefault="00D322C2" w:rsidP="00435EC8">
      <w:pPr>
        <w:pStyle w:val="NormalWeb"/>
        <w:spacing w:before="240" w:after="24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B050E8">
        <w:rPr>
          <w:color w:val="000000" w:themeColor="text1"/>
          <w:shd w:val="clear" w:color="auto" w:fill="FFFFFF"/>
        </w:rPr>
        <w:instrText xml:space="preserve"> ADDIN ZOTERO_ITEM CSL_CITATION {"citationID":"A6kczmJl","properties":{"formattedCitation":"\\super 32,33\\nosupersub{}","plainCitation":"32,33","noteIndex":0},"citationItems":[{"id":584,"uris":["http://zotero.org/users/10202395/items/YTZWDF4A"],"itemData":{"id":584,"type":"article-journal","abstract":"Background: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B050E8" w:rsidRPr="00B050E8">
        <w:rPr>
          <w:color w:val="000000"/>
          <w:vertAlign w:val="superscript"/>
        </w:rPr>
        <w:t>32,33</w:t>
      </w:r>
      <w:r w:rsidR="00AA34B4">
        <w:rPr>
          <w:color w:val="000000" w:themeColor="text1"/>
          <w:shd w:val="clear" w:color="auto" w:fill="FFFFFF"/>
        </w:rPr>
        <w:fldChar w:fldCharType="end"/>
      </w:r>
      <w:r w:rsidR="00AA34B4">
        <w:rPr>
          <w:color w:val="000000" w:themeColor="text1"/>
          <w:shd w:val="clear" w:color="auto" w:fill="FFFFFF"/>
        </w:rPr>
        <w:t xml:space="preserve"> </w:t>
      </w:r>
      <w:r w:rsidR="00F411A4" w:rsidRPr="00F411A4">
        <w:rPr>
          <w:color w:val="000000" w:themeColor="text1"/>
          <w:shd w:val="clear" w:color="auto" w:fill="FFFFFF"/>
        </w:rPr>
        <w:t xml:space="preserve">The health impact equation is a function of baseline mortality rates, population, changes in greenspace exposure, and the exposure-response function between NDVI and all-cause mortality. </w:t>
      </w:r>
      <w:r w:rsidR="00E32FAA">
        <w:rPr>
          <w:color w:val="000000" w:themeColor="text1"/>
          <w:shd w:val="clear" w:color="auto" w:fill="FFFFFF"/>
        </w:rPr>
        <w:t xml:space="preserve">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w:t>
      </w:r>
      <w:r w:rsidR="000A48F0">
        <w:rPr>
          <w:color w:val="000000" w:themeColor="text1"/>
          <w:shd w:val="clear" w:color="auto" w:fill="FFFFFF"/>
        </w:rPr>
        <w:t xml:space="preserve"> (Equation 2)</w:t>
      </w:r>
      <w:r w:rsidR="005E2A24">
        <w:rPr>
          <w:color w:val="000000" w:themeColor="text1"/>
          <w:shd w:val="clear" w:color="auto" w:fill="FFFFFF"/>
        </w:rPr>
        <w:t>.</w:t>
      </w:r>
      <w:r w:rsidR="00E32FAA">
        <w:rPr>
          <w:color w:val="000000" w:themeColor="text1"/>
          <w:shd w:val="clear" w:color="auto" w:fill="FFFFFF"/>
        </w:rPr>
        <w:t xml:space="preserve"> </w:t>
      </w:r>
      <w:r w:rsidR="005E2A24">
        <w:t>W</w:t>
      </w:r>
      <w:r w:rsidR="005E2A24" w:rsidRPr="00435A59">
        <w:t>e use</w:t>
      </w:r>
      <w:r w:rsidR="005E2A24">
        <w:t>d</w:t>
      </w:r>
      <w:r w:rsidR="005E2A24" w:rsidRPr="00435A59">
        <w:t xml:space="preserve"> the difference </w:t>
      </w:r>
      <w:r w:rsidR="005E2A24">
        <w:t>between the average 2014-2018</w:t>
      </w:r>
      <w:r w:rsidR="005E2A24" w:rsidRPr="00435A59">
        <w:t xml:space="preserve"> </w:t>
      </w:r>
      <w:r w:rsidR="005E2A24">
        <w:t xml:space="preserve">and 2019-2023 </w:t>
      </w:r>
      <w:r w:rsidR="005E2A24" w:rsidRPr="00435A59">
        <w:t xml:space="preserve">population-weighted </w:t>
      </w:r>
      <w:r w:rsidR="005E2A24">
        <w:t>greenest season</w:t>
      </w:r>
      <w:r w:rsidR="005E2A24" w:rsidRPr="00435A59">
        <w:t xml:space="preserve"> NDVI to define changes in urban greenspace</w:t>
      </w:r>
      <w:r w:rsidR="000A48F0">
        <w:t xml:space="preserve"> at the 100m pixel (</w:t>
      </w:r>
      <w:proofErr w:type="spellStart"/>
      <w:r w:rsidR="000A48F0">
        <w:t>i</w:t>
      </w:r>
      <w:proofErr w:type="spellEnd"/>
      <w:r w:rsidR="000A48F0">
        <w:t>) level to align with the resolution of our population dataset</w:t>
      </w:r>
      <w:r w:rsidR="005E2A24">
        <w:t xml:space="preserve"> (</w:t>
      </w:r>
      <m:oMath>
        <m:r>
          <w:rPr>
            <w:rFonts w:ascii="Cambria Math" w:hAnsi="Cambria Math"/>
          </w:rPr>
          <m:t>ΔNDV</m:t>
        </m:r>
        <m:sSub>
          <m:sSubPr>
            <m:ctrlPr>
              <w:rPr>
                <w:rFonts w:ascii="Cambria Math" w:hAnsi="Cambria Math"/>
                <w:i/>
              </w:rPr>
            </m:ctrlPr>
          </m:sSubPr>
          <m:e>
            <m:r>
              <w:rPr>
                <w:rFonts w:ascii="Cambria Math" w:hAnsi="Cambria Math"/>
              </w:rPr>
              <m:t>I</m:t>
            </m:r>
          </m:e>
          <m:sub>
            <m:r>
              <w:rPr>
                <w:rFonts w:ascii="Cambria Math" w:hAnsi="Cambria Math"/>
              </w:rPr>
              <m:t>i</m:t>
            </m:r>
          </m:sub>
        </m:sSub>
      </m:oMath>
      <w:r w:rsidR="005E2A24">
        <w:rPr>
          <w:rFonts w:eastAsiaTheme="minorEastAsia"/>
        </w:rPr>
        <w:t>)</w:t>
      </w:r>
      <w:r w:rsidR="005E2A24" w:rsidRPr="00435A59">
        <w:t xml:space="preserve">. </w:t>
      </w:r>
      <w:r w:rsidR="005E2A24">
        <w:t>We opted to use a five-year average rather than compare individual years, because we observed large inter-annual variability in NDVI.</w:t>
      </w:r>
      <w:r w:rsidR="00EC2502">
        <w:t xml:space="preserve"> </w:t>
      </w:r>
      <w:r w:rsidR="005E2A24">
        <w:rPr>
          <w:color w:val="000000" w:themeColor="text1"/>
          <w:shd w:val="clear" w:color="auto" w:fill="FFFFFF"/>
        </w:rPr>
        <w:t xml:space="preserve">To calculate the PAF, we used the </w:t>
      </w:r>
      <w:r w:rsidR="005E2A24" w:rsidRPr="001F1B3D">
        <w:rPr>
          <w:color w:val="000000" w:themeColor="text1"/>
          <w:shd w:val="clear" w:color="auto" w:fill="FFFFFF"/>
        </w:rPr>
        <w:t xml:space="preserve">hazard ratio </w:t>
      </w:r>
      <w:r w:rsidR="005E2A24">
        <w:rPr>
          <w:color w:val="000000" w:themeColor="text1"/>
          <w:shd w:val="clear" w:color="auto" w:fill="FFFFFF"/>
        </w:rPr>
        <w:t>(</w:t>
      </w:r>
      <w:r w:rsidR="005E2A24" w:rsidRPr="005C2AF3">
        <w:rPr>
          <w:i/>
          <w:iCs/>
          <w:color w:val="000000" w:themeColor="text1"/>
          <w:shd w:val="clear" w:color="auto" w:fill="FFFFFF"/>
        </w:rPr>
        <w:t>HR</w:t>
      </w:r>
      <w:r w:rsidR="005E2A24">
        <w:rPr>
          <w:color w:val="000000" w:themeColor="text1"/>
          <w:shd w:val="clear" w:color="auto" w:fill="FFFFFF"/>
        </w:rPr>
        <w:t>) from a meta-analysis of the protective effect of NDVI on all-cause mortality</w:t>
      </w:r>
      <w:r w:rsidR="000A48F0">
        <w:rPr>
          <w:color w:val="000000" w:themeColor="text1"/>
          <w:shd w:val="clear" w:color="auto" w:fill="FFFFFF"/>
        </w:rPr>
        <w:t xml:space="preserve">, </w:t>
      </w:r>
      <w:r w:rsidR="000A48F0" w:rsidRPr="00E32FAA">
        <w:rPr>
          <w:color w:val="000000" w:themeColor="text1"/>
          <w:shd w:val="clear" w:color="auto" w:fill="FFFFFF"/>
        </w:rPr>
        <w:t>which found a pooled hazard ratio of 0.96 (95% confidence interval (CI): 0.94, 0.97) for each 0.1 increase in NDVI within 500m of a person’s home.</w:t>
      </w:r>
      <w:r w:rsidR="00EC2502" w:rsidRPr="00E32FAA">
        <w:fldChar w:fldCharType="begin"/>
      </w:r>
      <w:r w:rsidR="00EC2502">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C2502" w:rsidRPr="00E32FAA">
        <w:fldChar w:fldCharType="separate"/>
      </w:r>
      <w:r w:rsidR="00EC2502" w:rsidRPr="00B050E8">
        <w:rPr>
          <w:color w:val="000000"/>
          <w:vertAlign w:val="superscript"/>
        </w:rPr>
        <w:t>9</w:t>
      </w:r>
      <w:r w:rsidR="00EC2502" w:rsidRPr="00E32FAA">
        <w:fldChar w:fldCharType="end"/>
      </w:r>
      <w:r w:rsidR="000A48F0">
        <w:t xml:space="preserve"> We</w:t>
      </w:r>
      <w:r w:rsidR="005E2A24">
        <w:rPr>
          <w:color w:val="000000" w:themeColor="text1"/>
          <w:shd w:val="clear" w:color="auto" w:fill="FFFFFF"/>
        </w:rPr>
        <w:t xml:space="preserve"> </w:t>
      </w:r>
      <w:r w:rsidR="000A48F0">
        <w:rPr>
          <w:color w:val="000000" w:themeColor="text1"/>
          <w:shd w:val="clear" w:color="auto" w:fill="FFFFFF"/>
        </w:rPr>
        <w:t>scaled changes in NDVI</w:t>
      </w:r>
      <w:r w:rsidR="005E2A24">
        <w:t xml:space="preserve"> by the unit increase of the hazard-ratio (0.1 increases in NDVI). We calculated this value for</w:t>
      </w:r>
      <w:r w:rsidR="00E32FAA">
        <w:rPr>
          <w:color w:val="000000" w:themeColor="text1"/>
          <w:shd w:val="clear" w:color="auto" w:fill="FFFFFF"/>
        </w:rPr>
        <w:t xml:space="preserve">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A830B96" w14:textId="53EB291E" w:rsidR="00E32FAA" w:rsidRPr="00E32FAA" w:rsidRDefault="00435EC8" w:rsidP="00741FA6">
      <w:pPr>
        <w:pStyle w:val="NormalWeb"/>
        <w:spacing w:before="240" w:beforeAutospacing="0" w:after="240" w:afterAutospacing="0"/>
        <w:jc w:val="cente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5F1AE186" w14:textId="361C7586" w:rsidR="00E32FAA" w:rsidRPr="00741FA6" w:rsidRDefault="00E32FAA" w:rsidP="00741FA6">
      <w:pPr>
        <w:pStyle w:val="NormalWeb"/>
        <w:spacing w:before="240" w:beforeAutospacing="0" w:after="240" w:afterAutospacing="0"/>
        <w:rPr>
          <w:i/>
        </w:rPr>
      </w:pPr>
      <w:r w:rsidRPr="00E32FAA">
        <w:t xml:space="preserve">We </w:t>
      </w:r>
      <w:r>
        <w:t>sum</w:t>
      </w:r>
      <w:r w:rsidR="005C2AF3">
        <w:t>med</w:t>
      </w:r>
      <w:r>
        <w:t xml:space="preserve"> </w:t>
      </w:r>
      <w:r w:rsidR="003D06C1">
        <w:t xml:space="preserve">the product of </w:t>
      </w:r>
      <w:r w:rsidRPr="00E32FAA">
        <w:t>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t xml:space="preserve"> </w:t>
      </w:r>
      <w:r w:rsidRPr="00E32FAA">
        <w:t>from the Global Burden of Disease (GBD) 2021 study,</w:t>
      </w:r>
      <w:r w:rsidRPr="00E32FAA">
        <w:rPr>
          <w:i/>
          <w:iCs/>
        </w:rPr>
        <w:fldChar w:fldCharType="begin"/>
      </w:r>
      <w:r w:rsidR="00B050E8">
        <w:instrText xml:space="preserve"> ADDIN ZOTERO_ITEM CSL_CITATION {"citationID":"hcshdAsl","properties":{"formattedCitation":"\\super 34\\nosupersub{}","plainCitation":"34","noteIndex":0},"citationItems":[{"id":458,"uris":["http://zotero.org/users/10202395/items/SA6HEUQE"],"itemData":{"id":458,"type":"dataset","abstract":"The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iCs/>
        </w:rPr>
        <w:fldChar w:fldCharType="separate"/>
      </w:r>
      <w:r w:rsidR="00B050E8" w:rsidRPr="00B050E8">
        <w:rPr>
          <w:color w:val="000000"/>
          <w:vertAlign w:val="superscript"/>
        </w:rPr>
        <w:t>34</w:t>
      </w:r>
      <w:r w:rsidRPr="00E32FAA">
        <w:rPr>
          <w:i/>
          <w:iCs/>
        </w:rPr>
        <w:fldChar w:fldCharType="end"/>
      </w:r>
      <w:r w:rsidRPr="00E32FAA">
        <w:t xml:space="preserve"> 2020 </w:t>
      </w:r>
      <w:r w:rsidR="00CF35A4">
        <w:t xml:space="preserve">gridded </w:t>
      </w:r>
      <w:r w:rsidRPr="00E32FAA">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t xml:space="preserve"> from JRC,</w:t>
      </w:r>
      <w:r w:rsidRPr="00E32FAA">
        <w:rPr>
          <w:i/>
          <w:iCs/>
        </w:rPr>
        <w:fldChar w:fldCharType="begin"/>
      </w:r>
      <w:r w:rsidR="00B17A5F">
        <w:instrText xml:space="preserve"> ADDIN ZOTERO_ITEM CSL_CITATION {"citationID":"9PVcCL3m","properties":{"formattedCitation":"\\super 35\\nosupersub{}","plainCitation":"35","noteIndex":0},"citationItems":[{"id":834,"uris":["http://zotero.org/users/10202395/items/ZDQQ3F76"],"itemData":{"id":834,"type":"dataset","abstract":"The spatial raster dataset depicts the distribution of the built-up (BU) surfaces estimates between 1975 and 2030 in 5 years intervals and two functional use components a) the total BU surface and b) the non-residential (NRES) BU surface. The data is made by spatial-temporal interpolation of five observed collections of multiple-sensor, multiple-platform satellite imageries. Landsat (MSS, TM, ETM sensor) supports the 1975, 1990, 2000, and 2014 epochs. Sentinel2 (S2) composite (GHS-composite-S2 R2020A) supports the 2018 epoch. The built-up surface fraction (BUFRAC) is estimated at 10m of spatial resolution from the S2 image data, using as learning set a composite of data from GHS-BUILT-S2 R2020A, Facebook, Microsoft, and Open Street Map (OSM) building delineation. The BUFRAC inference is made from the combination of quantized image features (reflectance, derivative of morphological profile DMP) through associative rule learning applied to spatial data analytics, which was introduced as symbolic machine learning (SML). The non-residential (NRES) domain is predicted from S2 image data by observation of radiometric, textural, and morphological features in an object-oriented image processing framework. The multi-temporal dimension is provided by testing by the SML the association between the combination of the quantized radiometric information collected by the Landsat imagery in the past epochs, and the “built-up” (BU) and “non-built-up” (NBU) class abstraction on image segments extracted from S2 images. The spatial-temporal interpolation is solved by rank-optimal spatial allocation using explanatory variables related to the landscape (slope, elevation, distance to water, and distance to vegetation) and related to the observed dynamic of BU surfaces in the past epochs.","DOI":"10.2905/9F06F36F-4B11-47EC-ABB0-4F8B7B1D72EA","language":"en","publisher":"European Commission, Joint Research Centre (JRC)","source":"DOI.org (Datacite)","title":"GHS-BUILT-S R2023A - GHS built-up surface grid, derived from Sentinel2 composite and Landsat, multitemporal (1975-2030)","URL":"http://data.europa.eu/89h/9f06f36f-4b11-47ec-abb0-4f8b7b1d72ea","author":[{"family":"Pesaresi","given":"Martino"}],"accessed":{"date-parts":[["2025",4,28]]},"issued":{"date-parts":[["2023",4,25]]}}}],"schema":"https://github.com/citation-style-language/schema/raw/master/csl-citation.json"} </w:instrText>
      </w:r>
      <w:r w:rsidRPr="00E32FAA">
        <w:rPr>
          <w:i/>
          <w:iCs/>
        </w:rPr>
        <w:fldChar w:fldCharType="separate"/>
      </w:r>
      <w:r w:rsidR="00B17A5F" w:rsidRPr="00B17A5F">
        <w:rPr>
          <w:color w:val="000000"/>
          <w:vertAlign w:val="superscript"/>
        </w:rPr>
        <w:t>35</w:t>
      </w:r>
      <w:r w:rsidRPr="00E32FAA">
        <w:rPr>
          <w:i/>
          <w:iCs/>
        </w:rPr>
        <w:fldChar w:fldCharType="end"/>
      </w:r>
      <w:r>
        <w:t xml:space="preserve"> and </w:t>
      </w:r>
      <w:r w:rsidRPr="000444D7">
        <w:t xml:space="preserve">the </w:t>
      </w:r>
      <w:r>
        <w:t xml:space="preserve">population attributable fraction </w:t>
      </w:r>
      <m:oMath>
        <m:d>
          <m:dPr>
            <m:ctrlPr>
              <w:rPr>
                <w:rFonts w:ascii="Cambria Math" w:hAnsi="Cambria Math"/>
                <w:i/>
              </w:rPr>
            </m:ctrlPr>
          </m:dPr>
          <m:e>
            <m:sSub>
              <m:sSubPr>
                <m:ctrlPr>
                  <w:rPr>
                    <w:rFonts w:ascii="Cambria Math" w:hAnsi="Cambria Math"/>
                  </w:rPr>
                </m:ctrlPr>
              </m:sSubPr>
              <m:e>
                <m:r>
                  <w:rPr>
                    <w:rFonts w:ascii="Cambria Math" w:hAnsi="Cambria Math"/>
                  </w:rPr>
                  <m:t>PAF</m:t>
                </m:r>
              </m:e>
              <m:sub>
                <m:r>
                  <w:rPr>
                    <w:rFonts w:ascii="Cambria Math" w:hAnsi="Cambria Math"/>
                  </w:rPr>
                  <m:t>i</m:t>
                </m:r>
              </m:sub>
            </m:sSub>
          </m:e>
        </m:d>
      </m:oMath>
      <w:r w:rsidR="003D06C1">
        <w:t xml:space="preserve"> across each 100m pixel (i) within the urban boundary to </w:t>
      </w:r>
      <w:r w:rsidR="003D06C1" w:rsidRPr="00E32FAA">
        <w:t xml:space="preserve">calculate the </w:t>
      </w:r>
      <w:r w:rsidR="003D06C1">
        <w:t xml:space="preserve">city change in </w:t>
      </w:r>
      <w:r w:rsidR="003D06C1" w:rsidRPr="00E32FAA">
        <w:t>annual greenspace related mortality (</w:t>
      </w:r>
      <m:oMath>
        <m:r>
          <w:rPr>
            <w:rFonts w:ascii="Cambria Math" w:hAnsi="Cambria Math"/>
          </w:rPr>
          <m:t>Δmortality</m:t>
        </m:r>
      </m:oMath>
      <w:r w:rsidR="003D06C1" w:rsidRPr="00E32FAA">
        <w:t>)</w:t>
      </w:r>
      <w:r w:rsidR="00AE741B">
        <w:t xml:space="preserve"> (Equation 3)</w:t>
      </w:r>
      <w:r w:rsidRPr="00E32FAA">
        <w:t>.</w:t>
      </w:r>
      <w:r>
        <w:t xml:space="preserve"> </w:t>
      </w:r>
      <w:r w:rsidR="00C92231" w:rsidRPr="00741FA6">
        <w:rPr>
          <w:color w:val="000000" w:themeColor="text1"/>
        </w:rPr>
        <w:t>While the Rojas-Rueda et al. meta-analysis restricted to adults aged 18 and over, we used the total population because that was the gridded population data available from JRC at the 100m pixel resolution. Though children were not included in the Rojas-Rueda et al. study, systematic reviews have linked increased NDVI to higher birth weights</w:t>
      </w:r>
      <w:r w:rsidR="00C92231" w:rsidRPr="00741FA6">
        <w:rPr>
          <w:color w:val="000000" w:themeColor="text1"/>
        </w:rPr>
        <w:fldChar w:fldCharType="begin"/>
      </w:r>
      <w:r w:rsidR="00C92231" w:rsidRPr="00741FA6">
        <w:rPr>
          <w:color w:val="000000" w:themeColor="text1"/>
        </w:rPr>
        <w:instrText xml:space="preserve"> ADDIN ZOTERO_ITEM CSL_CITATION {"citationID":"5VoF50BI","properties":{"formattedCitation":"\\super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6</w:t>
      </w:r>
      <w:r w:rsidR="00C92231" w:rsidRPr="00741FA6">
        <w:rPr>
          <w:color w:val="000000" w:themeColor="text1"/>
        </w:rPr>
        <w:fldChar w:fldCharType="end"/>
      </w:r>
      <w:r w:rsidR="00C92231" w:rsidRPr="00741FA6">
        <w:rPr>
          <w:color w:val="000000" w:themeColor="text1"/>
        </w:rPr>
        <w:t xml:space="preserve"> and increased physical activity among children and adolescents</w:t>
      </w:r>
      <w:r w:rsidR="00C92231" w:rsidRPr="00741FA6">
        <w:rPr>
          <w:color w:val="000000" w:themeColor="text1"/>
        </w:rPr>
        <w:fldChar w:fldCharType="begin"/>
      </w:r>
      <w:r w:rsidR="00C92231" w:rsidRPr="00741FA6">
        <w:rPr>
          <w:color w:val="000000" w:themeColor="text1"/>
        </w:rPr>
        <w:instrText xml:space="preserve"> ADDIN ZOTERO_ITEM CSL_CITATION {"citationID":"fVNQwBBO","properties":{"formattedCitation":"\\super 36\\nosupersub{}","plainCitation":"36","noteIndex":0},"citationItems":[{"id":824,"uris":["http://zotero.org/users/10202395/items/27RP958R"],"itemData":{"id":824,"type":"article-journal","abstract":"Outdoor play has been associated with children’s and adolescents’ healthy development and physical activity. Attributes of the neighbourhood built environment can influence play behaviours. This systematic review examined the relationship between attributes of the neighbourhood built environment and the time children and adolescents (0–18 years) spend in self-directed outdoor play. We identified and evaluated 18 relevant papers using the Mixed Methods Appraisal Tool and developed a narrative synthesis of study results. We found moderate evidence that lower traffic volumes (ages 6–11), yard access (ages 3–10), and increased neighbourhood greenness (ages 2–15) were positively associated with time spent in outdoor play, as well as limited evidence that specific traffic-calming street features such as fewer intersections, low traffic speeds, neighbourhood disorder, and low residential density were positively associated with time spent in outdoor play. To our knowledge, this is the first systematic review on this topic. The limited number of “good quality” studies identified highlights the need for additional research on the topic.","container-title":"International Journal of Environmental Research and Public Health","DOI":"10.3390/ijerph16203840","ISSN":"1660-4601","issue":"20","language":"en","license":"http://creativecommons.org/licenses/by/3.0/","note":"number: 20\npublisher: Multidisciplinary Digital Publishing Institute","page":"3840","source":"www.mdpi.com","title":"What Is the Relationship between the Neighbourhood Built Environment and Time Spent in Outdoor Play? A Systematic Review","title-short":"What Is the Relationship between the Neighbourhood Built Environment and Time Spent in Outdoor Play?","volume":"16","author":[{"family":"Lambert","given":"Amalie"},{"family":"Vlaar","given":"Janae"},{"family":"Herrington","given":"Susan"},{"family":"Brussoni","given":"Mariana"}],"issued":{"date-parts":[["2019",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36</w:t>
      </w:r>
      <w:r w:rsidR="00C92231" w:rsidRPr="00741FA6">
        <w:rPr>
          <w:color w:val="000000" w:themeColor="text1"/>
        </w:rPr>
        <w:fldChar w:fldCharType="end"/>
      </w:r>
      <w:r w:rsidR="00C92231" w:rsidRPr="00741FA6">
        <w:rPr>
          <w:color w:val="000000" w:themeColor="text1"/>
        </w:rPr>
        <w:t>, and a large national study found that higher NDVI was associated with decreased risk of infant and under-5 mortality.</w:t>
      </w:r>
      <w:r w:rsidR="00C92231" w:rsidRPr="00741FA6">
        <w:rPr>
          <w:color w:val="000000" w:themeColor="text1"/>
        </w:rPr>
        <w:fldChar w:fldCharType="begin"/>
      </w:r>
      <w:r w:rsidR="00C92231" w:rsidRPr="00741FA6">
        <w:rPr>
          <w:color w:val="000000" w:themeColor="text1"/>
        </w:rPr>
        <w:instrText xml:space="preserve"> ADDIN ZOTERO_ITEM CSL_CITATION {"citationID":"mOl3w34O","properties":{"formattedCitation":"\\super 37\\nosupersub{}","plainCitation":"37","noteIndex":0},"citationItems":[{"id":828,"uris":["http://zotero.org/users/10202395/items/LAKXMLV7"],"itemData":{"id":828,"type":"article-journal","abstract":"Background\nHigher greenness was associated with a lower risk of adult mortality. However, the effects of greenness on the mortality of infant and child under-5 have not been fully examined.\nObjectives\nThe association of greenness on the infant mortality rate (IMR) and child under-5 mortality rate (U5MR) in 147 Chinese cities from 2009 to 2020 was evaluated.\nMethods\nAverage and maximum annual population-weighted greenness, IMR (per 1000 live births), and U5MR (per 1000 live births) in 147 cities from 2009 to 2020 were collected, and a longitudinal panel study was conducted. Greenness exposure was evaluated using satellite-derived data at a spatial resolution of 250 m ×250 m in urban regions, and linear mixed-effect models were applied to assess the associations between greenness and IMR or U5MR in China.\nResults\nThis national study showed that long-term exposure to greenness was associated with lower IMR and U5MR, respectively. Specifically, a 0.1 increase of Normalized Difference Vegetation Index (NDVI) in greenness was statistically significant with a decrease in IMR (-1.05 ‰, 95 % CI: −1.48, −0.63 ‰) and U5MR (-1.82 ‰, 95 % CI: −2.39, −1.25 ‰) in fully-adjusted model, respectively. In the stratified analyses, greenness effects on U5MR in the western (-2.33 ‰, 95 % CI: −3.43, −1.23 ‰) and central regions (-2.06 ‰, 95 % CI: −3.01, −1.10 ‰) were stronger than that in the eastern region (-0.86 ‰, 95 % CI: −1.66, −0.07 ‰).\nConclusions\nThis nationwide study indicated that exposure to higher greenness was associated with lower mortality rates in infant and child under-5 in China.","container-title":"Ecotoxicology and Environmental Safety","DOI":"10.1016/j.ecoenv.2024.117184","ISSN":"0147-6513","journalAbbreviation":"Ecotoxicology and Environmental Safety","page":"117184","source":"ScienceDirect","title":"Greenness on mortality of infant and under-5 child: A nationwide study in 147 Chinese cities","title-short":"Greenness on mortality of infant and under-5 child","volume":"286","author":[{"family":"Zhang","given":"Lina"},{"family":"Wang","given":"Qingxian"},{"family":"Lei","given":"Renfeihao"},{"family":"Lin","given":"Jiayi"},{"family":"Gong","given":"Jiarui"},{"family":"Wang","given":"Lelin"},{"family":"Xie","given":"Keyu"},{"family":"Zheng","given":"Xueer"},{"family":"Xu","given":"Kaiheng"},{"family":"Zhang","given":"Peidong"},{"family":"Wu","given":"Yue"},{"family":"Zeng","given":"Xiang"},{"family":"Meng","given":"Xia"},{"family":"Kan","given":"Haidong"}],"issued":{"date-parts":[["2024",11,1]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37</w:t>
      </w:r>
      <w:r w:rsidR="00C92231" w:rsidRPr="00741FA6">
        <w:rPr>
          <w:color w:val="000000" w:themeColor="text1"/>
        </w:rPr>
        <w:fldChar w:fldCharType="end"/>
      </w:r>
    </w:p>
    <w:p w14:paraId="3DDDFDB0" w14:textId="71DD7C6E" w:rsidR="005A1DF9"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lastRenderedPageBreak/>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F411A4">
        <w:rPr>
          <w:color w:val="000000" w:themeColor="text1"/>
          <w:shd w:val="clear" w:color="auto" w:fill="FFFFFF"/>
        </w:rPr>
        <w:t>.</w:t>
      </w:r>
    </w:p>
    <w:p w14:paraId="57207FB8" w14:textId="1356B517" w:rsidR="009F2452" w:rsidRDefault="009F2452" w:rsidP="009F2452">
      <w:pPr>
        <w:pStyle w:val="NormalWeb"/>
        <w:spacing w:before="240" w:beforeAutospacing="0" w:after="240" w:afterAutospacing="0"/>
        <w:rPr>
          <w:i/>
          <w:iCs/>
          <w:color w:val="000000" w:themeColor="text1"/>
          <w:shd w:val="clear" w:color="auto" w:fill="FFFFFF"/>
        </w:rPr>
      </w:pPr>
      <w:r>
        <w:rPr>
          <w:i/>
          <w:iCs/>
          <w:color w:val="000000" w:themeColor="text1"/>
          <w:shd w:val="clear" w:color="auto" w:fill="FFFFFF"/>
        </w:rPr>
        <w:t>Quantifying uncertainty</w:t>
      </w:r>
    </w:p>
    <w:p w14:paraId="62EC6505" w14:textId="558B21AE" w:rsidR="009F2452" w:rsidRPr="009F2452" w:rsidRDefault="009F2452" w:rsidP="00E95247">
      <w:pPr>
        <w:pStyle w:val="NormalWeb"/>
        <w:spacing w:before="240" w:beforeAutospacing="0" w:after="240" w:afterAutospacing="0"/>
        <w:rPr>
          <w:color w:val="000000" w:themeColor="text1"/>
          <w:shd w:val="clear" w:color="auto" w:fill="FFFFFF"/>
        </w:rPr>
      </w:pPr>
      <w:r>
        <w:rPr>
          <w:color w:val="000000" w:themeColor="text1"/>
          <w:shd w:val="clear" w:color="auto" w:fill="FFFFFF"/>
        </w:rPr>
        <w:t>We ran 10,000 Monte Carlo simulations of Equation 3 for each city to estimate uncertainty intervals of our mortality estimates from changes in NDVI. We used estimates of error provided in the meta-analysis</w:t>
      </w:r>
      <w:r w:rsidR="006E755F">
        <w:rPr>
          <w:color w:val="000000" w:themeColor="text1"/>
          <w:shd w:val="clear" w:color="auto" w:fill="FFFFFF"/>
          <w:vertAlign w:val="superscript"/>
        </w:rPr>
        <w:t>9</w:t>
      </w:r>
      <w:r>
        <w:rPr>
          <w:color w:val="000000" w:themeColor="text1"/>
          <w:shd w:val="clear" w:color="auto" w:fill="FFFFFF"/>
        </w:rPr>
        <w:t xml:space="preserve"> and by the GBD study</w:t>
      </w:r>
      <w:r w:rsidR="006E755F">
        <w:rPr>
          <w:color w:val="000000" w:themeColor="text1"/>
          <w:shd w:val="clear" w:color="auto" w:fill="FFFFFF"/>
          <w:vertAlign w:val="superscript"/>
        </w:rPr>
        <w:t>34</w:t>
      </w:r>
      <w:r>
        <w:rPr>
          <w:color w:val="000000" w:themeColor="text1"/>
          <w:shd w:val="clear" w:color="auto" w:fill="FFFFFF"/>
        </w:rPr>
        <w:t xml:space="preserve"> to draw from normal distributions of the hazard ratio and baseline mortality estimates. For each simulation, the same draw of the hazard ratio was used for all cities. </w:t>
      </w:r>
    </w:p>
    <w:p w14:paraId="033A51E3" w14:textId="5B998C69" w:rsidR="005A1DF9" w:rsidRPr="005A1DF9" w:rsidRDefault="005A1DF9" w:rsidP="00825A98">
      <w:pPr>
        <w:rPr>
          <w:i/>
          <w:iCs/>
        </w:rPr>
      </w:pPr>
      <w:r>
        <w:rPr>
          <w:i/>
          <w:iCs/>
        </w:rPr>
        <w:t>Urban area groupings</w:t>
      </w:r>
    </w:p>
    <w:p w14:paraId="33D1D9C0" w14:textId="2CAC829E" w:rsidR="003C7B28" w:rsidRDefault="003C7B28" w:rsidP="00847BEB"/>
    <w:p w14:paraId="455ED61F" w14:textId="6D95C88F" w:rsidR="003C7B28" w:rsidRDefault="003C7B28" w:rsidP="00847BEB">
      <w:r>
        <w:t xml:space="preserve">We </w:t>
      </w:r>
      <w:r w:rsidR="00A625BD">
        <w:t xml:space="preserve">categorize cities by geographic region using the </w:t>
      </w:r>
      <w:r w:rsidR="00265E16">
        <w:t>United Nations Statistical Division</w:t>
      </w:r>
      <w:r>
        <w:t xml:space="preserve"> sub-regional </w:t>
      </w:r>
      <w:r w:rsidR="00AA5506">
        <w:t>definitions</w:t>
      </w:r>
      <w:r w:rsidR="00225861">
        <w:t xml:space="preserve"> (</w:t>
      </w:r>
      <w:r w:rsidR="00AC0A44">
        <w:t>Fig. S</w:t>
      </w:r>
      <w:r w:rsidR="00736C52">
        <w:t>1</w:t>
      </w:r>
      <w:r w:rsidR="00225861">
        <w:t>)</w:t>
      </w:r>
      <w:r w:rsidR="00265E16">
        <w:fldChar w:fldCharType="begin"/>
      </w:r>
      <w:r w:rsidR="00C92231">
        <w:instrText xml:space="preserve"> ADDIN ZOTERO_ITEM CSL_CITATION {"citationID":"RvaAKQDF","properties":{"formattedCitation":"\\super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fldChar w:fldCharType="separate"/>
      </w:r>
      <w:r w:rsidR="00C92231" w:rsidRPr="00C92231">
        <w:rPr>
          <w:vertAlign w:val="superscript"/>
        </w:rPr>
        <w:t>38</w:t>
      </w:r>
      <w:r w:rsidR="00265E16">
        <w:fldChar w:fldCharType="end"/>
      </w:r>
      <w:r w:rsidR="00225861">
        <w:t xml:space="preserve"> </w:t>
      </w:r>
      <w:r w:rsidR="00A625BD">
        <w:t xml:space="preserve">and </w:t>
      </w:r>
      <w:r w:rsidR="003E788D">
        <w:t xml:space="preserve">by </w:t>
      </w:r>
      <w:r w:rsidR="00E63731">
        <w:t xml:space="preserve">climate region </w:t>
      </w:r>
      <w:r w:rsidR="00A625BD">
        <w:t xml:space="preserve">using </w:t>
      </w:r>
      <w:r w:rsidR="00E63731">
        <w:t>the</w:t>
      </w:r>
      <w:r>
        <w:t xml:space="preserve"> </w:t>
      </w:r>
      <w:proofErr w:type="spellStart"/>
      <w:r w:rsidR="0019782A" w:rsidRPr="001F69F2">
        <w:t>Köppen</w:t>
      </w:r>
      <w:proofErr w:type="spellEnd"/>
      <w:r w:rsidR="00E63731">
        <w:t>-Geiger</w:t>
      </w:r>
      <w:r w:rsidR="0019782A" w:rsidRPr="001F69F2">
        <w:t xml:space="preserve"> Climate Classification System</w:t>
      </w:r>
      <w:r w:rsidR="004C2D43">
        <w:t xml:space="preserve"> (</w:t>
      </w:r>
      <w:r w:rsidR="00AC0A44">
        <w:t>Fig. S</w:t>
      </w:r>
      <w:r w:rsidR="00736C52">
        <w:t>2</w:t>
      </w:r>
      <w:r w:rsidR="004C2D43">
        <w:t>)</w:t>
      </w:r>
      <w:r>
        <w:t>.</w:t>
      </w:r>
      <w:r w:rsidR="004C2D43">
        <w:fldChar w:fldCharType="begin"/>
      </w:r>
      <w:r w:rsidR="00C92231">
        <w:instrText xml:space="preserve"> ADDIN ZOTERO_ITEM CSL_CITATION {"citationID":"STzXovLg","properties":{"formattedCitation":"\\super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fldChar w:fldCharType="separate"/>
      </w:r>
      <w:r w:rsidR="00C92231" w:rsidRPr="00C92231">
        <w:rPr>
          <w:vertAlign w:val="superscript"/>
        </w:rPr>
        <w:t>39</w:t>
      </w:r>
      <w:r w:rsidR="004C2D43">
        <w:fldChar w:fldCharType="end"/>
      </w:r>
      <w:r>
        <w:t xml:space="preserve"> </w:t>
      </w:r>
      <w:r w:rsidR="00E95922">
        <w:t>The sub-regional definitions break continental regions into smaller groups and are used by the United Nations in publications.</w:t>
      </w:r>
      <w:r w:rsidR="00E95922">
        <w:fldChar w:fldCharType="begin"/>
      </w:r>
      <w:r w:rsidR="00C92231">
        <w:instrText xml:space="preserve"> ADDIN ZOTERO_ITEM CSL_CITATION {"citationID":"JPlTTysR","properties":{"formattedCitation":"\\super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fldChar w:fldCharType="separate"/>
      </w:r>
      <w:r w:rsidR="00C92231" w:rsidRPr="00C92231">
        <w:rPr>
          <w:vertAlign w:val="superscript"/>
        </w:rPr>
        <w:t>38</w:t>
      </w:r>
      <w:r w:rsidR="00E95922">
        <w:fldChar w:fldCharType="end"/>
      </w:r>
      <w:r w:rsidR="00E95922">
        <w:t xml:space="preserve"> The </w:t>
      </w:r>
      <w:proofErr w:type="spellStart"/>
      <w:r w:rsidR="00E95922" w:rsidRPr="001F69F2">
        <w:t>Köppen</w:t>
      </w:r>
      <w:proofErr w:type="spellEnd"/>
      <w:r w:rsidR="00E95922">
        <w:t>-Geiger</w:t>
      </w:r>
      <w:r w:rsidR="00E95922" w:rsidRPr="001F69F2">
        <w:t xml:space="preserve"> Climate Classification System</w:t>
      </w:r>
      <w:r w:rsidR="00213180">
        <w:t xml:space="preserve"> divides the climate into five broad categories based on monthly precipitation and temperature and has been used to understand global vegetation patterns.</w:t>
      </w:r>
      <w:r w:rsidR="00213180">
        <w:fldChar w:fldCharType="begin"/>
      </w:r>
      <w:r w:rsidR="00C92231">
        <w:instrText xml:space="preserve"> ADDIN ZOTERO_ITEM CSL_CITATION {"citationID":"TX8V9wGh","properties":{"formattedCitation":"\\super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fldChar w:fldCharType="separate"/>
      </w:r>
      <w:r w:rsidR="00C92231" w:rsidRPr="00C92231">
        <w:rPr>
          <w:vertAlign w:val="superscript"/>
        </w:rPr>
        <w:t>39</w:t>
      </w:r>
      <w:r w:rsidR="00213180">
        <w:fldChar w:fldCharType="end"/>
      </w:r>
    </w:p>
    <w:p w14:paraId="50382E95" w14:textId="5747DD39" w:rsidR="000B6E75" w:rsidRPr="00E150CA" w:rsidRDefault="000B6E75" w:rsidP="00551D54"/>
    <w:p w14:paraId="287F2031" w14:textId="171B281F" w:rsidR="00551D54" w:rsidRDefault="00551D54" w:rsidP="00551D54">
      <w:pPr>
        <w:rPr>
          <w:b/>
          <w:bCs/>
        </w:rPr>
      </w:pPr>
      <w:r w:rsidRPr="00E150CA">
        <w:rPr>
          <w:b/>
          <w:bCs/>
        </w:rPr>
        <w:t>Results</w:t>
      </w:r>
    </w:p>
    <w:p w14:paraId="383955B0" w14:textId="07DEE5FC" w:rsidR="000C6A15" w:rsidRDefault="000C6A15" w:rsidP="00551D54">
      <w:pPr>
        <w:rPr>
          <w:b/>
          <w:bCs/>
        </w:rPr>
      </w:pPr>
    </w:p>
    <w:p w14:paraId="435EF839" w14:textId="6A867BCF" w:rsidR="00083DB1" w:rsidRDefault="000C6A15" w:rsidP="00551D54">
      <w:r w:rsidRPr="001D035D">
        <w:t xml:space="preserve">Globally, the annual average population-weighted greenest season NDVI has remained </w:t>
      </w:r>
      <w:r w:rsidR="001470F7" w:rsidRPr="001D035D">
        <w:t>relatively</w:t>
      </w:r>
      <w:r w:rsidRPr="001D035D">
        <w:t xml:space="preserve"> consistent over the past decade</w:t>
      </w:r>
      <w:r w:rsidR="006B4603">
        <w:t xml:space="preserve"> (Fig. 1)</w:t>
      </w:r>
      <w:r w:rsidRPr="001D035D">
        <w:t xml:space="preserve">. </w:t>
      </w:r>
      <w:r w:rsidR="006B4603">
        <w:t xml:space="preserve">The lowest global average in this period was </w:t>
      </w:r>
      <w:r w:rsidRPr="001D035D">
        <w:t xml:space="preserve">0.276 </w:t>
      </w:r>
      <w:r w:rsidR="006B4603">
        <w:t>(years 2018 and 2023) and the highest was</w:t>
      </w:r>
      <w:r w:rsidRPr="001D035D">
        <w:t xml:space="preserve"> 0.281</w:t>
      </w:r>
      <w:r w:rsidR="006B4603">
        <w:t>(years 2014 and 2015).</w:t>
      </w:r>
      <w:r w:rsidR="00E72C97">
        <w:t xml:space="preserve"> The </w:t>
      </w:r>
      <w:r w:rsidR="00410AAC">
        <w:t xml:space="preserve">average </w:t>
      </w:r>
      <w:r w:rsidR="0037357F">
        <w:t xml:space="preserve">range in annual </w:t>
      </w:r>
      <w:r w:rsidR="00E72C97">
        <w:t>NDVI</w:t>
      </w:r>
      <w:r w:rsidR="0037357F">
        <w:t xml:space="preserve"> over the past decade</w:t>
      </w:r>
      <w:r w:rsidR="00E72C97">
        <w:t xml:space="preserve"> across all cities was </w:t>
      </w:r>
      <w:r w:rsidR="0090348C">
        <w:t>0</w:t>
      </w:r>
      <w:r w:rsidR="00E72C97">
        <w:t>.05</w:t>
      </w:r>
      <w:r w:rsidR="00410AAC">
        <w:t>6</w:t>
      </w:r>
      <w:r w:rsidR="0037357F">
        <w:t>. S</w:t>
      </w:r>
      <w:r w:rsidR="00E72C97">
        <w:t>ome cities</w:t>
      </w:r>
      <w:r w:rsidR="0037357F">
        <w:t>’ NDVI</w:t>
      </w:r>
      <w:r w:rsidR="00E72C97">
        <w:t xml:space="preserve"> </w:t>
      </w:r>
      <w:r w:rsidR="0037357F">
        <w:t>ranged</w:t>
      </w:r>
      <w:r w:rsidR="00E72C97">
        <w:t xml:space="preserve"> less than </w:t>
      </w:r>
      <w:r w:rsidR="0090348C">
        <w:t>0</w:t>
      </w:r>
      <w:r w:rsidR="00E72C97">
        <w:t xml:space="preserve">.01 over the </w:t>
      </w:r>
      <w:r w:rsidR="0037357F">
        <w:t>last ten years</w:t>
      </w:r>
      <w:r w:rsidR="00E72C97">
        <w:t xml:space="preserve">, </w:t>
      </w:r>
      <w:r w:rsidR="0037357F">
        <w:t>while</w:t>
      </w:r>
      <w:r w:rsidR="00E72C97">
        <w:t xml:space="preserve"> others experienc</w:t>
      </w:r>
      <w:r w:rsidR="0037357F">
        <w:t>ed</w:t>
      </w:r>
      <w:r w:rsidR="00E72C97">
        <w:t xml:space="preserve"> swings of </w:t>
      </w:r>
      <w:r w:rsidR="00410AAC">
        <w:t>over 0.2</w:t>
      </w:r>
      <w:r w:rsidR="00E72C97">
        <w:t xml:space="preserve">. </w:t>
      </w:r>
      <w:r w:rsidR="005548B0">
        <w:t xml:space="preserve">Regionally, </w:t>
      </w:r>
      <w:r w:rsidR="00436152">
        <w:t xml:space="preserve">cities in </w:t>
      </w:r>
      <w:r w:rsidR="005548B0">
        <w:t>Sub-Saharan Africa</w:t>
      </w:r>
      <w:r w:rsidR="00F75F1A">
        <w:t xml:space="preserve">, Eastern Asia, </w:t>
      </w:r>
      <w:r w:rsidR="005548B0">
        <w:t xml:space="preserve">and Southern Asia </w:t>
      </w:r>
      <w:r w:rsidR="00626371">
        <w:t>had larger inter-annual variation, with a</w:t>
      </w:r>
      <w:r w:rsidR="00410AAC">
        <w:t xml:space="preserve">n average </w:t>
      </w:r>
      <w:r w:rsidR="00A00688">
        <w:t>decadal range in</w:t>
      </w:r>
      <w:r w:rsidR="00E72C97">
        <w:t xml:space="preserve"> </w:t>
      </w:r>
      <w:r w:rsidR="00626371">
        <w:t xml:space="preserve">NDVI of </w:t>
      </w:r>
      <w:r w:rsidR="00410AAC">
        <w:t>~</w:t>
      </w:r>
      <w:r w:rsidR="00626371">
        <w:t>0.07</w:t>
      </w:r>
      <w:r w:rsidR="005548B0">
        <w:t xml:space="preserve">, while </w:t>
      </w:r>
      <w:r w:rsidR="00436152">
        <w:t xml:space="preserve">cities in </w:t>
      </w:r>
      <w:r w:rsidR="005548B0">
        <w:t>Northern Africa</w:t>
      </w:r>
      <w:r w:rsidR="00F75F1A">
        <w:t xml:space="preserve"> and Central Asia </w:t>
      </w:r>
      <w:r w:rsidR="00626371">
        <w:t xml:space="preserve">generally </w:t>
      </w:r>
      <w:r w:rsidR="005548B0">
        <w:t>show a flatter trend</w:t>
      </w:r>
      <w:r w:rsidR="00337DBF">
        <w:t xml:space="preserve"> (</w:t>
      </w:r>
      <w:r w:rsidR="00A00688">
        <w:t>range in 10-year annual NDVI</w:t>
      </w:r>
      <w:r w:rsidR="00337DBF">
        <w:t xml:space="preserve">: </w:t>
      </w:r>
      <w:r w:rsidR="00410AAC">
        <w:t>~</w:t>
      </w:r>
      <w:r w:rsidR="00337DBF">
        <w:t>0.0</w:t>
      </w:r>
      <w:r w:rsidR="00410AAC">
        <w:t>3</w:t>
      </w:r>
      <w:r w:rsidR="00337DBF">
        <w:t>)</w:t>
      </w:r>
      <w:r w:rsidR="005548B0">
        <w:t xml:space="preserve">. </w:t>
      </w:r>
      <w:r w:rsidR="00626371">
        <w:t>NDVI has remained comparatively stable in arid cities, with a</w:t>
      </w:r>
      <w:r w:rsidR="002E5555">
        <w:t xml:space="preserve">n average </w:t>
      </w:r>
      <w:r w:rsidR="00626371">
        <w:t xml:space="preserve">city 10-year </w:t>
      </w:r>
      <w:r w:rsidR="00A00688">
        <w:t>range</w:t>
      </w:r>
      <w:r w:rsidR="00626371">
        <w:t xml:space="preserve"> of 0.03</w:t>
      </w:r>
      <w:r w:rsidR="002E5555">
        <w:t>7</w:t>
      </w:r>
      <w:r w:rsidR="00626371">
        <w:t xml:space="preserve">, about half that of cities in other climate zones. </w:t>
      </w:r>
      <w:r w:rsidR="00674F78">
        <w:t>All climate classifications and roughly half the geographic</w:t>
      </w:r>
      <w:r w:rsidR="00436152">
        <w:t xml:space="preserve"> regions </w:t>
      </w:r>
      <w:r w:rsidR="00674F78">
        <w:t>had</w:t>
      </w:r>
      <w:r w:rsidR="00436152">
        <w:t xml:space="preserve"> individual cities </w:t>
      </w:r>
      <w:r w:rsidR="00674F78">
        <w:t>with changes in NDVI of over 0.1 from 2014-2023</w:t>
      </w:r>
      <w:r w:rsidR="00E13389">
        <w:t xml:space="preserve"> (Fig. S3)</w:t>
      </w:r>
      <w:r w:rsidR="00436152">
        <w:t xml:space="preserve">. </w:t>
      </w:r>
      <w:r w:rsidR="00182372">
        <w:t xml:space="preserve">Considering the percent change in </w:t>
      </w:r>
      <w:r w:rsidR="00753D42">
        <w:t xml:space="preserve">annual average </w:t>
      </w:r>
      <w:r w:rsidR="00182372">
        <w:t>peak season NDVI</w:t>
      </w:r>
      <w:r w:rsidR="00753D42">
        <w:t xml:space="preserve"> </w:t>
      </w:r>
      <w:r w:rsidR="00182372">
        <w:t>(Fig. S</w:t>
      </w:r>
      <w:r w:rsidR="00E13389">
        <w:t>4</w:t>
      </w:r>
      <w:r w:rsidR="00182372">
        <w:t xml:space="preserve">), </w:t>
      </w:r>
      <w:r w:rsidR="0075333B">
        <w:t xml:space="preserve">the greenest year </w:t>
      </w:r>
      <w:r w:rsidR="004F5C41">
        <w:t xml:space="preserve">of the past decade </w:t>
      </w:r>
      <w:r w:rsidR="0075333B">
        <w:t xml:space="preserve">was over 20% higher than the least green </w:t>
      </w:r>
      <w:r w:rsidR="00EC38D2">
        <w:t xml:space="preserve">year </w:t>
      </w:r>
      <w:r w:rsidR="0075333B">
        <w:t xml:space="preserve">in </w:t>
      </w:r>
      <w:r w:rsidR="004F5C41">
        <w:t>roughly</w:t>
      </w:r>
      <w:r w:rsidR="00753D42">
        <w:t xml:space="preserve"> half of all</w:t>
      </w:r>
      <w:r w:rsidR="00182372">
        <w:t xml:space="preserve"> cities. </w:t>
      </w:r>
    </w:p>
    <w:p w14:paraId="601605CB" w14:textId="098F6B86" w:rsidR="00222625" w:rsidRPr="00E150CA" w:rsidRDefault="005B2413" w:rsidP="00551D54">
      <w:pPr>
        <w:rPr>
          <w:b/>
          <w:bCs/>
        </w:rPr>
      </w:pPr>
      <w:r>
        <w:rPr>
          <w:b/>
          <w:bCs/>
          <w:noProof/>
        </w:rPr>
        <w:lastRenderedPageBreak/>
        <w:drawing>
          <wp:inline distT="0" distB="0" distL="0" distR="0" wp14:anchorId="224EE600" wp14:editId="0C1AC2EA">
            <wp:extent cx="5943600" cy="5943600"/>
            <wp:effectExtent l="0" t="0" r="0" b="0"/>
            <wp:docPr id="1182155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5818" name="Picture 1182155818"/>
                    <pic:cNvPicPr/>
                  </pic:nvPicPr>
                  <pic:blipFill>
                    <a:blip r:embed="rId9"/>
                    <a:stretch>
                      <a:fillRect/>
                    </a:stretch>
                  </pic:blipFill>
                  <pic:spPr>
                    <a:xfrm>
                      <a:off x="0" y="0"/>
                      <a:ext cx="5943600" cy="5943600"/>
                    </a:xfrm>
                    <a:prstGeom prst="rect">
                      <a:avLst/>
                    </a:prstGeom>
                  </pic:spPr>
                </pic:pic>
              </a:graphicData>
            </a:graphic>
          </wp:inline>
        </w:drawing>
      </w:r>
    </w:p>
    <w:p w14:paraId="3CBD27E3" w14:textId="4001A495" w:rsidR="0047751C" w:rsidRDefault="00083DB1" w:rsidP="00551D54">
      <w:r w:rsidRPr="0092228D">
        <w:rPr>
          <w:b/>
          <w:bCs/>
          <w:i/>
          <w:iCs/>
        </w:rPr>
        <w:t>Fig</w:t>
      </w:r>
      <w:r>
        <w:rPr>
          <w:b/>
          <w:bCs/>
          <w:i/>
          <w:iCs/>
        </w:rPr>
        <w:t>ure</w:t>
      </w:r>
      <w:r w:rsidRPr="0092228D">
        <w:rPr>
          <w:b/>
          <w:bCs/>
          <w:i/>
          <w:iCs/>
        </w:rPr>
        <w:t xml:space="preserve"> 1.</w:t>
      </w:r>
      <w:r>
        <w:rPr>
          <w:i/>
          <w:iCs/>
        </w:rPr>
        <w:t xml:space="preserve"> Population-weighted greenest season average </w:t>
      </w:r>
      <w:r w:rsidR="00597DB0">
        <w:rPr>
          <w:i/>
          <w:iCs/>
        </w:rPr>
        <w:t xml:space="preserve">Normalized </w:t>
      </w:r>
      <w:r>
        <w:rPr>
          <w:i/>
          <w:iCs/>
        </w:rPr>
        <w:t>D</w:t>
      </w:r>
      <w:r w:rsidR="00597DB0">
        <w:rPr>
          <w:i/>
          <w:iCs/>
        </w:rPr>
        <w:t xml:space="preserve">ifference </w:t>
      </w:r>
      <w:r>
        <w:rPr>
          <w:i/>
          <w:iCs/>
        </w:rPr>
        <w:t>V</w:t>
      </w:r>
      <w:r w:rsidR="00597DB0">
        <w:rPr>
          <w:i/>
          <w:iCs/>
        </w:rPr>
        <w:t xml:space="preserve">egetation </w:t>
      </w:r>
      <w:r>
        <w:rPr>
          <w:i/>
          <w:iCs/>
        </w:rPr>
        <w:t>I</w:t>
      </w:r>
      <w:r w:rsidR="00597DB0">
        <w:rPr>
          <w:i/>
          <w:iCs/>
        </w:rPr>
        <w:t>ndex (NDVI)</w:t>
      </w:r>
      <w:r>
        <w:rPr>
          <w:i/>
          <w:iCs/>
        </w:rPr>
        <w:t xml:space="preserve"> from 2014-2023 by geographic region</w:t>
      </w:r>
      <w:r w:rsidR="00141B44">
        <w:rPr>
          <w:i/>
          <w:iCs/>
        </w:rPr>
        <w:t xml:space="preserve"> (panel A) and climate classification (panel B)</w:t>
      </w:r>
      <w:r>
        <w:rPr>
          <w:i/>
          <w:iCs/>
        </w:rPr>
        <w:t>.</w:t>
      </w:r>
      <w:r w:rsidR="005B2413">
        <w:rPr>
          <w:i/>
          <w:iCs/>
        </w:rPr>
        <w:t xml:space="preserve"> The 1,041</w:t>
      </w:r>
      <w:r w:rsidR="009D6EF8">
        <w:rPr>
          <w:i/>
          <w:iCs/>
        </w:rPr>
        <w:t>-</w:t>
      </w:r>
      <w:r w:rsidR="005B2413">
        <w:rPr>
          <w:i/>
          <w:iCs/>
        </w:rPr>
        <w:t>city average is shown with the black dashed line.</w:t>
      </w:r>
      <w:r>
        <w:rPr>
          <w:i/>
          <w:iCs/>
        </w:rPr>
        <w:t xml:space="preserve"> </w:t>
      </w:r>
      <w:r w:rsidR="00141B44">
        <w:rPr>
          <w:i/>
          <w:iCs/>
        </w:rPr>
        <w:t>The polar climate classification was removed from panel B, because only one city from this climate zone is included in the analysis (El Alto, Bolivia).</w:t>
      </w:r>
    </w:p>
    <w:p w14:paraId="66BC6136" w14:textId="2E48617C" w:rsidR="00083DB1" w:rsidRDefault="00083DB1" w:rsidP="00551D54"/>
    <w:p w14:paraId="2F87ED76" w14:textId="00CED23F" w:rsidR="00560272" w:rsidRDefault="00F533A8" w:rsidP="00551D54">
      <w:r>
        <w:t>The average</w:t>
      </w:r>
      <w:r w:rsidR="00744A00">
        <w:t xml:space="preserve"> population-weighted peak</w:t>
      </w:r>
      <w:r w:rsidR="00505E9F">
        <w:t xml:space="preserve"> season</w:t>
      </w:r>
      <w:r>
        <w:t xml:space="preserve"> NDVI varies greatly across global c</w:t>
      </w:r>
      <w:r w:rsidR="00933741">
        <w:t>ities (Fig</w:t>
      </w:r>
      <w:r w:rsidR="00992BCB">
        <w:t>.</w:t>
      </w:r>
      <w:r w:rsidR="00933741">
        <w:t xml:space="preserve"> </w:t>
      </w:r>
      <w:r w:rsidR="006C67EB">
        <w:t>2</w:t>
      </w:r>
      <w:r w:rsidR="00933741">
        <w:t>). In the most recent 5-year period, the global average greenest season NDVI was 0.270, ranging from 0.07</w:t>
      </w:r>
      <w:r w:rsidR="00D2161E">
        <w:t>2</w:t>
      </w:r>
      <w:r w:rsidR="00933741">
        <w:t xml:space="preserve"> to 0.58</w:t>
      </w:r>
      <w:r w:rsidR="00D2161E">
        <w:t>0</w:t>
      </w:r>
      <w:r w:rsidR="00362015">
        <w:t xml:space="preserve"> across cities</w:t>
      </w:r>
      <w:r w:rsidR="00933741">
        <w:t xml:space="preserve">. </w:t>
      </w:r>
      <w:r w:rsidR="00B86455">
        <w:t>Peak season NDVI is correlated with geographic region (Fig. S</w:t>
      </w:r>
      <w:r w:rsidR="00E13389">
        <w:t>5</w:t>
      </w:r>
      <w:r w:rsidR="00B86455">
        <w:t xml:space="preserve">) and </w:t>
      </w:r>
      <w:proofErr w:type="spellStart"/>
      <w:r w:rsidR="00B86455">
        <w:t>Köppen</w:t>
      </w:r>
      <w:proofErr w:type="spellEnd"/>
      <w:r w:rsidR="00B86455">
        <w:t>-Geiger climate classification (Fig. S</w:t>
      </w:r>
      <w:r w:rsidR="00E13389">
        <w:t>6</w:t>
      </w:r>
      <w:r w:rsidR="00B86455">
        <w:t>). Peak-season 2019-2023 NDVI was highest on average in Melanesia (0.417), North America (0.384), and</w:t>
      </w:r>
      <w:r w:rsidR="00560272">
        <w:t xml:space="preserve"> most of</w:t>
      </w:r>
      <w:r w:rsidR="00B86455">
        <w:t xml:space="preserve"> Europe including Eastern (0.354), Northern (0.350), and Western (0.346) Europe.</w:t>
      </w:r>
      <w:r w:rsidR="00BA124C">
        <w:t xml:space="preserve"> </w:t>
      </w:r>
      <w:r w:rsidR="00A04320">
        <w:t xml:space="preserve">Western Asia and North Africa were the least green, </w:t>
      </w:r>
      <w:r w:rsidR="00736C52">
        <w:t xml:space="preserve">with NDVI </w:t>
      </w:r>
      <w:r w:rsidR="00A04320">
        <w:t xml:space="preserve">averages of 0.149 and 0.175 across their cities, respectively. </w:t>
      </w:r>
      <w:r w:rsidR="00560272">
        <w:t xml:space="preserve">In </w:t>
      </w:r>
      <w:r w:rsidR="00560272">
        <w:lastRenderedPageBreak/>
        <w:t>terms of climate classification</w:t>
      </w:r>
      <w:r w:rsidR="00A40822">
        <w:t>, t</w:t>
      </w:r>
      <w:r w:rsidR="00202B9E">
        <w:t>he average greenest</w:t>
      </w:r>
      <w:r w:rsidR="000011F2">
        <w:t xml:space="preserve"> </w:t>
      </w:r>
      <w:r w:rsidR="00202B9E">
        <w:t xml:space="preserve">season NDVI for 2019-2023 was 0.193 in arid, 0.281 in temperate, 0.319 in tropical, and 0.327 </w:t>
      </w:r>
      <w:r w:rsidR="004E6D40">
        <w:t>across</w:t>
      </w:r>
      <w:r w:rsidR="00202B9E">
        <w:t xml:space="preserve"> continental cities.</w:t>
      </w:r>
      <w:r w:rsidR="0087108D">
        <w:t xml:space="preserve"> </w:t>
      </w:r>
    </w:p>
    <w:p w14:paraId="28B46418" w14:textId="5FD430AE" w:rsidR="00560272" w:rsidRDefault="00560272" w:rsidP="00551D54"/>
    <w:p w14:paraId="05C2EE37" w14:textId="00954451" w:rsidR="00A43575" w:rsidRDefault="00A43575" w:rsidP="00551D54">
      <w:r>
        <w:t>Globally, the five-year greenest season average NDVI decreased slightly from 0.279 in 2014-2018 to 0.270 in 2019 to 2023</w:t>
      </w:r>
      <w:r w:rsidR="00D11EF4">
        <w:t>, with an average city-level percent change of -0.46%</w:t>
      </w:r>
      <w:r w:rsidR="006C67EB">
        <w:t xml:space="preserve">. </w:t>
      </w:r>
      <w:r w:rsidR="00560272">
        <w:t>However, th</w:t>
      </w:r>
      <w:r w:rsidR="006C67EB">
        <w:t>is</w:t>
      </w:r>
      <w:r w:rsidR="005F46DB">
        <w:t xml:space="preserve"> </w:t>
      </w:r>
      <w:r w:rsidR="00560272">
        <w:t>relatively small global change mask</w:t>
      </w:r>
      <w:r w:rsidR="006C67EB">
        <w:t>s</w:t>
      </w:r>
      <w:r w:rsidR="00560272">
        <w:t xml:space="preserve"> large differences across individual cities. </w:t>
      </w:r>
      <w:r w:rsidR="005F46DB">
        <w:t>T</w:t>
      </w:r>
      <w:r>
        <w:t xml:space="preserve">he percent change </w:t>
      </w:r>
      <w:r w:rsidR="005F46DB">
        <w:t xml:space="preserve">between these two periods ranged from </w:t>
      </w:r>
      <w:r>
        <w:t>-22.29% to 29.38%</w:t>
      </w:r>
      <w:r w:rsidR="005F46DB">
        <w:t xml:space="preserve"> across the 1,041 cities</w:t>
      </w:r>
      <w:r>
        <w:t>.</w:t>
      </w:r>
      <w:r w:rsidR="00E83875">
        <w:t xml:space="preserve"> </w:t>
      </w:r>
    </w:p>
    <w:p w14:paraId="50D6EB31" w14:textId="796A8BA6" w:rsidR="00ED662B" w:rsidRDefault="00ED662B" w:rsidP="00551D54"/>
    <w:p w14:paraId="04BD5B0C" w14:textId="4B6EB4B0" w:rsidR="00ED662B" w:rsidRDefault="00BF7C36" w:rsidP="00551D54">
      <w:r>
        <w:rPr>
          <w:noProof/>
        </w:rPr>
        <w:drawing>
          <wp:anchor distT="0" distB="0" distL="114300" distR="114300" simplePos="0" relativeHeight="251680768" behindDoc="1" locked="0" layoutInCell="1" allowOverlap="1" wp14:anchorId="119A7A3A" wp14:editId="1D0A4D72">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5138" y="21323"/>
                <wp:lineTo x="20631" y="21138"/>
                <wp:lineTo x="20585" y="14769"/>
                <wp:lineTo x="21415" y="14031"/>
                <wp:lineTo x="21508" y="92"/>
                <wp:lineTo x="415" y="0"/>
                <wp:lineTo x="138" y="0"/>
              </wp:wrapPolygon>
            </wp:wrapTight>
            <wp:docPr id="200678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1520" name="Picture 2006781520"/>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CC64F68" w14:textId="6F5346CB" w:rsidR="00ED662B" w:rsidRPr="00ED662B" w:rsidRDefault="00ED662B" w:rsidP="00ED662B">
      <w:pPr>
        <w:rPr>
          <w:b/>
          <w:bCs/>
          <w:i/>
          <w:iCs/>
        </w:rPr>
      </w:pPr>
      <w:r w:rsidRPr="00ED662B">
        <w:rPr>
          <w:b/>
          <w:bCs/>
          <w:i/>
          <w:iCs/>
        </w:rPr>
        <w:t xml:space="preserve">Figure </w:t>
      </w:r>
      <w:r w:rsidR="00015676">
        <w:rPr>
          <w:b/>
          <w:bCs/>
          <w:i/>
          <w:iCs/>
        </w:rPr>
        <w:t>2</w:t>
      </w:r>
      <w:r w:rsidRPr="00ED662B">
        <w:rPr>
          <w:b/>
          <w:bCs/>
          <w:i/>
          <w:iCs/>
        </w:rPr>
        <w:t xml:space="preserve">. </w:t>
      </w:r>
      <w:r w:rsidR="00D05A94">
        <w:rPr>
          <w:i/>
          <w:iCs/>
        </w:rPr>
        <w:t>Average p</w:t>
      </w:r>
      <w:r w:rsidRPr="00ED662B">
        <w:rPr>
          <w:i/>
          <w:iCs/>
        </w:rPr>
        <w:t xml:space="preserve">opulation-weighted </w:t>
      </w:r>
      <w:r w:rsidR="00DE5536">
        <w:rPr>
          <w:i/>
          <w:iCs/>
        </w:rPr>
        <w:t>greenest season</w:t>
      </w:r>
      <w:r w:rsidRPr="00ED662B">
        <w:rPr>
          <w:i/>
          <w:iCs/>
        </w:rPr>
        <w:t xml:space="preserve"> N</w:t>
      </w:r>
      <w:r w:rsidR="00670F3D">
        <w:rPr>
          <w:i/>
          <w:iCs/>
        </w:rPr>
        <w:t xml:space="preserve">ormalized </w:t>
      </w:r>
      <w:r w:rsidRPr="00ED662B">
        <w:rPr>
          <w:i/>
          <w:iCs/>
        </w:rPr>
        <w:t>D</w:t>
      </w:r>
      <w:r w:rsidR="00670F3D">
        <w:rPr>
          <w:i/>
          <w:iCs/>
        </w:rPr>
        <w:t xml:space="preserve">ifference </w:t>
      </w:r>
      <w:r w:rsidR="00670F3D" w:rsidRPr="00ED662B">
        <w:rPr>
          <w:i/>
          <w:iCs/>
        </w:rPr>
        <w:t>V</w:t>
      </w:r>
      <w:r w:rsidR="00670F3D">
        <w:rPr>
          <w:i/>
          <w:iCs/>
        </w:rPr>
        <w:t xml:space="preserve">egetation </w:t>
      </w:r>
      <w:r w:rsidRPr="00ED662B">
        <w:rPr>
          <w:i/>
          <w:iCs/>
        </w:rPr>
        <w:t>I</w:t>
      </w:r>
      <w:r w:rsidR="00670F3D">
        <w:rPr>
          <w:i/>
          <w:iCs/>
        </w:rPr>
        <w:t>ndex</w:t>
      </w:r>
      <w:r w:rsidR="00DE5536">
        <w:rPr>
          <w:i/>
          <w:iCs/>
        </w:rPr>
        <w:t xml:space="preserve"> </w:t>
      </w:r>
      <w:r w:rsidR="000D7E31">
        <w:rPr>
          <w:i/>
          <w:iCs/>
        </w:rPr>
        <w:t xml:space="preserve">(NDVI) </w:t>
      </w:r>
      <w:r w:rsidR="00DE5536">
        <w:rPr>
          <w:i/>
          <w:iCs/>
        </w:rPr>
        <w:t>for 2014-2018</w:t>
      </w:r>
      <w:r w:rsidR="00EE198F">
        <w:rPr>
          <w:i/>
          <w:iCs/>
        </w:rPr>
        <w:t xml:space="preserve"> (panel A)</w:t>
      </w:r>
      <w:r w:rsidR="00DE5536">
        <w:rPr>
          <w:i/>
          <w:iCs/>
        </w:rPr>
        <w:t xml:space="preserve"> and 2019-2023 </w:t>
      </w:r>
      <w:r w:rsidR="00EE198F">
        <w:rPr>
          <w:i/>
          <w:iCs/>
        </w:rPr>
        <w:t xml:space="preserve">(panel B) </w:t>
      </w:r>
      <w:r w:rsidR="00DE5536">
        <w:rPr>
          <w:i/>
          <w:iCs/>
        </w:rPr>
        <w:t>and the percent change between the two time periods</w:t>
      </w:r>
      <w:r w:rsidR="00EE198F">
        <w:rPr>
          <w:i/>
          <w:iCs/>
        </w:rPr>
        <w:t xml:space="preserve"> (panel C)</w:t>
      </w:r>
      <w:r w:rsidR="00575730">
        <w:rPr>
          <w:i/>
          <w:iCs/>
        </w:rPr>
        <w:t xml:space="preserve"> for 1,041 cities globally</w:t>
      </w:r>
      <w:r w:rsidR="00DE5536">
        <w:rPr>
          <w:i/>
          <w:iCs/>
        </w:rPr>
        <w:t>.</w:t>
      </w:r>
      <w:r w:rsidR="00EE198F">
        <w:rPr>
          <w:i/>
          <w:iCs/>
        </w:rPr>
        <w:t xml:space="preserve"> </w:t>
      </w:r>
    </w:p>
    <w:p w14:paraId="4D355332" w14:textId="68CFC6C4" w:rsidR="006C67EB" w:rsidRDefault="006C67EB" w:rsidP="003771C7"/>
    <w:p w14:paraId="1E45EFD8" w14:textId="24FCF47F" w:rsidR="006C67EB" w:rsidRDefault="006C67EB" w:rsidP="003771C7">
      <w:r>
        <w:t xml:space="preserve">Regional </w:t>
      </w:r>
      <w:r w:rsidR="000D7E31">
        <w:t xml:space="preserve">NDVI </w:t>
      </w:r>
      <w:r>
        <w:t>average</w:t>
      </w:r>
      <w:r w:rsidR="00A47D59">
        <w:t xml:space="preserve">s </w:t>
      </w:r>
      <w:r>
        <w:t>across the two 5-year periods were relatively stable</w:t>
      </w:r>
      <w:r w:rsidR="00402760">
        <w:t xml:space="preserve"> (Fig 3A)</w:t>
      </w:r>
      <w:r>
        <w:t xml:space="preserve">. </w:t>
      </w:r>
      <w:r w:rsidR="00C10E7C">
        <w:t xml:space="preserve">The median regional </w:t>
      </w:r>
      <w:r>
        <w:t>NDVI changed by more than 0.01 in only four geographic regions: Melanesia (-0.01</w:t>
      </w:r>
      <w:r w:rsidR="00C10E7C">
        <w:t>8</w:t>
      </w:r>
      <w:r>
        <w:t>), South-eastern Asia (-0.0</w:t>
      </w:r>
      <w:r w:rsidR="00C10E7C">
        <w:t>22</w:t>
      </w:r>
      <w:r>
        <w:t>), Sub-Saharan Africa (-0.01</w:t>
      </w:r>
      <w:r w:rsidR="00C10E7C">
        <w:t>0</w:t>
      </w:r>
      <w:r>
        <w:t xml:space="preserve">) and Eastern Asia (+0.014). </w:t>
      </w:r>
      <w:r w:rsidR="00C10E7C">
        <w:t xml:space="preserve">The </w:t>
      </w:r>
      <w:r w:rsidR="003A4C10">
        <w:t xml:space="preserve">regional </w:t>
      </w:r>
      <w:r w:rsidR="006A7E0D">
        <w:t>range</w:t>
      </w:r>
      <w:r w:rsidR="00C10E7C">
        <w:t xml:space="preserve"> </w:t>
      </w:r>
      <w:r w:rsidR="003A4C10">
        <w:t xml:space="preserve">of absolute changes in NDVI ranged from 0.028 in Southern Europe to 0.095 in </w:t>
      </w:r>
      <w:r w:rsidR="00812492">
        <w:t>E</w:t>
      </w:r>
      <w:r w:rsidR="003A4C10">
        <w:t xml:space="preserve">astern Asia. </w:t>
      </w:r>
      <w:r w:rsidR="00A70F65">
        <w:t>Every region had cities that became greener and others that became less green from 2014-2018 to 2019-2023.</w:t>
      </w:r>
    </w:p>
    <w:p w14:paraId="583E63A8" w14:textId="173C6A1B" w:rsidR="00A70F65" w:rsidRDefault="00A70F65" w:rsidP="003771C7"/>
    <w:p w14:paraId="68FB2AF5" w14:textId="461363C3" w:rsidR="004902E4" w:rsidRDefault="00812492" w:rsidP="003771C7">
      <w:r>
        <w:t>There was a similarly</w:t>
      </w:r>
      <w:r w:rsidR="009E57CF">
        <w:t xml:space="preserve"> large </w:t>
      </w:r>
      <w:r w:rsidR="006F29B1">
        <w:t>spread</w:t>
      </w:r>
      <w:r w:rsidR="009E57CF">
        <w:t xml:space="preserve"> </w:t>
      </w:r>
      <w:r w:rsidR="00180E9E">
        <w:t>within each</w:t>
      </w:r>
      <w:r w:rsidR="009E57CF">
        <w:t xml:space="preserve"> region and notable </w:t>
      </w:r>
      <w:r w:rsidR="00180E9E">
        <w:t xml:space="preserve">differences across regions </w:t>
      </w:r>
      <w:r w:rsidR="00E16E03">
        <w:t xml:space="preserve">in </w:t>
      </w:r>
      <w:r w:rsidR="00EA38BA">
        <w:t xml:space="preserve">the </w:t>
      </w:r>
      <w:r w:rsidR="00E16E03">
        <w:t xml:space="preserve">percent change </w:t>
      </w:r>
      <w:r w:rsidR="00EA38BA">
        <w:t>in NDVI between 2014-</w:t>
      </w:r>
      <w:r w:rsidR="007116D9">
        <w:t>20</w:t>
      </w:r>
      <w:r w:rsidR="00EA38BA">
        <w:t>18 and 2019-</w:t>
      </w:r>
      <w:r w:rsidR="007116D9">
        <w:t>20</w:t>
      </w:r>
      <w:r w:rsidR="00EA38BA">
        <w:t>23</w:t>
      </w:r>
      <w:r w:rsidR="008875C4">
        <w:t xml:space="preserve"> </w:t>
      </w:r>
      <w:r w:rsidR="0087108D">
        <w:t xml:space="preserve">(Fig. </w:t>
      </w:r>
      <w:r w:rsidR="006F2027">
        <w:t>3B</w:t>
      </w:r>
      <w:r w:rsidR="0087108D">
        <w:t>)</w:t>
      </w:r>
      <w:r w:rsidR="00E16E03">
        <w:t xml:space="preserve">. </w:t>
      </w:r>
      <w:r w:rsidR="004339B3">
        <w:t xml:space="preserve">The median percent change was greater than 5% in South-eastern Asia (-6.3%) and Eastern Asia (+6.2%). </w:t>
      </w:r>
      <w:r w:rsidR="00E16E03">
        <w:t>Sub-Saharan Africa ha</w:t>
      </w:r>
      <w:r w:rsidR="00CB3595">
        <w:t>d</w:t>
      </w:r>
      <w:r w:rsidR="00E16E03">
        <w:t xml:space="preserve"> 6 of the 10 cities with the largest </w:t>
      </w:r>
      <w:r w:rsidR="00533BBB">
        <w:t xml:space="preserve">percent </w:t>
      </w:r>
      <w:r w:rsidR="00E16E03">
        <w:t>decreases</w:t>
      </w:r>
      <w:r w:rsidR="00B86E60">
        <w:t xml:space="preserve"> in NDVI</w:t>
      </w:r>
      <w:r w:rsidR="00E16E03">
        <w:t xml:space="preserve"> from 2014-</w:t>
      </w:r>
      <w:r w:rsidR="002F28B1">
        <w:t>20</w:t>
      </w:r>
      <w:r w:rsidR="00E16E03">
        <w:t>18 to 2019-</w:t>
      </w:r>
      <w:r w:rsidR="007116D9">
        <w:t>20</w:t>
      </w:r>
      <w:r w:rsidR="00E16E03">
        <w:t>23. By contrast, 39 of the top 50 cities with the greatest percent increase in NDVI between these two time period</w:t>
      </w:r>
      <w:r w:rsidR="00EB7037">
        <w:t>s</w:t>
      </w:r>
      <w:r w:rsidR="00E16E03">
        <w:t xml:space="preserve"> </w:t>
      </w:r>
      <w:r w:rsidR="00CB3595">
        <w:t xml:space="preserve">were </w:t>
      </w:r>
      <w:r w:rsidR="00E16E03">
        <w:t>in Eastern Asia</w:t>
      </w:r>
      <w:r w:rsidR="0087108D">
        <w:t>.</w:t>
      </w:r>
      <w:r>
        <w:t xml:space="preserve"> </w:t>
      </w:r>
      <w:r w:rsidR="00220EF2">
        <w:t xml:space="preserve">The relative magnitude of percent changes in NDVI generally mirrored changes in absolute terms. </w:t>
      </w:r>
      <w:r w:rsidR="00FF19E2">
        <w:t>There were many outlier cities across several regions. F</w:t>
      </w:r>
      <w:r w:rsidR="00284BC1">
        <w:t>or example, f</w:t>
      </w:r>
      <w:r w:rsidR="00FF19E2">
        <w:t xml:space="preserve">ive Venezuelan cities: Barcelona, Maturin, Barquisimeto, Maracay, and Valencia had increases in NDVI across the two periods despite a general decline in urban greenspace across Latin America and the Caribbean. </w:t>
      </w:r>
      <w:proofErr w:type="spellStart"/>
      <w:r w:rsidR="00FF19E2">
        <w:t>Buram</w:t>
      </w:r>
      <w:proofErr w:type="spellEnd"/>
      <w:r w:rsidR="00FF19E2">
        <w:t>, Sudan</w:t>
      </w:r>
      <w:r w:rsidR="00284BC1">
        <w:t xml:space="preserve"> in Northern Africa</w:t>
      </w:r>
      <w:r w:rsidR="00FF19E2">
        <w:t xml:space="preserve"> and Gonda, India </w:t>
      </w:r>
      <w:r w:rsidR="00284BC1">
        <w:t xml:space="preserve">in Southern Asia </w:t>
      </w:r>
      <w:r w:rsidR="00FF19E2">
        <w:t xml:space="preserve">were also positive greenspace outliers. </w:t>
      </w:r>
      <w:r w:rsidR="00C63335">
        <w:t xml:space="preserve">In contrast, many cities were negative </w:t>
      </w:r>
      <w:r w:rsidR="008B7742">
        <w:t xml:space="preserve">greenspace </w:t>
      </w:r>
      <w:r w:rsidR="00C63335">
        <w:t>outliers</w:t>
      </w:r>
      <w:r w:rsidR="008B7742">
        <w:t xml:space="preserve"> in their regions</w:t>
      </w:r>
      <w:r w:rsidR="00C63335">
        <w:t xml:space="preserve"> including Auckland, New Zealand; San Antonio and Providence, United States; </w:t>
      </w:r>
      <w:proofErr w:type="spellStart"/>
      <w:r w:rsidR="00C63335">
        <w:t>Mataram</w:t>
      </w:r>
      <w:proofErr w:type="spellEnd"/>
      <w:r w:rsidR="00C63335">
        <w:t xml:space="preserve">, Indonesia; Lakhimpur, India; </w:t>
      </w:r>
      <w:proofErr w:type="spellStart"/>
      <w:r w:rsidR="00C63335">
        <w:t>Drachevo</w:t>
      </w:r>
      <w:proofErr w:type="spellEnd"/>
      <w:r w:rsidR="00C63335">
        <w:t xml:space="preserve">, Macedonia; and Dortmund and Wuppertal, Germany. </w:t>
      </w:r>
      <w:r w:rsidR="008B7742">
        <w:t xml:space="preserve">There is likely a mix of driving factors contributing to each of these cities’ greenspace changes. Some of the negative outliers such as Auckland, San Antonio, </w:t>
      </w:r>
      <w:proofErr w:type="spellStart"/>
      <w:r w:rsidR="008B7742">
        <w:t>Mataram</w:t>
      </w:r>
      <w:proofErr w:type="spellEnd"/>
      <w:r w:rsidR="008B7742">
        <w:t xml:space="preserve">, </w:t>
      </w:r>
      <w:proofErr w:type="spellStart"/>
      <w:r w:rsidR="008B7742">
        <w:t>Lakhimpu</w:t>
      </w:r>
      <w:proofErr w:type="spellEnd"/>
      <w:r w:rsidR="008B7742">
        <w:t xml:space="preserve">, and </w:t>
      </w:r>
      <w:proofErr w:type="spellStart"/>
      <w:r w:rsidR="008B7742">
        <w:t>Drachevo</w:t>
      </w:r>
      <w:proofErr w:type="spellEnd"/>
      <w:r w:rsidR="008B7742">
        <w:t xml:space="preserve"> have experienced urbanization over the past decade that may be contributing to their decline in greenspaces. Other cities situated near one another such as the five cities of northern Venezuela and the two German cities likely have experienced similar temperature and rainfall changes due to weather and climate change.  </w:t>
      </w:r>
    </w:p>
    <w:p w14:paraId="083DCD71" w14:textId="325C0E36" w:rsidR="00CB3595" w:rsidRDefault="00CB3595" w:rsidP="003771C7"/>
    <w:p w14:paraId="331211FB" w14:textId="53D3DD4E" w:rsidR="007C73A9" w:rsidRDefault="00FF19E2" w:rsidP="00551D54">
      <w:r>
        <w:rPr>
          <w:b/>
          <w:bCs/>
          <w:i/>
          <w:iCs/>
          <w:noProof/>
        </w:rPr>
        <w:lastRenderedPageBreak/>
        <w:drawing>
          <wp:anchor distT="0" distB="0" distL="114300" distR="114300" simplePos="0" relativeHeight="251681792" behindDoc="1" locked="0" layoutInCell="1" allowOverlap="1" wp14:anchorId="351FBE47" wp14:editId="0C953221">
            <wp:simplePos x="0" y="0"/>
            <wp:positionH relativeFrom="column">
              <wp:posOffset>0</wp:posOffset>
            </wp:positionH>
            <wp:positionV relativeFrom="paragraph">
              <wp:posOffset>229235</wp:posOffset>
            </wp:positionV>
            <wp:extent cx="5943600" cy="5943600"/>
            <wp:effectExtent l="0" t="0" r="0" b="0"/>
            <wp:wrapTight wrapText="bothSides">
              <wp:wrapPolygon edited="0">
                <wp:start x="138" y="0"/>
                <wp:lineTo x="0" y="323"/>
                <wp:lineTo x="0" y="462"/>
                <wp:lineTo x="3831" y="738"/>
                <wp:lineTo x="3646" y="1246"/>
                <wp:lineTo x="3600" y="1985"/>
                <wp:lineTo x="6554" y="2215"/>
                <wp:lineTo x="4523" y="2215"/>
                <wp:lineTo x="3415" y="2492"/>
                <wp:lineTo x="3277" y="4154"/>
                <wp:lineTo x="4523" y="4431"/>
                <wp:lineTo x="6554" y="4431"/>
                <wp:lineTo x="4062" y="4615"/>
                <wp:lineTo x="4062" y="4985"/>
                <wp:lineTo x="6554" y="5169"/>
                <wp:lineTo x="3831" y="5215"/>
                <wp:lineTo x="3738" y="5354"/>
                <wp:lineTo x="3923" y="5908"/>
                <wp:lineTo x="3415" y="6231"/>
                <wp:lineTo x="2954" y="6600"/>
                <wp:lineTo x="1154" y="6969"/>
                <wp:lineTo x="692" y="7108"/>
                <wp:lineTo x="692" y="7754"/>
                <wp:lineTo x="4615" y="8262"/>
                <wp:lineTo x="4615" y="8631"/>
                <wp:lineTo x="6554" y="8862"/>
                <wp:lineTo x="1754" y="8862"/>
                <wp:lineTo x="1754" y="9415"/>
                <wp:lineTo x="10800" y="9600"/>
                <wp:lineTo x="6969" y="9600"/>
                <wp:lineTo x="6877" y="9831"/>
                <wp:lineTo x="8538" y="10338"/>
                <wp:lineTo x="0" y="10754"/>
                <wp:lineTo x="0" y="11262"/>
                <wp:lineTo x="6554" y="11815"/>
                <wp:lineTo x="3831" y="11815"/>
                <wp:lineTo x="3554" y="11862"/>
                <wp:lineTo x="3554" y="12646"/>
                <wp:lineTo x="4154" y="13292"/>
                <wp:lineTo x="3415" y="13708"/>
                <wp:lineTo x="3462" y="14031"/>
                <wp:lineTo x="5908" y="14031"/>
                <wp:lineTo x="3323" y="14215"/>
                <wp:lineTo x="3323" y="14585"/>
                <wp:lineTo x="6554" y="14769"/>
                <wp:lineTo x="4292" y="14815"/>
                <wp:lineTo x="4015" y="14908"/>
                <wp:lineTo x="4015" y="15508"/>
                <wp:lineTo x="3738" y="16200"/>
                <wp:lineTo x="3969" y="16985"/>
                <wp:lineTo x="2954" y="17308"/>
                <wp:lineTo x="3000" y="17677"/>
                <wp:lineTo x="738" y="17862"/>
                <wp:lineTo x="738" y="18277"/>
                <wp:lineTo x="6554" y="18462"/>
                <wp:lineTo x="2908" y="18462"/>
                <wp:lineTo x="2862" y="18831"/>
                <wp:lineTo x="4569" y="19200"/>
                <wp:lineTo x="1708" y="19708"/>
                <wp:lineTo x="1708" y="20031"/>
                <wp:lineTo x="6969"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246839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9066" name="Picture 246839066"/>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1904F4FD" w14:textId="01F13F15" w:rsidR="005B2BD0" w:rsidRDefault="005B2BD0" w:rsidP="00551D54">
      <w:pPr>
        <w:rPr>
          <w:i/>
          <w:iCs/>
        </w:rPr>
      </w:pPr>
    </w:p>
    <w:p w14:paraId="199095B6" w14:textId="45014584" w:rsidR="0049174D" w:rsidRDefault="0049174D" w:rsidP="00551D54"/>
    <w:p w14:paraId="5E7D9206" w14:textId="1F461E02" w:rsidR="004902E4" w:rsidRDefault="004902E4" w:rsidP="00551D54">
      <w:pPr>
        <w:rPr>
          <w:b/>
          <w:bCs/>
          <w:i/>
          <w:iCs/>
        </w:rPr>
      </w:pPr>
    </w:p>
    <w:p w14:paraId="72F33471" w14:textId="3334218A" w:rsidR="004902E4" w:rsidRDefault="004902E4" w:rsidP="00551D54">
      <w:pPr>
        <w:rPr>
          <w:b/>
          <w:bCs/>
          <w:i/>
          <w:iCs/>
        </w:rPr>
      </w:pPr>
    </w:p>
    <w:p w14:paraId="7CEE42A4" w14:textId="093EA894" w:rsidR="004902E4" w:rsidRDefault="004902E4" w:rsidP="00551D54">
      <w:pPr>
        <w:rPr>
          <w:b/>
          <w:bCs/>
          <w:i/>
          <w:iCs/>
        </w:rPr>
      </w:pPr>
    </w:p>
    <w:p w14:paraId="467D8E44" w14:textId="43D5F801" w:rsidR="004902E4" w:rsidRDefault="004902E4" w:rsidP="00551D54">
      <w:pPr>
        <w:rPr>
          <w:b/>
          <w:bCs/>
          <w:i/>
          <w:iCs/>
        </w:rPr>
      </w:pPr>
    </w:p>
    <w:p w14:paraId="76C55FA4" w14:textId="029807B9" w:rsidR="004902E4" w:rsidRDefault="004902E4" w:rsidP="00551D54">
      <w:pPr>
        <w:rPr>
          <w:b/>
          <w:bCs/>
          <w:i/>
          <w:iCs/>
        </w:rPr>
      </w:pPr>
    </w:p>
    <w:p w14:paraId="61009364" w14:textId="1D6CF104" w:rsidR="004902E4" w:rsidRDefault="004902E4" w:rsidP="00551D54">
      <w:pPr>
        <w:rPr>
          <w:b/>
          <w:bCs/>
          <w:i/>
          <w:iCs/>
        </w:rPr>
      </w:pPr>
    </w:p>
    <w:p w14:paraId="587EADB0" w14:textId="7766F1C1" w:rsidR="004902E4" w:rsidRDefault="004902E4" w:rsidP="00551D54">
      <w:pPr>
        <w:rPr>
          <w:b/>
          <w:bCs/>
          <w:i/>
          <w:iCs/>
        </w:rPr>
      </w:pPr>
    </w:p>
    <w:p w14:paraId="3F570FEC" w14:textId="43557F03" w:rsidR="004902E4" w:rsidRDefault="004902E4" w:rsidP="00551D54">
      <w:pPr>
        <w:rPr>
          <w:b/>
          <w:bCs/>
          <w:i/>
          <w:iCs/>
        </w:rPr>
      </w:pPr>
    </w:p>
    <w:p w14:paraId="44EAF2DA" w14:textId="41F66058" w:rsidR="004902E4" w:rsidRDefault="004902E4" w:rsidP="00551D54">
      <w:pPr>
        <w:rPr>
          <w:b/>
          <w:bCs/>
          <w:i/>
          <w:iCs/>
        </w:rPr>
      </w:pPr>
    </w:p>
    <w:p w14:paraId="58FC3A85" w14:textId="23DAEA09" w:rsidR="004902E4" w:rsidRDefault="004902E4" w:rsidP="00551D54">
      <w:pPr>
        <w:rPr>
          <w:b/>
          <w:bCs/>
          <w:i/>
          <w:iCs/>
        </w:rPr>
      </w:pPr>
    </w:p>
    <w:p w14:paraId="32B731F7" w14:textId="20511B7C" w:rsidR="004902E4" w:rsidRDefault="004902E4" w:rsidP="00551D54">
      <w:pPr>
        <w:rPr>
          <w:b/>
          <w:bCs/>
          <w:i/>
          <w:iCs/>
        </w:rPr>
      </w:pPr>
    </w:p>
    <w:p w14:paraId="029A9A04" w14:textId="62983112" w:rsidR="004902E4" w:rsidRDefault="004902E4" w:rsidP="00551D54">
      <w:pPr>
        <w:rPr>
          <w:b/>
          <w:bCs/>
          <w:i/>
          <w:iCs/>
        </w:rPr>
      </w:pPr>
    </w:p>
    <w:p w14:paraId="7FA3C823" w14:textId="039F7541" w:rsidR="004902E4" w:rsidRDefault="004902E4" w:rsidP="00551D54">
      <w:pPr>
        <w:rPr>
          <w:b/>
          <w:bCs/>
          <w:i/>
          <w:iCs/>
        </w:rPr>
      </w:pPr>
    </w:p>
    <w:p w14:paraId="34563256" w14:textId="1761FFCE" w:rsidR="004902E4" w:rsidRDefault="004902E4" w:rsidP="00551D54">
      <w:pPr>
        <w:rPr>
          <w:b/>
          <w:bCs/>
          <w:i/>
          <w:iCs/>
        </w:rPr>
      </w:pPr>
    </w:p>
    <w:p w14:paraId="4CAA7256" w14:textId="259F365D" w:rsidR="004902E4" w:rsidRDefault="004902E4" w:rsidP="00551D54">
      <w:pPr>
        <w:rPr>
          <w:b/>
          <w:bCs/>
          <w:i/>
          <w:iCs/>
        </w:rPr>
      </w:pPr>
    </w:p>
    <w:p w14:paraId="5C928683" w14:textId="67F54DEC" w:rsidR="004902E4" w:rsidRDefault="004902E4" w:rsidP="00551D54">
      <w:pPr>
        <w:rPr>
          <w:b/>
          <w:bCs/>
          <w:i/>
          <w:iCs/>
        </w:rPr>
      </w:pPr>
    </w:p>
    <w:p w14:paraId="224FA2A8" w14:textId="48BB4328" w:rsidR="004902E4" w:rsidRDefault="004902E4" w:rsidP="00551D54">
      <w:pPr>
        <w:rPr>
          <w:b/>
          <w:bCs/>
          <w:i/>
          <w:iCs/>
        </w:rPr>
      </w:pPr>
    </w:p>
    <w:p w14:paraId="310C15D9" w14:textId="530C2900" w:rsidR="004902E4" w:rsidRDefault="004902E4" w:rsidP="00551D54">
      <w:pPr>
        <w:rPr>
          <w:b/>
          <w:bCs/>
          <w:i/>
          <w:iCs/>
        </w:rPr>
      </w:pPr>
    </w:p>
    <w:p w14:paraId="3A29B291" w14:textId="148DCC2E" w:rsidR="004902E4" w:rsidRDefault="004902E4" w:rsidP="00551D54">
      <w:pPr>
        <w:rPr>
          <w:b/>
          <w:bCs/>
          <w:i/>
          <w:iCs/>
        </w:rPr>
      </w:pPr>
    </w:p>
    <w:p w14:paraId="575F5BB0" w14:textId="1EDEB8C2" w:rsidR="004902E4" w:rsidRDefault="004902E4" w:rsidP="00551D54">
      <w:pPr>
        <w:rPr>
          <w:b/>
          <w:bCs/>
          <w:i/>
          <w:iCs/>
        </w:rPr>
      </w:pPr>
    </w:p>
    <w:p w14:paraId="6B5716CF" w14:textId="6162BF38" w:rsidR="00702E03" w:rsidRDefault="00702E03" w:rsidP="00551D54">
      <w:pPr>
        <w:rPr>
          <w:b/>
          <w:bCs/>
          <w:i/>
          <w:iCs/>
        </w:rPr>
      </w:pPr>
    </w:p>
    <w:p w14:paraId="11ACC793" w14:textId="244EB1E5" w:rsidR="00702E03" w:rsidRDefault="00702E03" w:rsidP="00551D54">
      <w:pPr>
        <w:rPr>
          <w:b/>
          <w:bCs/>
          <w:i/>
          <w:iCs/>
        </w:rPr>
      </w:pPr>
    </w:p>
    <w:p w14:paraId="4CB0FDBB" w14:textId="77777777" w:rsidR="0049350F" w:rsidRDefault="0049350F" w:rsidP="00551D54">
      <w:pPr>
        <w:rPr>
          <w:b/>
          <w:bCs/>
          <w:i/>
          <w:iCs/>
        </w:rPr>
      </w:pPr>
    </w:p>
    <w:p w14:paraId="69AB887B" w14:textId="77777777" w:rsidR="00EC455B" w:rsidRDefault="00EC455B" w:rsidP="00551D54">
      <w:pPr>
        <w:rPr>
          <w:b/>
          <w:bCs/>
          <w:i/>
          <w:iCs/>
        </w:rPr>
      </w:pPr>
    </w:p>
    <w:p w14:paraId="4FA2757B" w14:textId="77777777" w:rsidR="00EC455B" w:rsidRDefault="00EC455B" w:rsidP="00551D54">
      <w:pPr>
        <w:rPr>
          <w:b/>
          <w:bCs/>
          <w:i/>
          <w:iCs/>
        </w:rPr>
      </w:pPr>
    </w:p>
    <w:p w14:paraId="58261D5C" w14:textId="741E7604" w:rsidR="0049174D" w:rsidRDefault="0049174D" w:rsidP="00551D54">
      <w:pPr>
        <w:rPr>
          <w:i/>
          <w:iCs/>
        </w:rPr>
      </w:pPr>
      <w:r w:rsidRPr="0049174D">
        <w:rPr>
          <w:b/>
          <w:bCs/>
          <w:i/>
          <w:iCs/>
        </w:rPr>
        <w:t xml:space="preserve">Figure </w:t>
      </w:r>
      <w:r w:rsidR="00015676">
        <w:rPr>
          <w:b/>
          <w:bCs/>
          <w:i/>
          <w:iCs/>
        </w:rPr>
        <w:t>3</w:t>
      </w:r>
      <w:r w:rsidRPr="0049174D">
        <w:rPr>
          <w:b/>
          <w:bCs/>
          <w:i/>
          <w:iCs/>
        </w:rPr>
        <w:t>.</w:t>
      </w:r>
      <w:r w:rsidRPr="0049174D">
        <w:rPr>
          <w:i/>
          <w:iCs/>
        </w:rPr>
        <w:t xml:space="preserve"> </w:t>
      </w:r>
      <w:r w:rsidR="00597DB0">
        <w:rPr>
          <w:i/>
          <w:iCs/>
        </w:rPr>
        <w:t>C</w:t>
      </w:r>
      <w:r w:rsidR="00A014FF">
        <w:rPr>
          <w:i/>
          <w:iCs/>
        </w:rPr>
        <w:t xml:space="preserve">hange in </w:t>
      </w:r>
      <w:r w:rsidR="003074C8">
        <w:rPr>
          <w:i/>
          <w:iCs/>
        </w:rPr>
        <w:t xml:space="preserve">average </w:t>
      </w:r>
      <w:r w:rsidR="00A014FF">
        <w:rPr>
          <w:i/>
          <w:iCs/>
        </w:rPr>
        <w:t xml:space="preserve">population-weighted greenest season Normalized Difference Vegetation Index </w:t>
      </w:r>
      <w:r w:rsidR="000D7E31">
        <w:rPr>
          <w:i/>
          <w:iCs/>
        </w:rPr>
        <w:t xml:space="preserve">(NDVI) </w:t>
      </w:r>
      <w:r w:rsidR="00A014FF">
        <w:rPr>
          <w:i/>
          <w:iCs/>
        </w:rPr>
        <w:t xml:space="preserve">from 2014-2018 to 2019-2023 </w:t>
      </w:r>
      <w:r w:rsidR="00597DB0">
        <w:rPr>
          <w:i/>
          <w:iCs/>
        </w:rPr>
        <w:t xml:space="preserve">in absolute </w:t>
      </w:r>
      <w:r w:rsidR="00A014FF">
        <w:rPr>
          <w:i/>
          <w:iCs/>
        </w:rPr>
        <w:t xml:space="preserve">(panel A) </w:t>
      </w:r>
      <w:r w:rsidR="00597DB0">
        <w:rPr>
          <w:i/>
          <w:iCs/>
        </w:rPr>
        <w:t>and relative</w:t>
      </w:r>
      <w:r w:rsidR="00A014FF">
        <w:rPr>
          <w:i/>
          <w:iCs/>
        </w:rPr>
        <w:t xml:space="preserve"> (panel B)</w:t>
      </w:r>
      <w:r w:rsidR="001A3B3D">
        <w:rPr>
          <w:i/>
          <w:iCs/>
        </w:rPr>
        <w:t xml:space="preserve"> </w:t>
      </w:r>
      <w:r w:rsidR="00597DB0">
        <w:rPr>
          <w:i/>
          <w:iCs/>
        </w:rPr>
        <w:t xml:space="preserve">terms, </w:t>
      </w:r>
      <w:r w:rsidR="00A014FF">
        <w:rPr>
          <w:i/>
          <w:iCs/>
        </w:rPr>
        <w:t>by geographic region</w:t>
      </w:r>
      <w:r w:rsidR="00E6576A">
        <w:rPr>
          <w:i/>
          <w:iCs/>
        </w:rPr>
        <w:t>, for 1,041 cities globally</w:t>
      </w:r>
      <w:r w:rsidR="003A6EB2">
        <w:rPr>
          <w:i/>
          <w:iCs/>
        </w:rPr>
        <w:t xml:space="preserve">. </w:t>
      </w:r>
      <w:r w:rsidR="00620701">
        <w:rPr>
          <w:i/>
          <w:iCs/>
        </w:rPr>
        <w:t>Each dot represents a city, colored by geographic region.</w:t>
      </w:r>
      <w:r w:rsidR="0049350F">
        <w:rPr>
          <w:i/>
          <w:iCs/>
        </w:rPr>
        <w:t xml:space="preserve"> Regions are arranged by the average latitude of their included cities.</w:t>
      </w:r>
    </w:p>
    <w:p w14:paraId="55E71BF5" w14:textId="6B71DC41" w:rsidR="00346FF4" w:rsidRDefault="00346FF4" w:rsidP="006A4AC4"/>
    <w:p w14:paraId="7414928F" w14:textId="43566076" w:rsidR="006A4AC4" w:rsidRDefault="006A4AC4" w:rsidP="00551D54">
      <w:r>
        <w:t xml:space="preserve">In general, cities classified as “Arid” by the </w:t>
      </w:r>
      <w:proofErr w:type="spellStart"/>
      <w:r>
        <w:t>Köppen</w:t>
      </w:r>
      <w:proofErr w:type="spellEnd"/>
      <w:r>
        <w:t>-Geiger climate classification did not experience large changes in NDVI between the two time periods (median change</w:t>
      </w:r>
      <w:r w:rsidR="00632344">
        <w:t>:</w:t>
      </w:r>
      <w:r>
        <w:t xml:space="preserve"> &lt;0.00</w:t>
      </w:r>
      <w:r w:rsidR="004E0137">
        <w:t>0</w:t>
      </w:r>
      <w:r w:rsidR="00632344">
        <w:t>, range: -0.046, 0.041</w:t>
      </w:r>
      <w:r>
        <w:t>)</w:t>
      </w:r>
      <w:r w:rsidR="0031206C">
        <w:t xml:space="preserve"> </w:t>
      </w:r>
      <w:r>
        <w:t xml:space="preserve">(Fig. </w:t>
      </w:r>
      <w:r w:rsidR="00346FF4">
        <w:t>4A</w:t>
      </w:r>
      <w:r>
        <w:t xml:space="preserve">). </w:t>
      </w:r>
      <w:r w:rsidR="00661877">
        <w:t xml:space="preserve">The tropical climate classification </w:t>
      </w:r>
      <w:r w:rsidR="00632344">
        <w:t xml:space="preserve">became less green </w:t>
      </w:r>
      <w:r w:rsidR="00661877">
        <w:t>from 2014-</w:t>
      </w:r>
      <w:r w:rsidR="007116D9">
        <w:t>201</w:t>
      </w:r>
      <w:r w:rsidR="00661877">
        <w:t>8 to 2019-</w:t>
      </w:r>
      <w:r w:rsidR="007116D9">
        <w:t>20</w:t>
      </w:r>
      <w:r w:rsidR="00661877">
        <w:t>23,</w:t>
      </w:r>
      <w:r w:rsidR="00632344">
        <w:t xml:space="preserve"> with a median city change of -</w:t>
      </w:r>
      <w:r w:rsidR="0099642C">
        <w:t>0</w:t>
      </w:r>
      <w:r w:rsidR="00632344">
        <w:t>.010 (range: -</w:t>
      </w:r>
      <w:r w:rsidR="0099642C">
        <w:t>0</w:t>
      </w:r>
      <w:r w:rsidR="00632344">
        <w:t>.077, 0.033)</w:t>
      </w:r>
      <w:r w:rsidR="004E0137">
        <w:t xml:space="preserve">, while continental cities generally increased in NDVI (median: 0.006, range: -.035, 0.048). Like arid cities, the </w:t>
      </w:r>
      <w:r w:rsidR="004E0137">
        <w:lastRenderedPageBreak/>
        <w:t xml:space="preserve">median change in urban greenspace across temperate cities was close to zero (-0.001), </w:t>
      </w:r>
      <w:r w:rsidR="009937AF">
        <w:t xml:space="preserve">with increases and decreases across individual cities </w:t>
      </w:r>
      <w:r w:rsidR="004E0137">
        <w:t xml:space="preserve">(range: -0.045, </w:t>
      </w:r>
      <w:r w:rsidR="0099642C">
        <w:t>0</w:t>
      </w:r>
      <w:r w:rsidR="004E0137">
        <w:t>.064).</w:t>
      </w:r>
    </w:p>
    <w:p w14:paraId="5F4F61FE" w14:textId="63BF5A05" w:rsidR="00D81AD7" w:rsidRDefault="00D81AD7" w:rsidP="00551D54"/>
    <w:p w14:paraId="728AACCD" w14:textId="2918EAAE" w:rsidR="00D81AD7" w:rsidRDefault="00E8527A" w:rsidP="00551D54">
      <w:pPr>
        <w:rPr>
          <w:i/>
          <w:iCs/>
        </w:rPr>
      </w:pPr>
      <w:r>
        <w:t>The median percent change in population-weighted peak season NDVI was -0.01% in arid, -</w:t>
      </w:r>
      <w:r w:rsidR="00BB7EA8">
        <w:t>0</w:t>
      </w:r>
      <w:r>
        <w:t>.2% in temperate, +1.7% in continental, and -3.1% in tropical cities</w:t>
      </w:r>
      <w:r w:rsidR="00595207">
        <w:t xml:space="preserve"> (Fig. 4B)</w:t>
      </w:r>
      <w:r>
        <w:t xml:space="preserve">. </w:t>
      </w:r>
      <w:r w:rsidR="00241086">
        <w:t xml:space="preserve">Temperate cities had the largest spread in relative terms (44.8 percentage points) compared to continental (20.8), tropical (37.4) and arid (29.1) cities. </w:t>
      </w:r>
      <w:r w:rsidR="002F18D4">
        <w:t xml:space="preserve">NDVI decreased by about 20% in three tropical cities (Goma, Democratic Republic of </w:t>
      </w:r>
      <w:proofErr w:type="gramStart"/>
      <w:r w:rsidR="002F18D4">
        <w:t>the Congo</w:t>
      </w:r>
      <w:proofErr w:type="gramEnd"/>
      <w:r w:rsidR="002F18D4">
        <w:t xml:space="preserve">; </w:t>
      </w:r>
      <w:proofErr w:type="spellStart"/>
      <w:r w:rsidR="002F18D4">
        <w:t>Yaounde</w:t>
      </w:r>
      <w:proofErr w:type="spellEnd"/>
      <w:r w:rsidR="002F18D4">
        <w:t xml:space="preserve">, Cameroon; and </w:t>
      </w:r>
      <w:proofErr w:type="spellStart"/>
      <w:r w:rsidR="002F18D4">
        <w:t>Mataram</w:t>
      </w:r>
      <w:proofErr w:type="spellEnd"/>
      <w:r w:rsidR="002F18D4">
        <w:t xml:space="preserve">, Indonesia) and increased by over 20% in </w:t>
      </w:r>
      <w:r w:rsidR="006C1F22">
        <w:t>three temperate cities (Zhengzhou, Shiyan, and Zhenjiang, China) and two continental cities (Pyongyang, North Korea</w:t>
      </w:r>
      <w:r w:rsidR="00DC3D1D">
        <w:t xml:space="preserve">; and </w:t>
      </w:r>
      <w:r w:rsidR="006C1F22" w:rsidRPr="006C1F22">
        <w:t>Rizhao</w:t>
      </w:r>
      <w:r w:rsidR="006C1F22">
        <w:t xml:space="preserve">, China).  </w:t>
      </w:r>
    </w:p>
    <w:p w14:paraId="7B7D81F4" w14:textId="7800012D" w:rsidR="00346FF4" w:rsidRDefault="00D33D88" w:rsidP="00551D54">
      <w:pPr>
        <w:rPr>
          <w:i/>
          <w:iCs/>
        </w:rPr>
      </w:pPr>
      <w:r>
        <w:rPr>
          <w:b/>
          <w:bCs/>
          <w:i/>
          <w:iCs/>
          <w:noProof/>
        </w:rPr>
        <w:drawing>
          <wp:anchor distT="0" distB="0" distL="114300" distR="114300" simplePos="0" relativeHeight="251682816" behindDoc="1" locked="0" layoutInCell="1" allowOverlap="1" wp14:anchorId="4FF52554" wp14:editId="134B8FDE">
            <wp:simplePos x="0" y="0"/>
            <wp:positionH relativeFrom="column">
              <wp:posOffset>-15240</wp:posOffset>
            </wp:positionH>
            <wp:positionV relativeFrom="paragraph">
              <wp:posOffset>156845</wp:posOffset>
            </wp:positionV>
            <wp:extent cx="5943600" cy="5943600"/>
            <wp:effectExtent l="0" t="0" r="0" b="0"/>
            <wp:wrapTight wrapText="bothSides">
              <wp:wrapPolygon edited="0">
                <wp:start x="138" y="0"/>
                <wp:lineTo x="0" y="323"/>
                <wp:lineTo x="0" y="462"/>
                <wp:lineTo x="2862" y="738"/>
                <wp:lineTo x="1985" y="1477"/>
                <wp:lineTo x="1985" y="1662"/>
                <wp:lineTo x="2631" y="2215"/>
                <wp:lineTo x="2862" y="2215"/>
                <wp:lineTo x="2862" y="2954"/>
                <wp:lineTo x="1292" y="3415"/>
                <wp:lineTo x="692" y="3646"/>
                <wp:lineTo x="692" y="3923"/>
                <wp:lineTo x="2215" y="4431"/>
                <wp:lineTo x="2862" y="4431"/>
                <wp:lineTo x="2862" y="5169"/>
                <wp:lineTo x="831" y="5769"/>
                <wp:lineTo x="923" y="6046"/>
                <wp:lineTo x="2538" y="6646"/>
                <wp:lineTo x="2862" y="6646"/>
                <wp:lineTo x="2862" y="7385"/>
                <wp:lineTo x="1292" y="7938"/>
                <wp:lineTo x="1385" y="8215"/>
                <wp:lineTo x="2677" y="8862"/>
                <wp:lineTo x="2862" y="8862"/>
                <wp:lineTo x="2862" y="9462"/>
                <wp:lineTo x="3462" y="9600"/>
                <wp:lineTo x="3415" y="9923"/>
                <wp:lineTo x="6692" y="10338"/>
                <wp:lineTo x="0" y="10754"/>
                <wp:lineTo x="0" y="11262"/>
                <wp:lineTo x="2862" y="11815"/>
                <wp:lineTo x="1985" y="12231"/>
                <wp:lineTo x="1985" y="12508"/>
                <wp:lineTo x="2862" y="12554"/>
                <wp:lineTo x="2862" y="14031"/>
                <wp:lineTo x="738" y="14400"/>
                <wp:lineTo x="738" y="14769"/>
                <wp:lineTo x="2862" y="14769"/>
                <wp:lineTo x="2862" y="16246"/>
                <wp:lineTo x="877" y="16523"/>
                <wp:lineTo x="877" y="16985"/>
                <wp:lineTo x="2862" y="16985"/>
                <wp:lineTo x="2862" y="18462"/>
                <wp:lineTo x="1338" y="18692"/>
                <wp:lineTo x="1338" y="19108"/>
                <wp:lineTo x="2862" y="19200"/>
                <wp:lineTo x="2862" y="20215"/>
                <wp:lineTo x="3692" y="20677"/>
                <wp:lineTo x="4154" y="20677"/>
                <wp:lineTo x="4154" y="20908"/>
                <wp:lineTo x="7800" y="21369"/>
                <wp:lineTo x="9646" y="21462"/>
                <wp:lineTo x="9877" y="21462"/>
                <wp:lineTo x="16200" y="21369"/>
                <wp:lineTo x="21323" y="21046"/>
                <wp:lineTo x="21415" y="19938"/>
                <wp:lineTo x="21462" y="11031"/>
                <wp:lineTo x="17585" y="10338"/>
                <wp:lineTo x="19523" y="9923"/>
                <wp:lineTo x="19338" y="9600"/>
                <wp:lineTo x="21508" y="9462"/>
                <wp:lineTo x="21508" y="185"/>
                <wp:lineTo x="415" y="0"/>
                <wp:lineTo x="138" y="0"/>
              </wp:wrapPolygon>
            </wp:wrapTight>
            <wp:docPr id="760826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6567" name="Picture 760826567"/>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0CC2C59" w14:textId="1CFAC3D7" w:rsidR="00346FF4" w:rsidRDefault="00346FF4" w:rsidP="00551D54">
      <w:pPr>
        <w:rPr>
          <w:i/>
          <w:iCs/>
        </w:rPr>
      </w:pPr>
    </w:p>
    <w:p w14:paraId="678D4FA7" w14:textId="47CF5412" w:rsidR="00346FF4" w:rsidRDefault="00346FF4" w:rsidP="00551D54">
      <w:pPr>
        <w:rPr>
          <w:i/>
          <w:iCs/>
        </w:rPr>
      </w:pPr>
    </w:p>
    <w:p w14:paraId="2D30E13B" w14:textId="380C094F" w:rsidR="00346FF4" w:rsidRDefault="00346FF4" w:rsidP="00551D54">
      <w:pPr>
        <w:rPr>
          <w:i/>
          <w:iCs/>
        </w:rPr>
      </w:pPr>
    </w:p>
    <w:p w14:paraId="1663D727" w14:textId="40CDF41D" w:rsidR="00346FF4" w:rsidRDefault="00346FF4" w:rsidP="00551D54">
      <w:pPr>
        <w:rPr>
          <w:i/>
          <w:iCs/>
        </w:rPr>
      </w:pPr>
    </w:p>
    <w:p w14:paraId="67DBD47F" w14:textId="381AE343" w:rsidR="00346FF4" w:rsidRDefault="00346FF4" w:rsidP="00551D54">
      <w:pPr>
        <w:rPr>
          <w:i/>
          <w:iCs/>
        </w:rPr>
      </w:pPr>
    </w:p>
    <w:p w14:paraId="35334F05" w14:textId="7A8D5C4D" w:rsidR="00346FF4" w:rsidRDefault="00346FF4" w:rsidP="00551D54">
      <w:pPr>
        <w:rPr>
          <w:i/>
          <w:iCs/>
        </w:rPr>
      </w:pPr>
    </w:p>
    <w:p w14:paraId="075249C8" w14:textId="1C1AE372" w:rsidR="00346FF4" w:rsidRDefault="00346FF4" w:rsidP="00551D54">
      <w:pPr>
        <w:rPr>
          <w:i/>
          <w:iCs/>
        </w:rPr>
      </w:pPr>
    </w:p>
    <w:p w14:paraId="53039100" w14:textId="4E944E6D" w:rsidR="007E27F5" w:rsidRDefault="007E27F5" w:rsidP="00551D54">
      <w:pPr>
        <w:rPr>
          <w:i/>
          <w:iCs/>
        </w:rPr>
      </w:pPr>
    </w:p>
    <w:p w14:paraId="73D5A35A" w14:textId="2A91866A" w:rsidR="007E27F5" w:rsidRDefault="007E27F5" w:rsidP="00551D54">
      <w:pPr>
        <w:rPr>
          <w:i/>
          <w:iCs/>
        </w:rPr>
      </w:pPr>
    </w:p>
    <w:p w14:paraId="2B670F03" w14:textId="2BDE49AE" w:rsidR="007E27F5" w:rsidRDefault="007E27F5" w:rsidP="00551D54">
      <w:pPr>
        <w:rPr>
          <w:i/>
          <w:iCs/>
        </w:rPr>
      </w:pPr>
    </w:p>
    <w:p w14:paraId="3E17FB03" w14:textId="09BD6265" w:rsidR="007E27F5" w:rsidRDefault="007E27F5" w:rsidP="00551D54">
      <w:pPr>
        <w:rPr>
          <w:i/>
          <w:iCs/>
        </w:rPr>
      </w:pPr>
    </w:p>
    <w:p w14:paraId="3563E5E4" w14:textId="4174696D" w:rsidR="007E27F5" w:rsidRDefault="007E27F5" w:rsidP="00551D54">
      <w:pPr>
        <w:rPr>
          <w:i/>
          <w:iCs/>
        </w:rPr>
      </w:pPr>
    </w:p>
    <w:p w14:paraId="7802E473" w14:textId="29FD3EEF" w:rsidR="007E27F5" w:rsidRDefault="007E27F5" w:rsidP="00551D54">
      <w:pPr>
        <w:rPr>
          <w:i/>
          <w:iCs/>
        </w:rPr>
      </w:pPr>
    </w:p>
    <w:p w14:paraId="6BE79226" w14:textId="73642379" w:rsidR="007E27F5" w:rsidRDefault="007E27F5" w:rsidP="00551D54">
      <w:pPr>
        <w:rPr>
          <w:i/>
          <w:iCs/>
        </w:rPr>
      </w:pPr>
    </w:p>
    <w:p w14:paraId="076C7589" w14:textId="63B1D230" w:rsidR="007E27F5" w:rsidRDefault="007E27F5" w:rsidP="00551D54">
      <w:pPr>
        <w:rPr>
          <w:i/>
          <w:iCs/>
        </w:rPr>
      </w:pPr>
    </w:p>
    <w:p w14:paraId="14939B27" w14:textId="37D97798" w:rsidR="007E27F5" w:rsidRDefault="007E27F5" w:rsidP="00551D54">
      <w:pPr>
        <w:rPr>
          <w:i/>
          <w:iCs/>
        </w:rPr>
      </w:pPr>
    </w:p>
    <w:p w14:paraId="7986EA36" w14:textId="2CCDDB3C" w:rsidR="007E27F5" w:rsidRDefault="007E27F5" w:rsidP="00551D54">
      <w:pPr>
        <w:rPr>
          <w:i/>
          <w:iCs/>
        </w:rPr>
      </w:pPr>
    </w:p>
    <w:p w14:paraId="7E89FE51" w14:textId="1EE79AE5" w:rsidR="007E27F5" w:rsidRDefault="007E27F5" w:rsidP="00551D54">
      <w:pPr>
        <w:rPr>
          <w:i/>
          <w:iCs/>
        </w:rPr>
      </w:pPr>
    </w:p>
    <w:p w14:paraId="6A995FC5" w14:textId="6098102A" w:rsidR="007E27F5" w:rsidRDefault="007E27F5" w:rsidP="00551D54">
      <w:pPr>
        <w:rPr>
          <w:i/>
          <w:iCs/>
        </w:rPr>
      </w:pPr>
    </w:p>
    <w:p w14:paraId="6467C3FA" w14:textId="094ABD77" w:rsidR="007E27F5" w:rsidRDefault="007E27F5" w:rsidP="00551D54">
      <w:pPr>
        <w:rPr>
          <w:i/>
          <w:iCs/>
        </w:rPr>
      </w:pPr>
    </w:p>
    <w:p w14:paraId="669EB7CF" w14:textId="7323FEA7" w:rsidR="007E27F5" w:rsidRDefault="007E27F5" w:rsidP="00551D54">
      <w:pPr>
        <w:rPr>
          <w:i/>
          <w:iCs/>
        </w:rPr>
      </w:pPr>
    </w:p>
    <w:p w14:paraId="475231FA" w14:textId="72E15AA0" w:rsidR="007E27F5" w:rsidRDefault="007E27F5" w:rsidP="00551D54">
      <w:pPr>
        <w:rPr>
          <w:i/>
          <w:iCs/>
        </w:rPr>
      </w:pPr>
    </w:p>
    <w:p w14:paraId="50050021" w14:textId="064F4AAB" w:rsidR="007E27F5" w:rsidRDefault="007E27F5" w:rsidP="00551D54">
      <w:pPr>
        <w:rPr>
          <w:i/>
          <w:iCs/>
        </w:rPr>
      </w:pPr>
    </w:p>
    <w:p w14:paraId="018DF7FB" w14:textId="267369D9" w:rsidR="007E27F5" w:rsidRDefault="007E27F5" w:rsidP="007E27F5">
      <w:pPr>
        <w:rPr>
          <w:i/>
          <w:iCs/>
        </w:rPr>
      </w:pPr>
      <w:r w:rsidRPr="0049174D">
        <w:rPr>
          <w:b/>
          <w:bCs/>
          <w:i/>
          <w:iCs/>
        </w:rPr>
        <w:lastRenderedPageBreak/>
        <w:t xml:space="preserve">Figure </w:t>
      </w:r>
      <w:r>
        <w:rPr>
          <w:b/>
          <w:bCs/>
          <w:i/>
          <w:iCs/>
        </w:rPr>
        <w:t>4</w:t>
      </w:r>
      <w:r w:rsidRPr="0049174D">
        <w:rPr>
          <w:b/>
          <w:bCs/>
          <w:i/>
          <w:iCs/>
        </w:rPr>
        <w:t>.</w:t>
      </w:r>
      <w:r w:rsidRPr="0049174D">
        <w:rPr>
          <w:i/>
          <w:iCs/>
        </w:rPr>
        <w:t xml:space="preserve"> </w:t>
      </w:r>
      <w:r>
        <w:rPr>
          <w:i/>
          <w:iCs/>
        </w:rPr>
        <w:t>Change in</w:t>
      </w:r>
      <w:r w:rsidR="00B47F84">
        <w:rPr>
          <w:i/>
          <w:iCs/>
        </w:rPr>
        <w:t xml:space="preserve"> city</w:t>
      </w:r>
      <w:r>
        <w:rPr>
          <w:i/>
          <w:iCs/>
        </w:rPr>
        <w:t xml:space="preserve"> </w:t>
      </w:r>
      <w:r w:rsidR="001E26CD">
        <w:rPr>
          <w:i/>
          <w:iCs/>
        </w:rPr>
        <w:t xml:space="preserve">average </w:t>
      </w:r>
      <w:r>
        <w:rPr>
          <w:i/>
          <w:iCs/>
        </w:rPr>
        <w:t xml:space="preserve">population-weighted greenest season Normalized Difference Vegetation Index </w:t>
      </w:r>
      <w:r w:rsidR="000D7E31">
        <w:rPr>
          <w:i/>
          <w:iCs/>
        </w:rPr>
        <w:t xml:space="preserve">(NDVI) </w:t>
      </w:r>
      <w:r>
        <w:rPr>
          <w:i/>
          <w:iCs/>
        </w:rPr>
        <w:t>from 2014-2018 to 2019-2023 in absolute (panel A) and relative (panel B) terms, by</w:t>
      </w:r>
      <w:r w:rsidR="007923E0">
        <w:rPr>
          <w:i/>
          <w:iCs/>
        </w:rPr>
        <w:t xml:space="preserve"> </w:t>
      </w:r>
      <w:proofErr w:type="spellStart"/>
      <w:r w:rsidR="007923E0">
        <w:rPr>
          <w:i/>
          <w:iCs/>
        </w:rPr>
        <w:t>Köppen</w:t>
      </w:r>
      <w:proofErr w:type="spellEnd"/>
      <w:r w:rsidR="007923E0">
        <w:rPr>
          <w:i/>
          <w:iCs/>
        </w:rPr>
        <w:t>-Geiger</w:t>
      </w:r>
      <w:r>
        <w:rPr>
          <w:i/>
          <w:iCs/>
        </w:rPr>
        <w:t xml:space="preserve"> climate classification.</w:t>
      </w:r>
      <w:r w:rsidR="00A91321" w:rsidRPr="00A91321">
        <w:rPr>
          <w:i/>
          <w:iCs/>
        </w:rPr>
        <w:t xml:space="preserve"> </w:t>
      </w:r>
      <w:r w:rsidR="00A91321">
        <w:rPr>
          <w:i/>
          <w:iCs/>
        </w:rPr>
        <w:t>Each dot represents a city, colored by climate classification.</w:t>
      </w:r>
      <w:r>
        <w:rPr>
          <w:i/>
          <w:iCs/>
        </w:rPr>
        <w:t xml:space="preserve"> </w:t>
      </w:r>
      <w:r w:rsidR="0020779B">
        <w:rPr>
          <w:i/>
          <w:iCs/>
        </w:rPr>
        <w:t xml:space="preserve">One city classified as “Polar” was removed from the figure (El Alto, Bolivia; change in </w:t>
      </w:r>
      <w:r w:rsidR="00906451">
        <w:rPr>
          <w:i/>
          <w:iCs/>
        </w:rPr>
        <w:t>NDVI: -</w:t>
      </w:r>
      <w:r w:rsidR="0020779B">
        <w:rPr>
          <w:i/>
          <w:iCs/>
        </w:rPr>
        <w:t xml:space="preserve">0.013 (-10.5%)). </w:t>
      </w:r>
    </w:p>
    <w:p w14:paraId="5089F917" w14:textId="4A54B924" w:rsidR="007E27F5" w:rsidRDefault="007E27F5" w:rsidP="00551D54">
      <w:pPr>
        <w:rPr>
          <w:i/>
          <w:iCs/>
        </w:rPr>
      </w:pPr>
    </w:p>
    <w:p w14:paraId="20BB1544" w14:textId="3C7EA75A" w:rsidR="005C0060" w:rsidRDefault="005C0060" w:rsidP="005C0060">
      <w:r>
        <w:t xml:space="preserve">Globally, NDVI changes from 2014-2018 to 2019-2023 were associated with an estimated </w:t>
      </w:r>
      <w:r w:rsidR="00C97E06">
        <w:t>mean</w:t>
      </w:r>
      <w:r>
        <w:t xml:space="preserve"> </w:t>
      </w:r>
      <w:r w:rsidRPr="005C5123">
        <w:t xml:space="preserve">of </w:t>
      </w:r>
      <w:r w:rsidR="00BB6EFB" w:rsidRPr="005C5123">
        <w:t xml:space="preserve">0.19 </w:t>
      </w:r>
      <w:r w:rsidRPr="005C5123">
        <w:t xml:space="preserve">(95% CI: </w:t>
      </w:r>
      <w:r w:rsidR="00BB6EFB" w:rsidRPr="005C5123">
        <w:t>0.1</w:t>
      </w:r>
      <w:r w:rsidR="008712E0">
        <w:t>2</w:t>
      </w:r>
      <w:r w:rsidRPr="005C5123">
        <w:t xml:space="preserve">, </w:t>
      </w:r>
      <w:r w:rsidR="00BB6EFB" w:rsidRPr="005C5123">
        <w:t>0.2</w:t>
      </w:r>
      <w:r w:rsidR="008712E0">
        <w:t>7</w:t>
      </w:r>
      <w:r w:rsidRPr="005C5123">
        <w:t>) more</w:t>
      </w:r>
      <w:r>
        <w:t xml:space="preserve"> all-cause premature deaths per 100,000 annually to the 2020 population (Fig. </w:t>
      </w:r>
      <w:r w:rsidR="00BE60DF">
        <w:t>5</w:t>
      </w:r>
      <w:r>
        <w:t>). The premature mortality impact from urban greenspace change was not evenly distributed around the world</w:t>
      </w:r>
      <w:r w:rsidR="005F0ECE">
        <w:t>, with fewer associated deaths in areas that experience</w:t>
      </w:r>
      <w:r w:rsidR="00165473">
        <w:t>d</w:t>
      </w:r>
      <w:r w:rsidR="005F0ECE">
        <w:t xml:space="preserve"> increases in NDVI across the time periods and more associated deaths in areas where NDVI decreased</w:t>
      </w:r>
      <w:r w:rsidR="00BE60DF">
        <w:t xml:space="preserve"> (Fig. 5A</w:t>
      </w:r>
      <w:r w:rsidR="00370984">
        <w:t xml:space="preserve"> &amp; 5B</w:t>
      </w:r>
      <w:r w:rsidR="00BE60DF">
        <w:t>)</w:t>
      </w:r>
      <w:r>
        <w:t xml:space="preserve">. </w:t>
      </w:r>
      <w:r w:rsidR="005F0ECE">
        <w:t xml:space="preserve">The range in associated mortality from greenspace changes spanned fewer to more deaths, reflecting that there were cities across all regions that experienced both increases and decreases in NDVI. </w:t>
      </w:r>
      <w:r>
        <w:t xml:space="preserve">Changes in associated deaths closely mirrored trends in NDVI, with the largest </w:t>
      </w:r>
      <w:r w:rsidR="00085466">
        <w:t xml:space="preserve">median </w:t>
      </w:r>
      <w:r>
        <w:t xml:space="preserve">reductions in Eastern Asia. </w:t>
      </w:r>
      <w:r w:rsidR="00780EEA">
        <w:t xml:space="preserve">Due to several city outliers with large increases in urban greenspace, </w:t>
      </w:r>
      <w:r w:rsidR="00085466">
        <w:t xml:space="preserve">Eastern Europe had the largest mean reductions in deaths, with an estimated average of </w:t>
      </w:r>
      <w:r w:rsidR="00085466" w:rsidRPr="00520382">
        <w:t>7.05 (95%</w:t>
      </w:r>
      <w:r w:rsidR="00616FAE" w:rsidRPr="00520382">
        <w:t xml:space="preserve"> </w:t>
      </w:r>
      <w:r w:rsidR="00085466" w:rsidRPr="00520382">
        <w:t xml:space="preserve">CI: </w:t>
      </w:r>
      <w:r w:rsidR="00520382">
        <w:t>4</w:t>
      </w:r>
      <w:r w:rsidR="00085466" w:rsidRPr="00520382">
        <w:t>.</w:t>
      </w:r>
      <w:r w:rsidR="00520382">
        <w:t>19</w:t>
      </w:r>
      <w:r w:rsidR="00085466" w:rsidRPr="00520382">
        <w:t xml:space="preserve">, </w:t>
      </w:r>
      <w:r w:rsidR="00520382">
        <w:t>9</w:t>
      </w:r>
      <w:r w:rsidR="00085466" w:rsidRPr="00520382">
        <w:t>.</w:t>
      </w:r>
      <w:r w:rsidR="00520382">
        <w:t>87</w:t>
      </w:r>
      <w:r w:rsidR="00085466" w:rsidRPr="00520382">
        <w:t>)</w:t>
      </w:r>
      <w:r w:rsidR="00085466">
        <w:t xml:space="preserve"> avoided deaths per 100,000. </w:t>
      </w:r>
      <w:r>
        <w:t xml:space="preserve">Eastern Asia had a </w:t>
      </w:r>
      <w:r w:rsidR="00B75AD6">
        <w:t xml:space="preserve">mean </w:t>
      </w:r>
      <w:r>
        <w:t xml:space="preserve">reduction of </w:t>
      </w:r>
      <w:r w:rsidR="00DD7A8E" w:rsidRPr="00520382">
        <w:t>4.</w:t>
      </w:r>
      <w:r w:rsidR="00B75AD6" w:rsidRPr="00520382">
        <w:t>18</w:t>
      </w:r>
      <w:r w:rsidR="00DD7A8E" w:rsidRPr="00520382">
        <w:t xml:space="preserve"> (</w:t>
      </w:r>
      <w:r w:rsidR="00B75AD6" w:rsidRPr="00520382">
        <w:t>95% CI: 2.</w:t>
      </w:r>
      <w:r w:rsidR="00520382">
        <w:t>48</w:t>
      </w:r>
      <w:r w:rsidR="00B75AD6" w:rsidRPr="00520382">
        <w:t xml:space="preserve">, </w:t>
      </w:r>
      <w:r w:rsidR="00520382">
        <w:t>5.87</w:t>
      </w:r>
      <w:r w:rsidR="00DD7A8E" w:rsidRPr="00520382">
        <w:t>)</w:t>
      </w:r>
      <w:r>
        <w:t xml:space="preserve"> annual premature deaths per 100,000 population, though even within this region there was substantial variation across cities, ranging from</w:t>
      </w:r>
      <w:r w:rsidR="000E0AD4">
        <w:t xml:space="preserve"> </w:t>
      </w:r>
      <w:r w:rsidR="00DD7A8E">
        <w:t>21.25</w:t>
      </w:r>
      <w:r w:rsidR="000E0AD4">
        <w:t xml:space="preserve"> fewer premature deaths per 100,000 in Shiyan, China to</w:t>
      </w:r>
      <w:r>
        <w:t xml:space="preserve"> </w:t>
      </w:r>
      <w:r w:rsidR="00DD7A8E">
        <w:t>13.72</w:t>
      </w:r>
      <w:r>
        <w:t xml:space="preserve"> more premature deaths per 100,000 in Hiroshima, Japan. Southeastern Asia and Sub-Saharan Africa had the highest increase in health burdens, with </w:t>
      </w:r>
      <w:r w:rsidR="00B75AD6">
        <w:t xml:space="preserve">means </w:t>
      </w:r>
      <w:r>
        <w:t xml:space="preserve">of </w:t>
      </w:r>
      <w:r w:rsidR="00B75AD6">
        <w:t>3.4</w:t>
      </w:r>
      <w:r w:rsidR="00520382">
        <w:t>4</w:t>
      </w:r>
      <w:r w:rsidR="00DD7A8E">
        <w:t xml:space="preserve"> (</w:t>
      </w:r>
      <w:r w:rsidR="00B75AD6">
        <w:t>95%</w:t>
      </w:r>
      <w:r w:rsidR="00E57E5E">
        <w:t xml:space="preserve"> </w:t>
      </w:r>
      <w:r w:rsidR="00B75AD6">
        <w:t>CI: 2.</w:t>
      </w:r>
      <w:r w:rsidR="00520382">
        <w:t>06</w:t>
      </w:r>
      <w:r w:rsidR="00B75AD6">
        <w:t xml:space="preserve">, </w:t>
      </w:r>
      <w:r w:rsidR="00520382">
        <w:t>4.79</w:t>
      </w:r>
      <w:r w:rsidR="00DD7A8E">
        <w:t>)</w:t>
      </w:r>
      <w:r>
        <w:t xml:space="preserve"> and </w:t>
      </w:r>
      <w:r w:rsidR="00B75AD6">
        <w:t>4.58</w:t>
      </w:r>
      <w:r w:rsidR="00DD7A8E">
        <w:t xml:space="preserve"> (</w:t>
      </w:r>
      <w:r w:rsidR="00B75AD6">
        <w:t>95% CI: 2.</w:t>
      </w:r>
      <w:r w:rsidR="00520382">
        <w:t>74</w:t>
      </w:r>
      <w:r w:rsidR="00B75AD6">
        <w:t xml:space="preserve">, </w:t>
      </w:r>
      <w:r w:rsidR="00520382">
        <w:t>6</w:t>
      </w:r>
      <w:r w:rsidR="00B75AD6">
        <w:t>.</w:t>
      </w:r>
      <w:r w:rsidR="00520382">
        <w:t>40</w:t>
      </w:r>
      <w:r w:rsidR="00DD7A8E">
        <w:t>)</w:t>
      </w:r>
      <w:r>
        <w:t xml:space="preserve"> more deaths per 100,000 respectively. Substantial intra-regional variation existed for these regions as well- ranging from </w:t>
      </w:r>
      <w:r w:rsidR="00DD7A8E">
        <w:t>3.75</w:t>
      </w:r>
      <w:r w:rsidR="00F92D13">
        <w:t xml:space="preserve"> fewer</w:t>
      </w:r>
      <w:r w:rsidR="00F92D13" w:rsidRPr="00F92D13">
        <w:t xml:space="preserve"> </w:t>
      </w:r>
      <w:r w:rsidR="00F92D13">
        <w:t>deaths to</w:t>
      </w:r>
      <w:r w:rsidR="00DD7A8E">
        <w:t xml:space="preserve"> 21.84</w:t>
      </w:r>
      <w:r>
        <w:t xml:space="preserve"> more deaths per 100,000 in South-eastern Asia and from </w:t>
      </w:r>
      <w:r w:rsidR="00DD7A8E">
        <w:t>9.04</w:t>
      </w:r>
      <w:r w:rsidR="00F92D13">
        <w:t xml:space="preserve"> fewer deaths to </w:t>
      </w:r>
      <w:r w:rsidR="00DD7A8E">
        <w:t>21.45</w:t>
      </w:r>
      <w:r>
        <w:t xml:space="preserve"> more deaths per 100,000 in Sub-Saharan Africa.</w:t>
      </w:r>
      <w:r w:rsidR="00BB7EA8" w:rsidRPr="00BB7EA8">
        <w:t xml:space="preserve"> </w:t>
      </w:r>
      <w:r w:rsidR="00B75AD6">
        <w:t>In absolute terms, Eastern Asia had the largest health gains from changes in NDVI with an estimated 20,</w:t>
      </w:r>
      <w:r w:rsidR="008A51B6">
        <w:t>600</w:t>
      </w:r>
      <w:r w:rsidR="00B75AD6">
        <w:t xml:space="preserve"> avoided deaths (95%CI: 1</w:t>
      </w:r>
      <w:r w:rsidR="00807A05">
        <w:t>2</w:t>
      </w:r>
      <w:r w:rsidR="00B75AD6">
        <w:t>,</w:t>
      </w:r>
      <w:r w:rsidR="00807A05">
        <w:t>2</w:t>
      </w:r>
      <w:r w:rsidR="008A51B6">
        <w:t>00</w:t>
      </w:r>
      <w:r w:rsidR="00B75AD6">
        <w:t xml:space="preserve">, </w:t>
      </w:r>
      <w:r w:rsidR="00807A05">
        <w:t>28</w:t>
      </w:r>
      <w:r w:rsidR="00B75AD6">
        <w:t>,</w:t>
      </w:r>
      <w:r w:rsidR="00807A05">
        <w:t>9</w:t>
      </w:r>
      <w:r w:rsidR="008A51B6">
        <w:t>00</w:t>
      </w:r>
      <w:r w:rsidR="00B75AD6">
        <w:t xml:space="preserve">) across all cities. Sub-Saharan Africa has the greatest </w:t>
      </w:r>
      <w:r w:rsidR="001821A1">
        <w:t xml:space="preserve">absolute </w:t>
      </w:r>
      <w:r w:rsidR="00B75AD6">
        <w:t>health burden from urban greenspace changes, with a total of 9,1</w:t>
      </w:r>
      <w:r w:rsidR="008A51B6">
        <w:t>00</w:t>
      </w:r>
      <w:r w:rsidR="00B75AD6">
        <w:t xml:space="preserve"> more deaths (95% CI: </w:t>
      </w:r>
      <w:r w:rsidR="00807A05">
        <w:t>5</w:t>
      </w:r>
      <w:r w:rsidR="008A51B6">
        <w:t>,</w:t>
      </w:r>
      <w:r w:rsidR="00807A05">
        <w:t>5</w:t>
      </w:r>
      <w:r w:rsidR="008A51B6">
        <w:t>00</w:t>
      </w:r>
      <w:r w:rsidR="00B75AD6">
        <w:t>, 1</w:t>
      </w:r>
      <w:r w:rsidR="00807A05">
        <w:t>2,</w:t>
      </w:r>
      <w:r w:rsidR="00B75AD6">
        <w:t>80</w:t>
      </w:r>
      <w:r w:rsidR="008A51B6">
        <w:t>0</w:t>
      </w:r>
      <w:r w:rsidR="00B75AD6">
        <w:t xml:space="preserve">). </w:t>
      </w:r>
    </w:p>
    <w:p w14:paraId="57051E70" w14:textId="7F1415BB" w:rsidR="005C0060" w:rsidRDefault="005C0060" w:rsidP="00346FF4"/>
    <w:p w14:paraId="5ABED03B" w14:textId="5DAE59FA" w:rsidR="00346FF4" w:rsidRDefault="000030D9" w:rsidP="00346FF4">
      <w:r>
        <w:t xml:space="preserve">We also considered </w:t>
      </w:r>
      <w:r w:rsidR="00B47F84">
        <w:t>NDVI-associated mortality changes by climate classification</w:t>
      </w:r>
      <w:r w:rsidR="00370984">
        <w:t xml:space="preserve"> (Fig. 5C &amp;5D)</w:t>
      </w:r>
      <w:r>
        <w:t>. Arid cities had stable NDVI values over time, and this was reflected in</w:t>
      </w:r>
      <w:r w:rsidR="00B47F84">
        <w:t xml:space="preserve"> t</w:t>
      </w:r>
      <w:r w:rsidR="00346FF4">
        <w:t xml:space="preserve">he </w:t>
      </w:r>
      <w:r w:rsidR="002D71DD">
        <w:t xml:space="preserve">average </w:t>
      </w:r>
      <w:r>
        <w:t xml:space="preserve">associated </w:t>
      </w:r>
      <w:r w:rsidR="00346FF4">
        <w:t>change</w:t>
      </w:r>
      <w:r>
        <w:t>s</w:t>
      </w:r>
      <w:r w:rsidR="00346FF4">
        <w:t xml:space="preserve"> in mortality</w:t>
      </w:r>
      <w:r>
        <w:t xml:space="preserve">, which was very close to zero at </w:t>
      </w:r>
      <w:r w:rsidR="00346FF4">
        <w:t>0.</w:t>
      </w:r>
      <w:r w:rsidR="002D71DD">
        <w:t>9</w:t>
      </w:r>
      <w:r w:rsidR="00C92D01">
        <w:t>0</w:t>
      </w:r>
      <w:r w:rsidR="002D71DD">
        <w:t xml:space="preserve"> (95% CI: 0.</w:t>
      </w:r>
      <w:r w:rsidR="00C92D01">
        <w:t>53</w:t>
      </w:r>
      <w:r w:rsidR="002D71DD">
        <w:t>, 1.</w:t>
      </w:r>
      <w:r w:rsidR="00C92D01">
        <w:t>27</w:t>
      </w:r>
      <w:r w:rsidR="002D71DD">
        <w:t>)</w:t>
      </w:r>
      <w:r w:rsidR="00346FF4">
        <w:t xml:space="preserve"> fewer</w:t>
      </w:r>
      <w:r>
        <w:t xml:space="preserve"> deaths per 100,000 </w:t>
      </w:r>
      <w:r w:rsidR="001F396A">
        <w:t xml:space="preserve">(range: </w:t>
      </w:r>
      <w:r w:rsidR="00AA7C74">
        <w:t>12.90</w:t>
      </w:r>
      <w:r w:rsidR="001F396A">
        <w:t xml:space="preserve"> fewer to </w:t>
      </w:r>
      <w:r w:rsidR="00AA7C74">
        <w:t>12.14</w:t>
      </w:r>
      <w:r w:rsidR="001F396A">
        <w:t xml:space="preserve"> more)</w:t>
      </w:r>
      <w:r w:rsidR="00370984">
        <w:t>.</w:t>
      </w:r>
      <w:r w:rsidR="001F396A">
        <w:t xml:space="preserve"> </w:t>
      </w:r>
      <w:r w:rsidR="00346FF4">
        <w:t xml:space="preserve">Temperate cities were similarly </w:t>
      </w:r>
      <w:proofErr w:type="gramStart"/>
      <w:r w:rsidR="00346FF4">
        <w:t>fairly evenly</w:t>
      </w:r>
      <w:proofErr w:type="gramEnd"/>
      <w:r w:rsidR="00346FF4">
        <w:t xml:space="preserve"> distributed between those with fewer and more deaths associated with changes in NDVI </w:t>
      </w:r>
      <w:r w:rsidR="000440D9">
        <w:t>but</w:t>
      </w:r>
      <w:r w:rsidR="00346FF4">
        <w:t xml:space="preserve"> had a larger spread than arid cities. Temperate cities had a </w:t>
      </w:r>
      <w:r w:rsidR="002D71DD">
        <w:t xml:space="preserve">mean </w:t>
      </w:r>
      <w:r w:rsidR="00346FF4">
        <w:t xml:space="preserve">change of </w:t>
      </w:r>
      <w:r w:rsidR="0007308F">
        <w:t>0.</w:t>
      </w:r>
      <w:r w:rsidR="002D71DD">
        <w:t>76</w:t>
      </w:r>
      <w:r w:rsidR="00346FF4">
        <w:t xml:space="preserve"> </w:t>
      </w:r>
      <w:r w:rsidR="002D71DD">
        <w:t>(95% CI: 0.45, 1.</w:t>
      </w:r>
      <w:r w:rsidR="00C92D01">
        <w:t>08</w:t>
      </w:r>
      <w:r w:rsidR="002D71DD">
        <w:t xml:space="preserve">) fewer </w:t>
      </w:r>
      <w:r w:rsidR="00546D86">
        <w:t xml:space="preserve">deaths per 100,000 </w:t>
      </w:r>
      <w:r w:rsidR="001F396A">
        <w:t xml:space="preserve">(range: </w:t>
      </w:r>
      <w:r w:rsidR="0007308F">
        <w:t>21.15</w:t>
      </w:r>
      <w:r w:rsidR="001F396A">
        <w:t xml:space="preserve"> fewer to </w:t>
      </w:r>
      <w:r w:rsidR="0007308F">
        <w:t>14.83</w:t>
      </w:r>
      <w:r w:rsidR="001F396A">
        <w:t xml:space="preserve"> more).</w:t>
      </w:r>
      <w:r w:rsidR="00346FF4">
        <w:t xml:space="preserve"> </w:t>
      </w:r>
      <w:r w:rsidR="000440D9">
        <w:t>Tropical cities became</w:t>
      </w:r>
      <w:r w:rsidR="00DA2B23">
        <w:t>,</w:t>
      </w:r>
      <w:r w:rsidR="000440D9">
        <w:t xml:space="preserve"> on average</w:t>
      </w:r>
      <w:r w:rsidR="00DA2B23">
        <w:t>,</w:t>
      </w:r>
      <w:r w:rsidR="000440D9">
        <w:t xml:space="preserve"> less green over the past decade and had</w:t>
      </w:r>
      <w:r w:rsidR="00346FF4">
        <w:t xml:space="preserve"> a </w:t>
      </w:r>
      <w:r w:rsidR="002D71DD">
        <w:t xml:space="preserve">mean </w:t>
      </w:r>
      <w:r w:rsidR="00346FF4">
        <w:t xml:space="preserve">of </w:t>
      </w:r>
      <w:r w:rsidR="0007308F">
        <w:t>2.</w:t>
      </w:r>
      <w:r w:rsidR="002D71DD">
        <w:t>68 (95% CI: 1.</w:t>
      </w:r>
      <w:r w:rsidR="00C92D01">
        <w:t>60</w:t>
      </w:r>
      <w:r w:rsidR="002D71DD">
        <w:t xml:space="preserve">, </w:t>
      </w:r>
      <w:r w:rsidR="00C92D01">
        <w:t>3.73</w:t>
      </w:r>
      <w:r w:rsidR="002D71DD">
        <w:t>)</w:t>
      </w:r>
      <w:r w:rsidR="00346FF4">
        <w:t xml:space="preserve"> more</w:t>
      </w:r>
      <w:r w:rsidR="00546D86">
        <w:t xml:space="preserve"> associated deaths per 100,000</w:t>
      </w:r>
      <w:r w:rsidR="00346FF4">
        <w:t xml:space="preserve"> </w:t>
      </w:r>
      <w:r w:rsidR="001F396A">
        <w:t>(range:</w:t>
      </w:r>
      <w:r w:rsidR="0007308F">
        <w:t xml:space="preserve"> 10.97</w:t>
      </w:r>
      <w:r w:rsidR="001F396A">
        <w:t xml:space="preserve"> fewer to </w:t>
      </w:r>
      <w:r w:rsidR="0007308F">
        <w:t>21.84</w:t>
      </w:r>
      <w:r w:rsidR="001F396A">
        <w:t xml:space="preserve"> more)</w:t>
      </w:r>
      <w:r w:rsidR="000440D9">
        <w:t xml:space="preserve">. In contrast, </w:t>
      </w:r>
      <w:r w:rsidR="00346FF4">
        <w:t xml:space="preserve">continental cities became slightly greener on and had a </w:t>
      </w:r>
      <w:r w:rsidR="008C087B">
        <w:t xml:space="preserve">mean </w:t>
      </w:r>
      <w:r w:rsidR="00346FF4">
        <w:t xml:space="preserve">of </w:t>
      </w:r>
      <w:r w:rsidR="002D71DD">
        <w:t>4.31 (95% CI: 2.</w:t>
      </w:r>
      <w:r w:rsidR="00C92D01">
        <w:t>55</w:t>
      </w:r>
      <w:r w:rsidR="002D71DD">
        <w:t xml:space="preserve">, </w:t>
      </w:r>
      <w:r w:rsidR="00C92D01">
        <w:t>6.03</w:t>
      </w:r>
      <w:r w:rsidR="002D71DD">
        <w:t>)</w:t>
      </w:r>
      <w:r w:rsidR="0001260F">
        <w:t xml:space="preserve"> </w:t>
      </w:r>
      <w:r w:rsidR="00346FF4">
        <w:t>fewer</w:t>
      </w:r>
      <w:r w:rsidR="00546D86">
        <w:t xml:space="preserve"> associated deaths per 100,000</w:t>
      </w:r>
      <w:r w:rsidR="00346FF4">
        <w:t xml:space="preserve"> </w:t>
      </w:r>
      <w:r w:rsidR="001F396A">
        <w:t xml:space="preserve">(range: </w:t>
      </w:r>
      <w:r w:rsidR="0001260F">
        <w:t>24.44</w:t>
      </w:r>
      <w:r w:rsidR="001F396A">
        <w:t xml:space="preserve"> fewer to </w:t>
      </w:r>
      <w:r w:rsidR="0001260F">
        <w:t>14.50</w:t>
      </w:r>
      <w:r w:rsidR="001F396A">
        <w:t xml:space="preserve"> more)</w:t>
      </w:r>
      <w:r w:rsidR="00346FF4">
        <w:t>. The spread across all climate classifications spanned redu</w:t>
      </w:r>
      <w:r w:rsidR="00CC129C">
        <w:t>ctions</w:t>
      </w:r>
      <w:r w:rsidR="00346FF4">
        <w:t xml:space="preserve"> and </w:t>
      </w:r>
      <w:r w:rsidR="00CC129C">
        <w:t>additions in</w:t>
      </w:r>
      <w:r w:rsidR="00346FF4">
        <w:t xml:space="preserve"> deaths</w:t>
      </w:r>
      <w:r w:rsidR="00B64E23">
        <w:t>.</w:t>
      </w:r>
      <w:r w:rsidR="00EC4809">
        <w:t xml:space="preserve"> In absolute terms, there was an estimated 3,3</w:t>
      </w:r>
      <w:r w:rsidR="008A51B6">
        <w:t>00</w:t>
      </w:r>
      <w:r w:rsidR="00EC4809">
        <w:t xml:space="preserve"> fewer (95% CI: </w:t>
      </w:r>
      <w:r w:rsidR="00C92D01">
        <w:t>1,800, 5,100</w:t>
      </w:r>
      <w:r w:rsidR="00EC4809">
        <w:t>) greenspace-associated deaths</w:t>
      </w:r>
      <w:r w:rsidR="006010B2">
        <w:t xml:space="preserve"> globally</w:t>
      </w:r>
      <w:r w:rsidR="00EC4809">
        <w:t xml:space="preserve">. </w:t>
      </w:r>
      <w:r w:rsidR="008C087B">
        <w:t xml:space="preserve">Continental cities </w:t>
      </w:r>
      <w:r w:rsidR="009D4513">
        <w:t>had the greatest reductions, with an estimated 10,9</w:t>
      </w:r>
      <w:r w:rsidR="008A51B6">
        <w:t>00</w:t>
      </w:r>
      <w:r w:rsidR="009D4513">
        <w:t xml:space="preserve"> (95% CI: </w:t>
      </w:r>
      <w:r w:rsidR="0063460D">
        <w:t>6</w:t>
      </w:r>
      <w:r w:rsidR="009D4513">
        <w:t>,</w:t>
      </w:r>
      <w:r w:rsidR="0063460D">
        <w:t>5</w:t>
      </w:r>
      <w:r w:rsidR="009D4513">
        <w:t>0</w:t>
      </w:r>
      <w:r w:rsidR="008A51B6">
        <w:t>0</w:t>
      </w:r>
      <w:r w:rsidR="009D4513">
        <w:t>, 1</w:t>
      </w:r>
      <w:r w:rsidR="0063460D">
        <w:t>5</w:t>
      </w:r>
      <w:r w:rsidR="009D4513">
        <w:t>,</w:t>
      </w:r>
      <w:r w:rsidR="0063460D">
        <w:t>3</w:t>
      </w:r>
      <w:r w:rsidR="008A51B6">
        <w:t>00</w:t>
      </w:r>
      <w:r w:rsidR="009D4513">
        <w:t>) fewer deaths, while tropical cities had the greatest increases (17,3</w:t>
      </w:r>
      <w:r w:rsidR="008A51B6">
        <w:t>00</w:t>
      </w:r>
      <w:r w:rsidR="009D4513">
        <w:t>, 95% CI: 1</w:t>
      </w:r>
      <w:r w:rsidR="0063460D">
        <w:t>0</w:t>
      </w:r>
      <w:r w:rsidR="009D4513">
        <w:t>,</w:t>
      </w:r>
      <w:r w:rsidR="0063460D">
        <w:t>4</w:t>
      </w:r>
      <w:r w:rsidR="009D4513">
        <w:t>0</w:t>
      </w:r>
      <w:r w:rsidR="008A51B6">
        <w:t>0</w:t>
      </w:r>
      <w:r w:rsidR="009D4513">
        <w:t>, 2</w:t>
      </w:r>
      <w:r w:rsidR="0063460D">
        <w:t>4</w:t>
      </w:r>
      <w:r w:rsidR="009D4513">
        <w:t>,</w:t>
      </w:r>
      <w:r w:rsidR="0063460D">
        <w:t>2</w:t>
      </w:r>
      <w:r w:rsidR="008A51B6">
        <w:t>00</w:t>
      </w:r>
      <w:r w:rsidR="009D4513">
        <w:t>).</w:t>
      </w:r>
      <w:r w:rsidR="008C087B">
        <w:t xml:space="preserve"> </w:t>
      </w:r>
      <w:r w:rsidR="00C9580E">
        <w:t>Region</w:t>
      </w:r>
      <w:r w:rsidR="00FA6E41">
        <w:t>-</w:t>
      </w:r>
      <w:r w:rsidR="00C9580E">
        <w:t xml:space="preserve"> and climate classification</w:t>
      </w:r>
      <w:r w:rsidR="00FA6E41">
        <w:t xml:space="preserve">-wide </w:t>
      </w:r>
      <w:r w:rsidR="006E1AF3">
        <w:t>total</w:t>
      </w:r>
      <w:r w:rsidR="00F91ED5">
        <w:t xml:space="preserve"> attributable </w:t>
      </w:r>
      <w:r w:rsidR="00FA6E41">
        <w:t xml:space="preserve">deaths per 100,000 and the corresponding 95% CIs can be </w:t>
      </w:r>
      <w:r w:rsidR="00FA6E41">
        <w:lastRenderedPageBreak/>
        <w:t>found in the appendix (Fig. S</w:t>
      </w:r>
      <w:r w:rsidR="008049D1">
        <w:t>7</w:t>
      </w:r>
      <w:r w:rsidR="00B64E23">
        <w:t>, Table S1-S2</w:t>
      </w:r>
      <w:r w:rsidR="00FA6E41">
        <w:t>)</w:t>
      </w:r>
      <w:r w:rsidR="00727C61">
        <w:t>. Individual city mortality estimates are also provide</w:t>
      </w:r>
      <w:r w:rsidR="00CC66DA">
        <w:t>d</w:t>
      </w:r>
      <w:r w:rsidR="00727C61">
        <w:t xml:space="preserve"> (Table S3). </w:t>
      </w:r>
    </w:p>
    <w:p w14:paraId="6547561A" w14:textId="2955FD63" w:rsidR="00346FF4" w:rsidRDefault="00D33D88" w:rsidP="00346FF4">
      <w:pPr>
        <w:rPr>
          <w:i/>
          <w:iCs/>
        </w:rPr>
      </w:pPr>
      <w:r>
        <w:rPr>
          <w:noProof/>
        </w:rPr>
        <w:drawing>
          <wp:anchor distT="0" distB="0" distL="114300" distR="114300" simplePos="0" relativeHeight="251679744" behindDoc="1" locked="0" layoutInCell="1" allowOverlap="1" wp14:anchorId="06302DD6" wp14:editId="4ACE76E8">
            <wp:simplePos x="0" y="0"/>
            <wp:positionH relativeFrom="column">
              <wp:posOffset>-45720</wp:posOffset>
            </wp:positionH>
            <wp:positionV relativeFrom="paragraph">
              <wp:posOffset>294005</wp:posOffset>
            </wp:positionV>
            <wp:extent cx="5943600" cy="5943600"/>
            <wp:effectExtent l="0" t="0" r="0" b="0"/>
            <wp:wrapTight wrapText="bothSides">
              <wp:wrapPolygon edited="0">
                <wp:start x="138" y="0"/>
                <wp:lineTo x="0" y="323"/>
                <wp:lineTo x="0" y="462"/>
                <wp:lineTo x="3092" y="738"/>
                <wp:lineTo x="3277" y="1477"/>
                <wp:lineTo x="3138" y="2031"/>
                <wp:lineTo x="3369" y="2077"/>
                <wp:lineTo x="4015" y="2262"/>
                <wp:lineTo x="3046" y="2538"/>
                <wp:lineTo x="2908" y="4062"/>
                <wp:lineTo x="4431" y="4431"/>
                <wp:lineTo x="3738" y="4523"/>
                <wp:lineTo x="3323" y="4615"/>
                <wp:lineTo x="3323" y="5169"/>
                <wp:lineTo x="3508" y="5908"/>
                <wp:lineTo x="2631" y="6185"/>
                <wp:lineTo x="2677" y="6508"/>
                <wp:lineTo x="646" y="6738"/>
                <wp:lineTo x="600" y="7062"/>
                <wp:lineTo x="2538" y="7385"/>
                <wp:lineTo x="2538" y="7569"/>
                <wp:lineTo x="3692" y="8123"/>
                <wp:lineTo x="4062" y="8123"/>
                <wp:lineTo x="1569" y="8446"/>
                <wp:lineTo x="1569" y="8723"/>
                <wp:lineTo x="5815" y="8862"/>
                <wp:lineTo x="5446" y="9369"/>
                <wp:lineTo x="5446" y="9600"/>
                <wp:lineTo x="6831" y="10338"/>
                <wp:lineTo x="7154" y="10338"/>
                <wp:lineTo x="738" y="10708"/>
                <wp:lineTo x="0" y="10800"/>
                <wp:lineTo x="0" y="11308"/>
                <wp:lineTo x="4154" y="11815"/>
                <wp:lineTo x="5815" y="11815"/>
                <wp:lineTo x="5815" y="12554"/>
                <wp:lineTo x="5031" y="12738"/>
                <wp:lineTo x="5031" y="12969"/>
                <wp:lineTo x="5815" y="13292"/>
                <wp:lineTo x="5815" y="14031"/>
                <wp:lineTo x="3923" y="14446"/>
                <wp:lineTo x="3923" y="14769"/>
                <wp:lineTo x="5815" y="14769"/>
                <wp:lineTo x="5815" y="15508"/>
                <wp:lineTo x="4015" y="16246"/>
                <wp:lineTo x="4015" y="16431"/>
                <wp:lineTo x="5400" y="16985"/>
                <wp:lineTo x="5815" y="16985"/>
                <wp:lineTo x="5815" y="17723"/>
                <wp:lineTo x="4477" y="17908"/>
                <wp:lineTo x="4477" y="18185"/>
                <wp:lineTo x="5815" y="18462"/>
                <wp:lineTo x="5862" y="19938"/>
                <wp:lineTo x="5446" y="20169"/>
                <wp:lineTo x="5446" y="20354"/>
                <wp:lineTo x="6323" y="20677"/>
                <wp:lineTo x="6277" y="21046"/>
                <wp:lineTo x="7477" y="21369"/>
                <wp:lineTo x="8862" y="21462"/>
                <wp:lineTo x="9185" y="21462"/>
                <wp:lineTo x="12738" y="21369"/>
                <wp:lineTo x="20954" y="20908"/>
                <wp:lineTo x="20908" y="20677"/>
                <wp:lineTo x="21508" y="20400"/>
                <wp:lineTo x="21508" y="20169"/>
                <wp:lineTo x="20723" y="19938"/>
                <wp:lineTo x="21323" y="19938"/>
                <wp:lineTo x="21508" y="19754"/>
                <wp:lineTo x="21508" y="10985"/>
                <wp:lineTo x="11031" y="10338"/>
                <wp:lineTo x="17308" y="10338"/>
                <wp:lineTo x="21554" y="10062"/>
                <wp:lineTo x="21508" y="231"/>
                <wp:lineTo x="21138" y="185"/>
                <wp:lineTo x="12877" y="0"/>
                <wp:lineTo x="138" y="0"/>
              </wp:wrapPolygon>
            </wp:wrapTight>
            <wp:docPr id="1337524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24212" name="Picture 1337524212"/>
                    <pic:cNvPicPr/>
                  </pic:nvPicPr>
                  <pic:blipFill>
                    <a:blip r:embed="rId13"/>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C7D073E" w14:textId="52DCC8E2" w:rsidR="00346FF4" w:rsidRDefault="00346FF4" w:rsidP="007E0BEF"/>
    <w:p w14:paraId="5958EDB6" w14:textId="088408FD" w:rsidR="007E0BEF" w:rsidRDefault="007E0BEF" w:rsidP="00551D54">
      <w:pPr>
        <w:rPr>
          <w:i/>
          <w:iCs/>
        </w:rPr>
      </w:pPr>
    </w:p>
    <w:p w14:paraId="4D8609CC" w14:textId="285F4818" w:rsidR="008443E7" w:rsidRDefault="008443E7" w:rsidP="00551D54">
      <w:pPr>
        <w:rPr>
          <w:i/>
          <w:iCs/>
        </w:rPr>
      </w:pPr>
    </w:p>
    <w:p w14:paraId="34534C29" w14:textId="5B1F2D37" w:rsidR="00EB77D4" w:rsidRDefault="00EB77D4" w:rsidP="00551D54">
      <w:pPr>
        <w:rPr>
          <w:i/>
          <w:iCs/>
        </w:rPr>
      </w:pPr>
    </w:p>
    <w:p w14:paraId="6295336C" w14:textId="18AA53BA" w:rsidR="00D10EF1" w:rsidRDefault="00D10EF1" w:rsidP="00551D54"/>
    <w:p w14:paraId="6EEB7B1B" w14:textId="59C8AC74" w:rsidR="00D10EF1" w:rsidRDefault="00D10EF1" w:rsidP="00551D54"/>
    <w:p w14:paraId="2E546CDB" w14:textId="4AC489A7" w:rsidR="00D10EF1" w:rsidRDefault="00D10EF1" w:rsidP="00551D54"/>
    <w:p w14:paraId="04C88F3A" w14:textId="6C949D2E" w:rsidR="00D10EF1" w:rsidRDefault="00D10EF1" w:rsidP="00551D54"/>
    <w:p w14:paraId="217736CB" w14:textId="1C5ED93D" w:rsidR="00D10EF1" w:rsidRDefault="00D10EF1" w:rsidP="00551D54"/>
    <w:p w14:paraId="1360A723" w14:textId="6B77D4DB" w:rsidR="00D10EF1" w:rsidRDefault="00D10EF1" w:rsidP="00551D54"/>
    <w:p w14:paraId="48DDCE01" w14:textId="23315990" w:rsidR="00D10EF1" w:rsidRDefault="00D10EF1" w:rsidP="00551D54"/>
    <w:p w14:paraId="5328D707" w14:textId="4A5FE395" w:rsidR="00D10EF1" w:rsidRDefault="00D10EF1" w:rsidP="00551D54"/>
    <w:p w14:paraId="241637EF" w14:textId="01CC8D35" w:rsidR="00D10EF1" w:rsidRDefault="00D10EF1" w:rsidP="00551D54"/>
    <w:p w14:paraId="75483409" w14:textId="3F3E6D8A" w:rsidR="00D10EF1" w:rsidRDefault="00D10EF1" w:rsidP="00551D54"/>
    <w:p w14:paraId="76F2E8D0" w14:textId="09EE33AB" w:rsidR="00D10EF1" w:rsidRDefault="00D10EF1" w:rsidP="00551D54"/>
    <w:p w14:paraId="56C983B7" w14:textId="5CD83A4E" w:rsidR="00D10EF1" w:rsidRDefault="00D10EF1" w:rsidP="00551D54"/>
    <w:p w14:paraId="10608FB6" w14:textId="4CDF3D76" w:rsidR="00D10EF1" w:rsidRDefault="00D10EF1" w:rsidP="00551D54"/>
    <w:p w14:paraId="3C280A3B" w14:textId="68331570" w:rsidR="00D10EF1" w:rsidRDefault="00D10EF1" w:rsidP="00551D54"/>
    <w:p w14:paraId="6969E91C" w14:textId="5BD76FE5" w:rsidR="00D10EF1" w:rsidRDefault="00D10EF1" w:rsidP="00551D54"/>
    <w:p w14:paraId="762A7D68" w14:textId="6C995CBB" w:rsidR="00D10EF1" w:rsidRDefault="00D10EF1" w:rsidP="00551D54"/>
    <w:p w14:paraId="1BED62CF" w14:textId="79D91A77" w:rsidR="00D10EF1" w:rsidRDefault="00D10EF1" w:rsidP="00551D54"/>
    <w:p w14:paraId="780EC024" w14:textId="18D9487C" w:rsidR="00D10EF1" w:rsidRDefault="00D10EF1" w:rsidP="00551D54"/>
    <w:p w14:paraId="107E2AE9" w14:textId="62BE7D42" w:rsidR="00D10EF1" w:rsidRDefault="00D10EF1" w:rsidP="00551D54"/>
    <w:p w14:paraId="7B69F0DA" w14:textId="40D8405E" w:rsidR="00D10EF1" w:rsidRDefault="00D10EF1" w:rsidP="00551D54"/>
    <w:p w14:paraId="376AF94E" w14:textId="432A257F" w:rsidR="00D10EF1" w:rsidRDefault="00D10EF1" w:rsidP="00551D54"/>
    <w:p w14:paraId="590A787A" w14:textId="42ED60B0" w:rsidR="00D10EF1" w:rsidRDefault="00D10EF1" w:rsidP="00551D54"/>
    <w:p w14:paraId="0ACAE32D" w14:textId="27A31AD4" w:rsidR="00D10EF1" w:rsidRDefault="00D10EF1" w:rsidP="00551D54"/>
    <w:p w14:paraId="376CE52A" w14:textId="3748F728" w:rsidR="00D10EF1" w:rsidRDefault="00D10EF1" w:rsidP="00551D54"/>
    <w:p w14:paraId="4825F050" w14:textId="053E7F98" w:rsidR="007727CC" w:rsidRDefault="007727CC" w:rsidP="00551D54">
      <w:pPr>
        <w:rPr>
          <w:b/>
          <w:bCs/>
          <w:i/>
          <w:iCs/>
        </w:rPr>
      </w:pPr>
    </w:p>
    <w:p w14:paraId="2D2F5804" w14:textId="47406AC5" w:rsidR="007727CC" w:rsidRDefault="007727CC" w:rsidP="00551D54">
      <w:pPr>
        <w:rPr>
          <w:b/>
          <w:bCs/>
          <w:i/>
          <w:iCs/>
        </w:rPr>
      </w:pPr>
    </w:p>
    <w:p w14:paraId="03C0D2F7" w14:textId="21D8D4D4" w:rsidR="007727CC" w:rsidRDefault="007727CC" w:rsidP="00551D54">
      <w:pPr>
        <w:rPr>
          <w:b/>
          <w:bCs/>
          <w:i/>
          <w:iCs/>
        </w:rPr>
      </w:pPr>
    </w:p>
    <w:p w14:paraId="5E7C09EB" w14:textId="2263ED3B" w:rsidR="0049174D" w:rsidRDefault="00D10EF1" w:rsidP="00551D54">
      <w:pPr>
        <w:rPr>
          <w:i/>
          <w:iCs/>
        </w:rPr>
      </w:pPr>
      <w:r w:rsidRPr="00D57F4C">
        <w:rPr>
          <w:b/>
          <w:bCs/>
          <w:i/>
          <w:iCs/>
        </w:rPr>
        <w:t xml:space="preserve">Figure </w:t>
      </w:r>
      <w:r w:rsidR="001C1F37">
        <w:rPr>
          <w:b/>
          <w:bCs/>
          <w:i/>
          <w:iCs/>
        </w:rPr>
        <w:t>5</w:t>
      </w:r>
      <w:r w:rsidRPr="00D57F4C">
        <w:rPr>
          <w:b/>
          <w:bCs/>
          <w:i/>
          <w:iCs/>
        </w:rPr>
        <w:t xml:space="preserve">. </w:t>
      </w:r>
      <w:r w:rsidR="005F0ECE">
        <w:rPr>
          <w:i/>
          <w:iCs/>
        </w:rPr>
        <w:t>C</w:t>
      </w:r>
      <w:r w:rsidRPr="00D57F4C">
        <w:rPr>
          <w:i/>
          <w:iCs/>
        </w:rPr>
        <w:t>hange</w:t>
      </w:r>
      <w:r>
        <w:rPr>
          <w:i/>
          <w:iCs/>
        </w:rPr>
        <w:t>s</w:t>
      </w:r>
      <w:r w:rsidRPr="00D57F4C">
        <w:rPr>
          <w:i/>
          <w:iCs/>
        </w:rPr>
        <w:t xml:space="preserve"> </w:t>
      </w:r>
      <w:r w:rsidR="008F40D9">
        <w:rPr>
          <w:i/>
          <w:iCs/>
        </w:rPr>
        <w:t xml:space="preserve">in </w:t>
      </w:r>
      <w:r w:rsidR="00B47F84">
        <w:rPr>
          <w:i/>
          <w:iCs/>
        </w:rPr>
        <w:t xml:space="preserve">city-level </w:t>
      </w:r>
      <w:r w:rsidRPr="00D57F4C">
        <w:rPr>
          <w:i/>
          <w:iCs/>
        </w:rPr>
        <w:t xml:space="preserve">mortality </w:t>
      </w:r>
      <w:r>
        <w:rPr>
          <w:i/>
          <w:iCs/>
        </w:rPr>
        <w:t>per 100,000 population</w:t>
      </w:r>
      <w:r w:rsidR="0012232D">
        <w:rPr>
          <w:i/>
          <w:iCs/>
        </w:rPr>
        <w:t xml:space="preserve"> (panels A &amp;C) and in absolute terms (panels B &amp; D)</w:t>
      </w:r>
      <w:r w:rsidR="002B0627" w:rsidRPr="002B0627">
        <w:rPr>
          <w:i/>
          <w:iCs/>
        </w:rPr>
        <w:t xml:space="preserve"> </w:t>
      </w:r>
      <w:r w:rsidR="005F0ECE">
        <w:rPr>
          <w:i/>
          <w:iCs/>
        </w:rPr>
        <w:t xml:space="preserve">associated with </w:t>
      </w:r>
      <w:r w:rsidR="002B0627">
        <w:rPr>
          <w:i/>
          <w:iCs/>
        </w:rPr>
        <w:t xml:space="preserve">changes in </w:t>
      </w:r>
      <w:r w:rsidR="00236756">
        <w:rPr>
          <w:i/>
          <w:iCs/>
        </w:rPr>
        <w:t xml:space="preserve">average </w:t>
      </w:r>
      <w:r w:rsidR="002B0627">
        <w:rPr>
          <w:i/>
          <w:iCs/>
        </w:rPr>
        <w:t>population-weighted peak season N</w:t>
      </w:r>
      <w:r w:rsidR="00236756">
        <w:rPr>
          <w:i/>
          <w:iCs/>
        </w:rPr>
        <w:t xml:space="preserve">ormalized </w:t>
      </w:r>
      <w:r w:rsidR="002B0627">
        <w:rPr>
          <w:i/>
          <w:iCs/>
        </w:rPr>
        <w:t>D</w:t>
      </w:r>
      <w:r w:rsidR="00236756">
        <w:rPr>
          <w:i/>
          <w:iCs/>
        </w:rPr>
        <w:t xml:space="preserve">ifference </w:t>
      </w:r>
      <w:r w:rsidR="002B0627">
        <w:rPr>
          <w:i/>
          <w:iCs/>
        </w:rPr>
        <w:t>V</w:t>
      </w:r>
      <w:r w:rsidR="00236756">
        <w:rPr>
          <w:i/>
          <w:iCs/>
        </w:rPr>
        <w:t xml:space="preserve">egetation </w:t>
      </w:r>
      <w:r w:rsidR="002B0627">
        <w:rPr>
          <w:i/>
          <w:iCs/>
        </w:rPr>
        <w:t>I</w:t>
      </w:r>
      <w:r w:rsidR="00236756">
        <w:rPr>
          <w:i/>
          <w:iCs/>
        </w:rPr>
        <w:t>ndex</w:t>
      </w:r>
      <w:r w:rsidR="009164DD">
        <w:rPr>
          <w:i/>
          <w:iCs/>
        </w:rPr>
        <w:t xml:space="preserve"> (NDVI) </w:t>
      </w:r>
      <w:r w:rsidR="002B0627">
        <w:rPr>
          <w:i/>
          <w:iCs/>
        </w:rPr>
        <w:t xml:space="preserve">from 2014-2018 to 2019-2023 </w:t>
      </w:r>
      <w:r>
        <w:rPr>
          <w:i/>
          <w:iCs/>
        </w:rPr>
        <w:t>to the 2020 population</w:t>
      </w:r>
      <w:r w:rsidR="00236756">
        <w:rPr>
          <w:i/>
          <w:iCs/>
        </w:rPr>
        <w:t>,</w:t>
      </w:r>
      <w:r>
        <w:rPr>
          <w:i/>
          <w:iCs/>
        </w:rPr>
        <w:t xml:space="preserve"> </w:t>
      </w:r>
      <w:r w:rsidR="002B0627">
        <w:rPr>
          <w:i/>
          <w:iCs/>
        </w:rPr>
        <w:t xml:space="preserve">by geographical region (panel A) and climate classification </w:t>
      </w:r>
      <w:r>
        <w:rPr>
          <w:i/>
          <w:iCs/>
        </w:rPr>
        <w:t>(panel B)</w:t>
      </w:r>
      <w:r w:rsidR="002B0627">
        <w:rPr>
          <w:i/>
          <w:iCs/>
        </w:rPr>
        <w:t>.</w:t>
      </w:r>
      <w:r w:rsidR="00967827">
        <w:rPr>
          <w:i/>
          <w:iCs/>
        </w:rPr>
        <w:t xml:space="preserve"> Regions are arranged by the average latitude of their cities.</w:t>
      </w:r>
      <w:r w:rsidR="002B0627">
        <w:rPr>
          <w:i/>
          <w:iCs/>
        </w:rPr>
        <w:t xml:space="preserve"> </w:t>
      </w:r>
      <w:r>
        <w:rPr>
          <w:i/>
          <w:iCs/>
        </w:rPr>
        <w:t>One city classified as</w:t>
      </w:r>
      <w:r w:rsidR="001463C7">
        <w:rPr>
          <w:i/>
          <w:iCs/>
        </w:rPr>
        <w:t xml:space="preserve"> </w:t>
      </w:r>
      <w:r>
        <w:rPr>
          <w:i/>
          <w:iCs/>
        </w:rPr>
        <w:t xml:space="preserve">“Polar” was dropped from </w:t>
      </w:r>
      <w:r w:rsidR="002B0627">
        <w:rPr>
          <w:i/>
          <w:iCs/>
        </w:rPr>
        <w:t xml:space="preserve">panel B </w:t>
      </w:r>
      <w:r>
        <w:rPr>
          <w:i/>
          <w:iCs/>
        </w:rPr>
        <w:t xml:space="preserve">(El Alto, Bolivia, </w:t>
      </w:r>
      <w:r w:rsidR="00FD0BDA">
        <w:rPr>
          <w:i/>
          <w:iCs/>
        </w:rPr>
        <w:t>4.78</w:t>
      </w:r>
      <w:r>
        <w:rPr>
          <w:i/>
          <w:iCs/>
        </w:rPr>
        <w:t xml:space="preserve"> </w:t>
      </w:r>
      <w:r w:rsidR="002509BF">
        <w:rPr>
          <w:i/>
          <w:iCs/>
        </w:rPr>
        <w:t xml:space="preserve">more </w:t>
      </w:r>
      <w:r>
        <w:rPr>
          <w:i/>
          <w:iCs/>
        </w:rPr>
        <w:t>deaths per 100,000 population).</w:t>
      </w:r>
    </w:p>
    <w:p w14:paraId="28512080" w14:textId="77777777" w:rsidR="00DF2DD5" w:rsidRPr="0049174D" w:rsidRDefault="00DF2DD5" w:rsidP="00551D54"/>
    <w:p w14:paraId="776DAF88" w14:textId="77777777" w:rsidR="00551D54" w:rsidRPr="00E150CA" w:rsidRDefault="00551D54" w:rsidP="00551D54">
      <w:pPr>
        <w:rPr>
          <w:b/>
          <w:bCs/>
        </w:rPr>
      </w:pPr>
      <w:r w:rsidRPr="00E150CA">
        <w:rPr>
          <w:b/>
          <w:bCs/>
        </w:rPr>
        <w:lastRenderedPageBreak/>
        <w:t>Discussion</w:t>
      </w:r>
    </w:p>
    <w:p w14:paraId="7F0F4C41" w14:textId="77777777" w:rsidR="003057CF" w:rsidRDefault="003057CF" w:rsidP="00551D54"/>
    <w:p w14:paraId="3A13A9A1" w14:textId="232ABBF2" w:rsidR="00E72C97" w:rsidRDefault="009164DD" w:rsidP="00551D54">
      <w:r>
        <w:t>U</w:t>
      </w:r>
      <w:r w:rsidR="00455EE4">
        <w:t>rban</w:t>
      </w:r>
      <w:r w:rsidR="00613582">
        <w:t xml:space="preserve"> greenspace varies greatly </w:t>
      </w:r>
      <w:r w:rsidR="00C42F55">
        <w:t>(</w:t>
      </w:r>
      <w:r>
        <w:t xml:space="preserve">NDVI </w:t>
      </w:r>
      <w:r w:rsidR="00C42F55">
        <w:t>mean: 0.270, range: 0.072, 0.580)</w:t>
      </w:r>
      <w:r w:rsidR="00BC60B4">
        <w:t xml:space="preserve"> across the 1,041 cities studied</w:t>
      </w:r>
      <w:r w:rsidR="00C42F55">
        <w:t xml:space="preserve"> </w:t>
      </w:r>
      <w:r w:rsidR="00613582">
        <w:t>and is related to region and climate classification.</w:t>
      </w:r>
      <w:r w:rsidR="00507D1B">
        <w:t xml:space="preserve"> </w:t>
      </w:r>
      <w:r w:rsidR="00613582">
        <w:t xml:space="preserve">Overall, </w:t>
      </w:r>
      <w:r w:rsidR="00EE0D06">
        <w:t>urban greenspace has remained stable from 2014-2018 to 2019-2023</w:t>
      </w:r>
      <w:r w:rsidR="00613582">
        <w:t xml:space="preserve">. However, </w:t>
      </w:r>
      <w:r w:rsidR="00EE0D06">
        <w:t>individual cities experienced over 20% changes</w:t>
      </w:r>
      <w:r>
        <w:t xml:space="preserve"> in city average NDVI</w:t>
      </w:r>
      <w:r w:rsidR="00EE0D06">
        <w:t xml:space="preserve"> in either direction</w:t>
      </w:r>
      <w:r w:rsidR="00613582">
        <w:t xml:space="preserve">. </w:t>
      </w:r>
      <w:r w:rsidR="00E517CA">
        <w:t xml:space="preserve">Regionally, </w:t>
      </w:r>
      <w:r>
        <w:t xml:space="preserve">NDVI changed </w:t>
      </w:r>
      <w:r w:rsidR="00E517CA">
        <w:t xml:space="preserve">over 5% in South-eastern Asia (-6.3%) and Eastern Asia (+6.2%), while cities classified as arid were the most stable. </w:t>
      </w:r>
      <w:r w:rsidR="004E7988">
        <w:t>We estimate</w:t>
      </w:r>
      <w:r w:rsidR="00EE0D06">
        <w:t>d</w:t>
      </w:r>
      <w:r w:rsidR="004E7988">
        <w:t xml:space="preserve"> that </w:t>
      </w:r>
      <w:r>
        <w:t xml:space="preserve">NDVI </w:t>
      </w:r>
      <w:r w:rsidR="004E7988">
        <w:t xml:space="preserve">changes from 2014-2018 to 2019-2023 were associated with </w:t>
      </w:r>
      <w:r w:rsidR="0076188F">
        <w:t xml:space="preserve">an average of </w:t>
      </w:r>
      <w:r w:rsidR="00E33108" w:rsidRPr="00BB6EFB">
        <w:t xml:space="preserve">0.19 </w:t>
      </w:r>
      <w:r w:rsidR="00E33108">
        <w:t>(95% CI: 0.1</w:t>
      </w:r>
      <w:r w:rsidR="00D01962">
        <w:t>2</w:t>
      </w:r>
      <w:r w:rsidR="00E33108">
        <w:t>, 0.2</w:t>
      </w:r>
      <w:r w:rsidR="00D01962">
        <w:t>7</w:t>
      </w:r>
      <w:r w:rsidR="00E33108">
        <w:t xml:space="preserve">) </w:t>
      </w:r>
      <w:r w:rsidR="004E7988">
        <w:t>additional deaths per 100,000 across the 1,041 cities.</w:t>
      </w:r>
      <w:r w:rsidR="00EF3256">
        <w:t xml:space="preserve"> </w:t>
      </w:r>
      <w:r w:rsidR="009E1007">
        <w:t xml:space="preserve">While the </w:t>
      </w:r>
      <w:r w:rsidR="00EF3256">
        <w:t>global estimate</w:t>
      </w:r>
      <w:r w:rsidR="009E1007">
        <w:t xml:space="preserve"> showed almost no change</w:t>
      </w:r>
      <w:r w:rsidR="00EF3256">
        <w:t>, mortality changes associated with urban greenspace</w:t>
      </w:r>
      <w:r>
        <w:t xml:space="preserve"> ranged widely</w:t>
      </w:r>
      <w:r w:rsidR="00AB7DA9">
        <w:t xml:space="preserve">, with </w:t>
      </w:r>
      <w:r w:rsidR="00B559F0">
        <w:t xml:space="preserve">over 100-fold higher and lower death rates across </w:t>
      </w:r>
      <w:r w:rsidR="00AB7DA9">
        <w:t xml:space="preserve">individual </w:t>
      </w:r>
      <w:r w:rsidR="00B559F0">
        <w:t>cities</w:t>
      </w:r>
      <w:r w:rsidR="00AB7DA9">
        <w:t>.</w:t>
      </w:r>
      <w:r w:rsidR="00D9092A">
        <w:t xml:space="preserve"> </w:t>
      </w:r>
    </w:p>
    <w:p w14:paraId="366E8B3D" w14:textId="77777777" w:rsidR="00AF772E" w:rsidRDefault="00AF772E" w:rsidP="00551D54"/>
    <w:p w14:paraId="0A3C8A23" w14:textId="3CCB97AC" w:rsidR="00E445DA" w:rsidRDefault="008964A8" w:rsidP="00551D54">
      <w:r>
        <w:t xml:space="preserve">Our urban greenspace </w:t>
      </w:r>
      <w:r w:rsidR="00DD0A0D">
        <w:t xml:space="preserve">estimates </w:t>
      </w:r>
      <w:r>
        <w:t xml:space="preserve">align closely with previous work using </w:t>
      </w:r>
      <w:r w:rsidR="00E445DA">
        <w:t xml:space="preserve">a </w:t>
      </w:r>
      <w:r>
        <w:t>similar spatial scale</w:t>
      </w:r>
      <w:r w:rsidR="00AB68EB">
        <w:t xml:space="preserve"> and inclusion criteria</w:t>
      </w:r>
      <w:r>
        <w:t xml:space="preserve"> and are considerably lower than </w:t>
      </w:r>
      <w:r w:rsidR="00E445DA">
        <w:t xml:space="preserve">a </w:t>
      </w:r>
      <w:r w:rsidR="00035998">
        <w:t>stud</w:t>
      </w:r>
      <w:r w:rsidR="00E445DA">
        <w:t>y</w:t>
      </w:r>
      <w:r>
        <w:t xml:space="preserve"> using a coarser spatial resolution</w:t>
      </w:r>
      <w:r w:rsidR="00C25A2E">
        <w:t xml:space="preserve"> and more inclusive urban definition</w:t>
      </w:r>
      <w:r w:rsidR="00E445DA">
        <w:t>.</w:t>
      </w:r>
      <w:r w:rsidR="00D04E43">
        <w:t xml:space="preserve"> </w:t>
      </w:r>
      <w:r w:rsidR="00E445DA">
        <w:t xml:space="preserve">Brochu et al. quantified urban greenspace </w:t>
      </w:r>
      <w:r w:rsidR="002C0757">
        <w:t xml:space="preserve">across the 35 most populous U.S. </w:t>
      </w:r>
      <w:r w:rsidR="00E445DA">
        <w:t>cities using</w:t>
      </w:r>
      <w:r w:rsidR="00D04E43">
        <w:t xml:space="preserve"> census tracts as </w:t>
      </w:r>
      <w:r w:rsidR="00B6780A">
        <w:t>the</w:t>
      </w:r>
      <w:r w:rsidR="00D04E43">
        <w:t xml:space="preserve"> unit of analysis</w:t>
      </w:r>
      <w:r w:rsidR="00E445DA">
        <w:t xml:space="preserve">, </w:t>
      </w:r>
      <w:r w:rsidR="00D04E43">
        <w:t xml:space="preserve">which are </w:t>
      </w:r>
      <w:r w:rsidR="00E313E4">
        <w:t>generally</w:t>
      </w:r>
      <w:r w:rsidR="00D04E43">
        <w:t xml:space="preserve"> spatially analogous to our 100m pixels</w:t>
      </w:r>
      <w:r w:rsidR="00E445DA">
        <w:t xml:space="preserve"> in urban areas</w:t>
      </w:r>
      <w:r w:rsidR="00D04E43">
        <w:t>.</w:t>
      </w:r>
      <w:r w:rsidR="00760E36">
        <w:fldChar w:fldCharType="begin"/>
      </w:r>
      <w:r w:rsidR="00E34A08">
        <w:instrText xml:space="preserve"> ADDIN ZOTERO_ITEM CSL_CITATION {"citationID":"Dlvl6cmq","properties":{"formattedCitation":"\\super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fldChar w:fldCharType="separate"/>
      </w:r>
      <w:r w:rsidR="00E34A08" w:rsidRPr="00E34A08">
        <w:rPr>
          <w:vertAlign w:val="superscript"/>
        </w:rPr>
        <w:t>19</w:t>
      </w:r>
      <w:r w:rsidR="00760E36">
        <w:fldChar w:fldCharType="end"/>
      </w:r>
      <w:r w:rsidR="00D04E43">
        <w:t xml:space="preserve"> </w:t>
      </w:r>
      <w:r w:rsidR="00297C49">
        <w:t xml:space="preserve">They </w:t>
      </w:r>
      <w:r w:rsidR="00D04E43">
        <w:t>report</w:t>
      </w:r>
      <w:r w:rsidR="00792E78">
        <w:t>ed</w:t>
      </w:r>
      <w:r w:rsidR="00AF772E">
        <w:t xml:space="preserve"> a mean NDVI of 0.35</w:t>
      </w:r>
      <w:r w:rsidR="00297C49">
        <w:t>-</w:t>
      </w:r>
      <w:r w:rsidR="00AF772E">
        <w:t>0.40</w:t>
      </w:r>
      <w:r w:rsidR="00674844">
        <w:t xml:space="preserve"> </w:t>
      </w:r>
      <w:r w:rsidR="005A7519">
        <w:t>between 2000-2019</w:t>
      </w:r>
      <w:r w:rsidR="00297C49">
        <w:t xml:space="preserve">, </w:t>
      </w:r>
      <w:r w:rsidR="00D04E43">
        <w:t xml:space="preserve">which aligns </w:t>
      </w:r>
      <w:r w:rsidR="004E0C6E">
        <w:t xml:space="preserve">well </w:t>
      </w:r>
      <w:r w:rsidR="00D04E43">
        <w:t xml:space="preserve">with our population-weighted peak season NDVI estimates of 0.39 in 2014-2018 and 0.38 in 2019-2023 across all North American cities. </w:t>
      </w:r>
      <w:r w:rsidR="00E445DA">
        <w:t xml:space="preserve">Barboza et al. </w:t>
      </w:r>
      <w:r w:rsidR="00AB68EB">
        <w:t xml:space="preserve">estimated an average baseline NDVI of 0.52 (range: 0.11-0.72) across </w:t>
      </w:r>
      <w:r w:rsidR="00AB68EB">
        <w:rPr>
          <w:color w:val="000000"/>
          <w:shd w:val="clear" w:color="auto" w:fill="FFFFFF"/>
        </w:rPr>
        <w:t xml:space="preserve">978 </w:t>
      </w:r>
      <w:r w:rsidR="00AB68EB">
        <w:t>European cities</w:t>
      </w:r>
      <w:r w:rsidR="00E445DA">
        <w:t>.</w:t>
      </w:r>
      <w:r w:rsidR="00E445DA">
        <w:rPr>
          <w:color w:val="000000"/>
          <w:shd w:val="clear" w:color="auto" w:fill="FFFFFF"/>
        </w:rPr>
        <w:fldChar w:fldCharType="begin"/>
      </w:r>
      <w:r w:rsidR="00E34A08">
        <w:rPr>
          <w:color w:val="000000"/>
          <w:shd w:val="clear" w:color="auto" w:fill="FFFFFF"/>
        </w:rPr>
        <w:instrText xml:space="preserve"> ADDIN ZOTERO_ITEM CSL_CITATION {"citationID":"aOC1CNyC","properties":{"formattedCitation":"\\super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color w:val="000000"/>
          <w:shd w:val="clear" w:color="auto" w:fill="FFFFFF"/>
        </w:rPr>
        <w:fldChar w:fldCharType="separate"/>
      </w:r>
      <w:r w:rsidR="00E34A08" w:rsidRPr="00E34A08">
        <w:rPr>
          <w:color w:val="000000"/>
          <w:vertAlign w:val="superscript"/>
        </w:rPr>
        <w:t>18</w:t>
      </w:r>
      <w:r w:rsidR="00E445DA">
        <w:rPr>
          <w:color w:val="000000"/>
          <w:shd w:val="clear" w:color="auto" w:fill="FFFFFF"/>
        </w:rPr>
        <w:fldChar w:fldCharType="end"/>
      </w:r>
      <w:r w:rsidR="00E445DA">
        <w:rPr>
          <w:color w:val="000000"/>
          <w:shd w:val="clear" w:color="auto" w:fill="FFFFFF"/>
        </w:rPr>
        <w:t xml:space="preserve"> </w:t>
      </w:r>
      <w:r w:rsidR="00E445DA">
        <w:t>Our baseline NDVI estimates were substantially lower, with a mean estimate of 0.</w:t>
      </w:r>
      <w:r w:rsidR="00BE0233">
        <w:t>33</w:t>
      </w:r>
      <w:r w:rsidR="00E445DA">
        <w:t xml:space="preserve"> (range: 0.13, 0.46) across European </w:t>
      </w:r>
      <w:r w:rsidR="00BE0233">
        <w:t>cities</w:t>
      </w:r>
      <w:r w:rsidR="00E445DA">
        <w:t xml:space="preserve">. </w:t>
      </w:r>
      <w:r w:rsidR="00AB68EB">
        <w:t>Barboza et al.</w:t>
      </w:r>
      <w:r w:rsidR="00E445DA">
        <w:t xml:space="preserve"> averaged NDVI using a 300m buffer around each </w:t>
      </w:r>
      <w:r w:rsidR="00AB68EB">
        <w:t xml:space="preserve">250m </w:t>
      </w:r>
      <w:r w:rsidR="00E445DA">
        <w:t>pixel</w:t>
      </w:r>
      <w:r w:rsidR="00AB68EB">
        <w:t>, which could partially explain this discrepancy</w:t>
      </w:r>
      <w:r w:rsidR="00E445DA">
        <w:t>. In previous Lancet Countdown reports, NDVI was averaged to the 1km resolution, which produced</w:t>
      </w:r>
      <w:r w:rsidR="00AB68EB">
        <w:t xml:space="preserve"> </w:t>
      </w:r>
      <w:r w:rsidR="00E445DA">
        <w:t>higher estimates of NDVI, with a</w:t>
      </w:r>
      <w:r w:rsidR="00AB68EB">
        <w:t xml:space="preserve"> WHO European </w:t>
      </w:r>
      <w:r w:rsidR="00F35A3A">
        <w:t xml:space="preserve">region </w:t>
      </w:r>
      <w:r w:rsidR="00E445DA">
        <w:t>average of 0.3</w:t>
      </w:r>
      <w:r w:rsidR="00AB68EB">
        <w:t>7</w:t>
      </w:r>
      <w:r w:rsidR="00E445DA">
        <w:t>.</w:t>
      </w:r>
      <w:r w:rsidR="00E445DA">
        <w:fldChar w:fldCharType="begin"/>
      </w:r>
      <w:r w:rsidR="00E34A08">
        <w:instrText xml:space="preserve"> ADDIN ZOTERO_ITEM CSL_CITATION {"citationID":"yoP0IWmY","properties":{"formattedCitation":"\\super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fldChar w:fldCharType="separate"/>
      </w:r>
      <w:r w:rsidR="00E34A08" w:rsidRPr="00E34A08">
        <w:rPr>
          <w:vertAlign w:val="superscript"/>
        </w:rPr>
        <w:t>20</w:t>
      </w:r>
      <w:r w:rsidR="00E445DA">
        <w:fldChar w:fldCharType="end"/>
      </w:r>
      <w:r w:rsidR="00E445DA">
        <w:t xml:space="preserve"> Coarser resolution data </w:t>
      </w:r>
      <w:r w:rsidR="00AE0D66">
        <w:t>may</w:t>
      </w:r>
      <w:r w:rsidR="00E445DA">
        <w:t xml:space="preserve"> increase the </w:t>
      </w:r>
      <w:r w:rsidR="00AB68EB">
        <w:t xml:space="preserve">NDVI </w:t>
      </w:r>
      <w:r w:rsidR="00E445DA">
        <w:t xml:space="preserve">estimate </w:t>
      </w:r>
      <w:r w:rsidR="00AB68EB">
        <w:t>in</w:t>
      </w:r>
      <w:r w:rsidR="00E445DA">
        <w:t xml:space="preserve"> dense urban centers, by averaging </w:t>
      </w:r>
      <w:r w:rsidR="00AB68EB">
        <w:t xml:space="preserve">values from </w:t>
      </w:r>
      <w:r w:rsidR="00E445DA">
        <w:t>greener areas outside the city center.</w:t>
      </w:r>
      <w:r w:rsidR="00AB68EB">
        <w:t xml:space="preserve"> Furthermore, </w:t>
      </w:r>
      <w:r w:rsidR="00A554FB">
        <w:t xml:space="preserve">we limited </w:t>
      </w:r>
      <w:r w:rsidR="00AB68EB">
        <w:t>th</w:t>
      </w:r>
      <w:r w:rsidR="00A554FB">
        <w:t>e</w:t>
      </w:r>
      <w:r w:rsidR="00AB68EB">
        <w:t xml:space="preserve"> analysis to</w:t>
      </w:r>
      <w:r w:rsidR="00A554FB">
        <w:t xml:space="preserve"> cities with over 500,000 inhabitants, while the Barboza </w:t>
      </w:r>
      <w:r w:rsidR="0059464E">
        <w:t xml:space="preserve">et al. </w:t>
      </w:r>
      <w:r w:rsidR="00A554FB">
        <w:t xml:space="preserve">study </w:t>
      </w:r>
      <w:r w:rsidR="004F5056">
        <w:t>used the</w:t>
      </w:r>
      <w:r w:rsidR="00A554FB">
        <w:t xml:space="preserve"> Organization for Economic Cooperation and Development</w:t>
      </w:r>
      <w:r w:rsidR="004F5056">
        <w:t xml:space="preserve"> city definition</w:t>
      </w:r>
      <w:r w:rsidR="00A554FB">
        <w:t>, which includes urban areas with as few as 50,000 residents.</w:t>
      </w:r>
      <w:r w:rsidR="005D6065">
        <w:t xml:space="preserve"> Smaller cities may be </w:t>
      </w:r>
      <w:r w:rsidR="00711CF3">
        <w:t>greener</w:t>
      </w:r>
      <w:r w:rsidR="005D6065">
        <w:t xml:space="preserve"> due to the need for less infrastructure.</w:t>
      </w:r>
    </w:p>
    <w:p w14:paraId="05F876B8" w14:textId="77777777" w:rsidR="00E445DA" w:rsidRDefault="00E445DA" w:rsidP="00551D54"/>
    <w:p w14:paraId="078D64BE" w14:textId="429E7D42" w:rsidR="009F0F64" w:rsidRPr="00741FA6" w:rsidRDefault="00E445DA" w:rsidP="00551D54">
      <w:pPr>
        <w:rPr>
          <w:color w:val="000000" w:themeColor="text1"/>
        </w:rPr>
      </w:pPr>
      <w:r>
        <w:t xml:space="preserve">Our health impact estimates differ from past work, as we compare </w:t>
      </w:r>
      <w:r w:rsidR="00E63B04">
        <w:t xml:space="preserve">historical changes </w:t>
      </w:r>
      <w:r>
        <w:t>(both negative and positive)</w:t>
      </w:r>
      <w:r w:rsidR="00103044">
        <w:t>,</w:t>
      </w:r>
      <w:r>
        <w:t xml:space="preserve"> whereas previous studies have looked at the impact of</w:t>
      </w:r>
      <w:r w:rsidR="00846322">
        <w:t xml:space="preserve"> hypothetical</w:t>
      </w:r>
      <w:r>
        <w:t xml:space="preserve"> addi</w:t>
      </w:r>
      <w:r w:rsidR="00846322">
        <w:t>tions in</w:t>
      </w:r>
      <w:r>
        <w:t xml:space="preserve"> greenspace.</w:t>
      </w:r>
      <w:r w:rsidR="002C0757">
        <w:t xml:space="preserve"> </w:t>
      </w:r>
      <w:r>
        <w:t xml:space="preserve">Brochu et al. estimated that </w:t>
      </w:r>
      <w:r w:rsidR="007C4CBA">
        <w:t xml:space="preserve">0.1 </w:t>
      </w:r>
      <w:r>
        <w:t>increases in NDVI were associated with 200, 170, and 150 fewer deaths</w:t>
      </w:r>
      <w:r w:rsidR="007C4CBA">
        <w:t xml:space="preserve"> </w:t>
      </w:r>
      <w:r w:rsidR="00031544">
        <w:t xml:space="preserve">per 100,000 </w:t>
      </w:r>
      <w:r w:rsidR="007C4CBA">
        <w:t>across 35 American cities</w:t>
      </w:r>
      <w:r>
        <w:t xml:space="preserve"> among those 65 and older</w:t>
      </w:r>
      <w:r w:rsidR="007C4CBA">
        <w:t xml:space="preserve"> </w:t>
      </w:r>
      <w:r>
        <w:t xml:space="preserve">in 2000, 2010, and 2019, respectively. </w:t>
      </w:r>
      <w:r w:rsidR="00103044">
        <w:t xml:space="preserve">We estimated that </w:t>
      </w:r>
      <w:r w:rsidR="00031544">
        <w:t xml:space="preserve">NDVI </w:t>
      </w:r>
      <w:r w:rsidR="00103044">
        <w:t xml:space="preserve">changes were associated with an average of </w:t>
      </w:r>
      <w:r w:rsidR="00AC46B6">
        <w:t>2.67</w:t>
      </w:r>
      <w:r w:rsidR="00103044">
        <w:t xml:space="preserve"> more deaths per 100,000 across the entire </w:t>
      </w:r>
      <w:r w:rsidR="00966C47">
        <w:t xml:space="preserve">set of </w:t>
      </w:r>
      <w:r w:rsidR="00103044">
        <w:t xml:space="preserve">North American </w:t>
      </w:r>
      <w:r w:rsidR="00966C47">
        <w:t>cities</w:t>
      </w:r>
      <w:r w:rsidR="00103044">
        <w:t xml:space="preserve">. </w:t>
      </w:r>
      <w:r w:rsidR="00966C47">
        <w:t xml:space="preserve">Our results include the total population rather than those 65 and older and </w:t>
      </w:r>
      <w:r w:rsidR="004728FB">
        <w:t>are</w:t>
      </w:r>
      <w:r w:rsidR="00966C47">
        <w:t xml:space="preserve"> inclusive of 57 cities including 8 Canadian cities. For these reasons, the magnitude of the results is not directly comparable. Furthermore, w</w:t>
      </w:r>
      <w:r w:rsidR="00103044">
        <w:t>e found that NDVI decreased</w:t>
      </w:r>
      <w:r w:rsidR="008F3CB0">
        <w:t xml:space="preserve"> in North American cities</w:t>
      </w:r>
      <w:r w:rsidR="00103044">
        <w:t xml:space="preserve"> over our study period, explaining the difference in sign of our results. </w:t>
      </w:r>
      <w:r w:rsidR="002C0757">
        <w:t xml:space="preserve">Barboza et al. </w:t>
      </w:r>
      <w:r w:rsidR="009F0F64">
        <w:t xml:space="preserve">estimated health impacts of increasing NDVI to </w:t>
      </w:r>
      <w:r w:rsidR="009F0F64" w:rsidRPr="00E150CA">
        <w:rPr>
          <w:color w:val="000000"/>
          <w:shd w:val="clear" w:color="auto" w:fill="FFFFFF"/>
        </w:rPr>
        <w:t>the World Health Organization’s recommendation of universal access to greenspace</w:t>
      </w:r>
      <w:r w:rsidR="009F0F64">
        <w:rPr>
          <w:color w:val="000000"/>
          <w:shd w:val="clear" w:color="auto" w:fill="FFFFFF"/>
        </w:rPr>
        <w:t xml:space="preserve"> and</w:t>
      </w:r>
      <w:r w:rsidR="009F0F64" w:rsidRPr="00AB68EB">
        <w:rPr>
          <w:color w:val="000000"/>
          <w:shd w:val="clear" w:color="auto" w:fill="FFFFFF"/>
        </w:rPr>
        <w:t xml:space="preserve"> </w:t>
      </w:r>
      <w:r w:rsidR="009F0F64">
        <w:rPr>
          <w:color w:val="000000"/>
          <w:shd w:val="clear" w:color="auto" w:fill="FFFFFF"/>
        </w:rPr>
        <w:t xml:space="preserve">reported </w:t>
      </w:r>
      <w:r w:rsidR="009F0F64">
        <w:t xml:space="preserve">large variability across </w:t>
      </w:r>
      <w:r w:rsidR="009F0F64">
        <w:rPr>
          <w:color w:val="000000"/>
          <w:shd w:val="clear" w:color="auto" w:fill="FFFFFF"/>
        </w:rPr>
        <w:t>European cities</w:t>
      </w:r>
      <w:r w:rsidR="009F0F64">
        <w:t xml:space="preserve"> ranging from 1-59 fewer deaths per 100,000 inhabitants among adults 20 years and older</w:t>
      </w:r>
      <w:r w:rsidR="00BC3162">
        <w:t>.</w:t>
      </w:r>
      <w:r w:rsidR="00103044">
        <w:t xml:space="preserve"> Our health impact estimate of the associated mortality change from NDVI changes across European cities was </w:t>
      </w:r>
      <w:r w:rsidR="00AC46B6">
        <w:t>0.41</w:t>
      </w:r>
      <w:r w:rsidR="00103044">
        <w:t xml:space="preserve"> </w:t>
      </w:r>
      <w:r w:rsidR="00103044" w:rsidRPr="00741FA6">
        <w:rPr>
          <w:color w:val="000000" w:themeColor="text1"/>
        </w:rPr>
        <w:lastRenderedPageBreak/>
        <w:t>fewer deaths per 100,000</w:t>
      </w:r>
      <w:r w:rsidR="00924544" w:rsidRPr="00741FA6">
        <w:rPr>
          <w:color w:val="000000" w:themeColor="text1"/>
        </w:rPr>
        <w:t xml:space="preserve"> (range: </w:t>
      </w:r>
      <w:r w:rsidR="00AC46B6" w:rsidRPr="00741FA6">
        <w:rPr>
          <w:color w:val="000000" w:themeColor="text1"/>
        </w:rPr>
        <w:t>24.44</w:t>
      </w:r>
      <w:r w:rsidR="00924544" w:rsidRPr="00741FA6">
        <w:rPr>
          <w:color w:val="000000" w:themeColor="text1"/>
        </w:rPr>
        <w:t xml:space="preserve"> fewer to </w:t>
      </w:r>
      <w:r w:rsidR="00AC46B6" w:rsidRPr="00741FA6">
        <w:rPr>
          <w:color w:val="000000" w:themeColor="text1"/>
        </w:rPr>
        <w:t>13.75</w:t>
      </w:r>
      <w:r w:rsidR="00924544" w:rsidRPr="00741FA6">
        <w:rPr>
          <w:color w:val="000000" w:themeColor="text1"/>
        </w:rPr>
        <w:t xml:space="preserve"> more)</w:t>
      </w:r>
      <w:r w:rsidR="00103044" w:rsidRPr="00741FA6">
        <w:rPr>
          <w:color w:val="000000" w:themeColor="text1"/>
        </w:rPr>
        <w:t>.</w:t>
      </w:r>
      <w:r w:rsidR="00DD427C" w:rsidRPr="00741FA6">
        <w:rPr>
          <w:color w:val="000000" w:themeColor="text1"/>
        </w:rPr>
        <w:t xml:space="preserve"> Though we included the total population rather than restricting to adults,</w:t>
      </w:r>
      <w:r w:rsidR="006D1DC3" w:rsidRPr="00741FA6">
        <w:rPr>
          <w:color w:val="000000" w:themeColor="text1"/>
        </w:rPr>
        <w:t xml:space="preserve"> European cities experienced both positive and negative changes in NDVI over the study period, </w:t>
      </w:r>
      <w:r w:rsidR="00DD427C" w:rsidRPr="00741FA6">
        <w:rPr>
          <w:color w:val="000000" w:themeColor="text1"/>
        </w:rPr>
        <w:t>resulting in health estimates that were</w:t>
      </w:r>
      <w:r w:rsidR="006D1DC3" w:rsidRPr="00741FA6">
        <w:rPr>
          <w:color w:val="000000" w:themeColor="text1"/>
        </w:rPr>
        <w:t xml:space="preserve"> smaller in magnitude than those found by Barboza et al.</w:t>
      </w:r>
      <w:r w:rsidR="00DD427C" w:rsidRPr="00741FA6">
        <w:rPr>
          <w:color w:val="000000" w:themeColor="text1"/>
        </w:rPr>
        <w:t xml:space="preserve"> Our use of total population may overestimate the health benefits of increased greenspace and health losses from decreases.</w:t>
      </w:r>
    </w:p>
    <w:p w14:paraId="078C4639" w14:textId="7FEDD242" w:rsidR="00507D1B" w:rsidRPr="00741FA6" w:rsidRDefault="00E445DA" w:rsidP="00551D54">
      <w:pPr>
        <w:rPr>
          <w:color w:val="000000" w:themeColor="text1"/>
        </w:rPr>
      </w:pPr>
      <w:r w:rsidRPr="00741FA6">
        <w:rPr>
          <w:color w:val="000000" w:themeColor="text1"/>
        </w:rPr>
        <w:t xml:space="preserve"> </w:t>
      </w:r>
    </w:p>
    <w:p w14:paraId="52ACE9AC" w14:textId="01444BDC" w:rsidR="00951FAF" w:rsidRDefault="00190084" w:rsidP="00551D54">
      <w:r w:rsidRPr="00741FA6">
        <w:rPr>
          <w:color w:val="000000" w:themeColor="text1"/>
        </w:rPr>
        <w:t>There are several key limitations to our study. We use one exposure-response function globally</w:t>
      </w:r>
      <w:r w:rsidR="002E019E">
        <w:rPr>
          <w:color w:val="000000" w:themeColor="text1"/>
        </w:rPr>
        <w:t xml:space="preserve"> from</w:t>
      </w:r>
      <w:r w:rsidR="002E019E" w:rsidRPr="00741FA6">
        <w:rPr>
          <w:color w:val="000000" w:themeColor="text1"/>
        </w:rPr>
        <w:t xml:space="preserve"> a large-scale meta-analysis </w:t>
      </w:r>
      <w:r w:rsidR="002E019E">
        <w:rPr>
          <w:color w:val="000000" w:themeColor="text1"/>
        </w:rPr>
        <w:t xml:space="preserve">that includes populations from the Northern America, Eastern Asia, Southern and Western Europe, and Australia and New Zealand regions, with significant representation of temperate and continental climates and limited inclusion of select arid and tropical cities, </w:t>
      </w:r>
      <w:r w:rsidR="002E019E" w:rsidRPr="00741FA6">
        <w:rPr>
          <w:color w:val="000000" w:themeColor="text1"/>
        </w:rPr>
        <w:t>to be as generalizable as possible.</w:t>
      </w:r>
      <w:r w:rsidRPr="00741FA6">
        <w:rPr>
          <w:color w:val="000000" w:themeColor="text1"/>
        </w:rPr>
        <w:t xml:space="preserve"> </w:t>
      </w:r>
      <w:r w:rsidR="002E019E">
        <w:rPr>
          <w:color w:val="000000" w:themeColor="text1"/>
        </w:rPr>
        <w:t>However, most of the studies were</w:t>
      </w:r>
      <w:r w:rsidR="004D2877">
        <w:rPr>
          <w:color w:val="000000" w:themeColor="text1"/>
        </w:rPr>
        <w:t xml:space="preserve"> </w:t>
      </w:r>
      <w:r w:rsidR="002E019E">
        <w:rPr>
          <w:color w:val="000000" w:themeColor="text1"/>
        </w:rPr>
        <w:t xml:space="preserve">conducted in </w:t>
      </w:r>
      <w:r w:rsidRPr="00741FA6">
        <w:rPr>
          <w:color w:val="000000" w:themeColor="text1"/>
        </w:rPr>
        <w:t>Europe and North Americ</w:t>
      </w:r>
      <w:r w:rsidR="002E019E">
        <w:rPr>
          <w:color w:val="000000" w:themeColor="text1"/>
        </w:rPr>
        <w:t>a</w:t>
      </w:r>
      <w:r w:rsidR="004D2877">
        <w:rPr>
          <w:color w:val="000000" w:themeColor="text1"/>
        </w:rPr>
        <w:t xml:space="preserve"> in temperate and continental climat</w:t>
      </w:r>
      <w:r w:rsidR="002453F5">
        <w:rPr>
          <w:color w:val="000000" w:themeColor="text1"/>
        </w:rPr>
        <w:t>es</w:t>
      </w:r>
      <w:r w:rsidR="004D2877">
        <w:rPr>
          <w:color w:val="000000" w:themeColor="text1"/>
        </w:rPr>
        <w:t>,</w:t>
      </w:r>
      <w:r w:rsidR="004D2877">
        <w:t xml:space="preserve"> where </w:t>
      </w:r>
      <w:r w:rsidR="00EC09BC">
        <w:t>vegetation may differ from other climate zones</w:t>
      </w:r>
      <w:r w:rsidR="004D2877">
        <w:t xml:space="preserve">. </w:t>
      </w:r>
      <w:r w:rsidR="00EC09BC">
        <w:t>F</w:t>
      </w:r>
      <w:r w:rsidR="0035526C">
        <w:t xml:space="preserve">ewer data points contribute to the exposure-response curve at </w:t>
      </w:r>
      <w:r w:rsidR="004D2877">
        <w:t xml:space="preserve">very high or </w:t>
      </w:r>
      <w:r w:rsidR="0035526C">
        <w:t>low NDVI levels</w:t>
      </w:r>
      <w:r w:rsidR="00EC09BC">
        <w:t>, such as may be found in tropical or arid climates</w:t>
      </w:r>
      <w:r w:rsidR="0035526C">
        <w:t>.</w:t>
      </w:r>
      <w:r w:rsidR="009144DC">
        <w:t xml:space="preserve"> </w:t>
      </w:r>
      <w:r w:rsidRPr="00741FA6">
        <w:rPr>
          <w:color w:val="000000" w:themeColor="text1"/>
        </w:rPr>
        <w:t xml:space="preserve">The relationship between NDVI and all-cause mortality may be related to </w:t>
      </w:r>
      <w:r w:rsidR="0035526C">
        <w:rPr>
          <w:color w:val="000000" w:themeColor="text1"/>
        </w:rPr>
        <w:t>current NDVI levels and other</w:t>
      </w:r>
      <w:r w:rsidR="0035526C" w:rsidRPr="00741FA6">
        <w:rPr>
          <w:color w:val="000000" w:themeColor="text1"/>
        </w:rPr>
        <w:t xml:space="preserve"> </w:t>
      </w:r>
      <w:r w:rsidRPr="00741FA6">
        <w:rPr>
          <w:color w:val="000000" w:themeColor="text1"/>
        </w:rPr>
        <w:t>factors that vary by region</w:t>
      </w:r>
      <w:r w:rsidR="004D2877">
        <w:rPr>
          <w:color w:val="000000" w:themeColor="text1"/>
        </w:rPr>
        <w:t xml:space="preserve"> and climate</w:t>
      </w:r>
      <w:r w:rsidRPr="00741FA6">
        <w:rPr>
          <w:color w:val="000000" w:themeColor="text1"/>
        </w:rPr>
        <w:t xml:space="preserve">. </w:t>
      </w:r>
      <w:r w:rsidR="009144DC">
        <w:t xml:space="preserve">While some of the causal pathways that link NDVI to health, such as reduced stress from viewing greenspaces, are universal, others likely differ across climates. For example, increasing NDVI in arid climates may consist of adding vegetation which can survive in dry climates, which may provide less shade and relief from the heat than leafier plants requiring more water. Adding greenspace in arid climates could still provide health benefits through other pathways, such as providing natural beauty and places to exercise and gather. </w:t>
      </w:r>
      <w:r w:rsidR="00D03DC0">
        <w:t xml:space="preserve">Additionally, </w:t>
      </w:r>
      <w:r w:rsidR="00EC09BC">
        <w:t>spending more time outdoors may increase people’s exposure to air pollution and accidents in developing cities with greater traffic and less regulations. W</w:t>
      </w:r>
      <w:r w:rsidR="00D03DC0">
        <w:t xml:space="preserve">e extrapolated the results of the </w:t>
      </w:r>
      <w:r w:rsidR="009144DC">
        <w:t>meta-analysis</w:t>
      </w:r>
      <w:r w:rsidR="00D03DC0">
        <w:t>, which largely consists of studies</w:t>
      </w:r>
      <w:r w:rsidR="009144DC">
        <w:t xml:space="preserve"> </w:t>
      </w:r>
      <w:r w:rsidR="00D03DC0">
        <w:t xml:space="preserve">from developed countries </w:t>
      </w:r>
      <w:r w:rsidR="00EC09BC">
        <w:t xml:space="preserve">in temperate and continental climates </w:t>
      </w:r>
      <w:r w:rsidR="00D03DC0">
        <w:t>to a global set of cities</w:t>
      </w:r>
      <w:r w:rsidR="009144DC">
        <w:t xml:space="preserve">. </w:t>
      </w:r>
      <w:r w:rsidR="00EC09BC">
        <w:t>Thus, t</w:t>
      </w:r>
      <w:r w:rsidR="004D2877">
        <w:t xml:space="preserve">he uncertainty of our estimates is larger for cities in regions and climate zones not well-represented by the meta-analysis. </w:t>
      </w:r>
      <w:r w:rsidR="00EC09BC">
        <w:t xml:space="preserve">These unmeasured sources of uncertainty are not captured by our error estimates. </w:t>
      </w:r>
      <w:r w:rsidR="00F80B47" w:rsidRPr="00741FA6">
        <w:rPr>
          <w:color w:val="000000" w:themeColor="text1"/>
        </w:rPr>
        <w:t xml:space="preserve">While the current evidence base linking greenspace and all-cause mortality does not support a city-specific approach, there are many city-level factors that </w:t>
      </w:r>
      <w:r w:rsidR="006B0C9A">
        <w:rPr>
          <w:color w:val="000000" w:themeColor="text1"/>
        </w:rPr>
        <w:t>c</w:t>
      </w:r>
      <w:r w:rsidR="00F80B47" w:rsidRPr="00741FA6">
        <w:rPr>
          <w:color w:val="000000" w:themeColor="text1"/>
        </w:rPr>
        <w:t>ould theoretically influence the relationship between greenspace and mortality</w:t>
      </w:r>
      <w:r w:rsidR="00845FF9">
        <w:rPr>
          <w:color w:val="000000" w:themeColor="text1"/>
        </w:rPr>
        <w:t xml:space="preserve">. City </w:t>
      </w:r>
      <w:r w:rsidRPr="00741FA6">
        <w:rPr>
          <w:color w:val="000000" w:themeColor="text1"/>
        </w:rPr>
        <w:t xml:space="preserve">walkability (safety, pedestrian infrastructure, traffic, etc.), time spent </w:t>
      </w:r>
      <w:r w:rsidR="00845FF9">
        <w:rPr>
          <w:color w:val="000000" w:themeColor="text1"/>
        </w:rPr>
        <w:t>near</w:t>
      </w:r>
      <w:r w:rsidR="00845FF9" w:rsidRPr="00741FA6">
        <w:rPr>
          <w:color w:val="000000" w:themeColor="text1"/>
        </w:rPr>
        <w:t xml:space="preserve"> </w:t>
      </w:r>
      <w:r w:rsidRPr="00741FA6">
        <w:rPr>
          <w:color w:val="000000" w:themeColor="text1"/>
        </w:rPr>
        <w:t xml:space="preserve">home where we have measured their exposure (employment type, leisure time, etc.), and </w:t>
      </w:r>
      <w:r w:rsidR="00845FF9">
        <w:rPr>
          <w:color w:val="000000" w:themeColor="text1"/>
        </w:rPr>
        <w:t>baseline</w:t>
      </w:r>
      <w:r w:rsidR="00845FF9" w:rsidRPr="00741FA6">
        <w:rPr>
          <w:color w:val="000000" w:themeColor="text1"/>
        </w:rPr>
        <w:t xml:space="preserve"> </w:t>
      </w:r>
      <w:r w:rsidRPr="00741FA6">
        <w:rPr>
          <w:color w:val="000000" w:themeColor="text1"/>
        </w:rPr>
        <w:t xml:space="preserve">environmental hazards (heat, air pollution, noise, </w:t>
      </w:r>
      <w:proofErr w:type="spellStart"/>
      <w:r w:rsidRPr="00741FA6">
        <w:rPr>
          <w:color w:val="000000" w:themeColor="text1"/>
        </w:rPr>
        <w:t>etc</w:t>
      </w:r>
      <w:proofErr w:type="spellEnd"/>
      <w:r w:rsidR="00F80B47" w:rsidRPr="00741FA6">
        <w:rPr>
          <w:color w:val="000000" w:themeColor="text1"/>
        </w:rPr>
        <w:t>)</w:t>
      </w:r>
      <w:r w:rsidR="00845FF9">
        <w:rPr>
          <w:color w:val="000000" w:themeColor="text1"/>
        </w:rPr>
        <w:t xml:space="preserve"> may impact the strength of the greenspace-health relationship across different cities in addition to i</w:t>
      </w:r>
      <w:r w:rsidRPr="00741FA6">
        <w:rPr>
          <w:color w:val="000000" w:themeColor="text1"/>
        </w:rPr>
        <w:t xml:space="preserve">ndividual factors like age, socioeconomic status, and gender. While the meta-analysis </w:t>
      </w:r>
      <w:r>
        <w:t>we used controls for many of these city and individual factors, the populations included might not be generalizable globally.</w:t>
      </w:r>
      <w:r w:rsidR="0035526C">
        <w:t xml:space="preserve"> </w:t>
      </w:r>
    </w:p>
    <w:p w14:paraId="04CDA42C" w14:textId="77777777" w:rsidR="00951FAF" w:rsidRDefault="00951FAF" w:rsidP="00551D54"/>
    <w:p w14:paraId="28D46362" w14:textId="187ACB89" w:rsidR="00B050E8" w:rsidRDefault="00B050E8" w:rsidP="00551D54">
      <w:r>
        <w:t xml:space="preserve">Roughly half of the </w:t>
      </w:r>
      <w:r w:rsidR="00F84646">
        <w:t xml:space="preserve">nine </w:t>
      </w:r>
      <w:r>
        <w:t>studies included in the meta-analysis adjusted for air pollution and two of the</w:t>
      </w:r>
      <w:r w:rsidR="00F84646">
        <w:t>m</w:t>
      </w:r>
      <w:r>
        <w:t xml:space="preserve"> controlled for some aspect of climate or temperature. Because of the heterogeneity in confounders across studies, the estimated exposure-response function captures some amount of the benefits from reduced environmental harms such as the urban heat island effect and air pollution. The results presented here likely underestimate the total health benefits from added greenspace and overestimate those provided by greenspace independent of its impact on other environmental harms. Furthermore, the timescale on which exposure to higher levels of NDVI improves health is unknown. The studies included in the meta-analysis range in follow-up time from four to 18 years. </w:t>
      </w:r>
      <w:r w:rsidR="00116098">
        <w:t xml:space="preserve">If the changes in NDVI across the two time periods do not reflect true </w:t>
      </w:r>
      <w:r w:rsidR="00116098">
        <w:lastRenderedPageBreak/>
        <w:t>trends but rather temporary increases or decreases, our results will not be applicable to future heath projections.</w:t>
      </w:r>
      <w:r w:rsidR="00951FAF">
        <w:t xml:space="preserve"> Moreover, the studies included in the meta-analysis compare NDVI across locations. Our study assumes that the mortality relationships found </w:t>
      </w:r>
      <w:r w:rsidR="00C428C8">
        <w:t xml:space="preserve">when </w:t>
      </w:r>
      <w:r w:rsidR="00951FAF">
        <w:t xml:space="preserve">comparing spatial differences in NDVI </w:t>
      </w:r>
      <w:r w:rsidR="000B7149">
        <w:t>can be applied</w:t>
      </w:r>
      <w:r w:rsidR="00322DD1">
        <w:t xml:space="preserve"> </w:t>
      </w:r>
      <w:r w:rsidR="000B7149">
        <w:t>to</w:t>
      </w:r>
      <w:r w:rsidR="00951FAF">
        <w:t xml:space="preserve"> temporal </w:t>
      </w:r>
      <w:r w:rsidR="00322DD1">
        <w:t>differences</w:t>
      </w:r>
      <w:r w:rsidR="00951FAF">
        <w:t xml:space="preserve">. </w:t>
      </w:r>
    </w:p>
    <w:p w14:paraId="4BAED56C" w14:textId="77777777" w:rsidR="00B050E8" w:rsidRDefault="00B050E8" w:rsidP="00551D54"/>
    <w:p w14:paraId="5DAB37FE" w14:textId="7C72658D" w:rsidR="008C3F1F" w:rsidRDefault="00190084" w:rsidP="00551D54">
      <w:r>
        <w:t>We</w:t>
      </w:r>
      <w:r w:rsidR="00010CDC">
        <w:t xml:space="preserve"> use</w:t>
      </w:r>
      <w:r w:rsidR="00A75BA5">
        <w:t>d</w:t>
      </w:r>
      <w:r w:rsidR="00010CDC">
        <w:t xml:space="preserve"> NDVI to measure urban greenspac</w:t>
      </w:r>
      <w:r w:rsidR="00D673DE">
        <w:t>e, which has limitations</w:t>
      </w:r>
      <w:r w:rsidR="00010CDC">
        <w:t>. NDVI is t</w:t>
      </w:r>
      <w:r w:rsidR="00AA3F0D">
        <w:t>he most common metric used in epidemiological studies, because of its fine spatial and temporal resolution, which lends itself particularly well to longitudinal studies</w:t>
      </w:r>
      <w:r w:rsidR="00BB1079">
        <w:t xml:space="preserve"> and urban settings</w:t>
      </w:r>
      <w:r w:rsidR="00AA3F0D">
        <w:t xml:space="preserve">. </w:t>
      </w:r>
      <w:r w:rsidR="00010CDC">
        <w:t>However,</w:t>
      </w:r>
      <w:r w:rsidR="00AA3F0D">
        <w:t xml:space="preserve"> NDVI is a function of the greenness of vegetation, which can miss important factors influencing usability such as land ownership, perceptions of safety, and infrastructure. </w:t>
      </w:r>
      <w:r w:rsidR="00457E7E">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 w14:paraId="2D700140" w14:textId="56A09DC2" w:rsidR="008929AF" w:rsidRDefault="008C3F1F" w:rsidP="00551D54">
      <w:r>
        <w:t>W</w:t>
      </w:r>
      <w:r w:rsidR="00C802AF">
        <w:t xml:space="preserve">e found substantial </w:t>
      </w:r>
      <w:r w:rsidR="00FE4044">
        <w:t>inter-</w:t>
      </w:r>
      <w:r w:rsidR="00C802AF">
        <w:t xml:space="preserve">annual variation in NDVI, particularly </w:t>
      </w:r>
      <w:r w:rsidR="00CC782D">
        <w:t xml:space="preserve">in cities outside of arid climate zones. </w:t>
      </w:r>
      <w:r w:rsidR="008929AF">
        <w:t>Differences in NDVI between two individual years are therefore more likely to reflect weather patterns than city-wide efforts towards urban greening.</w:t>
      </w:r>
      <w:r w:rsidR="00AD04B4">
        <w:t xml:space="preserve"> Urbanization in the past decade could also </w:t>
      </w:r>
      <w:r w:rsidR="004F541A">
        <w:t>contribute to these changes, as we used a consistent urban boundary definition across the ten-year period, however cities may have grown and morphed over this time.</w:t>
      </w:r>
      <w:r w:rsidR="00AC04E2">
        <w:t xml:space="preserve"> We explored changes in urban fraction in a sensitivity analysis (Fig. S</w:t>
      </w:r>
      <w:r w:rsidR="00E13389">
        <w:t>8</w:t>
      </w:r>
      <w:r w:rsidR="00DC38FF">
        <w:t>, S</w:t>
      </w:r>
      <w:r w:rsidR="00E13389">
        <w:t>9</w:t>
      </w:r>
      <w:r w:rsidR="00AC04E2">
        <w:t>) and found no correlation between the urban fraction across cities and year.</w:t>
      </w:r>
      <w:r w:rsidR="00E710C0" w:rsidDel="00E710C0">
        <w:t xml:space="preserve"> </w:t>
      </w:r>
      <w:r w:rsidR="008929AF">
        <w:t>To account for cyclical patterns, we compare</w:t>
      </w:r>
      <w:r w:rsidR="00010CDC">
        <w:t>d</w:t>
      </w:r>
      <w:r w:rsidR="008929AF">
        <w:t xml:space="preserve"> differences between two 5-year periods. </w:t>
      </w:r>
      <w:r w:rsidR="004F5056">
        <w:t xml:space="preserve">These time periods roughly align with the Lancet Countdown’s reporting, which has published greenspace exposure dating back to 2015, while creating two equal time periods and using the latest available data. </w:t>
      </w:r>
      <w:r w:rsidR="00933057">
        <w:t xml:space="preserve">While </w:t>
      </w:r>
      <w:r w:rsidR="00010CDC">
        <w:t xml:space="preserve">our exposure definition limits the influence of weather </w:t>
      </w:r>
      <w:r w:rsidR="00BC176E">
        <w:t>o</w:t>
      </w:r>
      <w:r w:rsidR="00010CDC">
        <w:t xml:space="preserve">n our </w:t>
      </w:r>
      <w:r w:rsidR="00BC176E">
        <w:t xml:space="preserve">NDVI </w:t>
      </w:r>
      <w:r w:rsidR="00010CDC">
        <w:t xml:space="preserve">estimates, the inter-annual variation highlights </w:t>
      </w:r>
      <w:r w:rsidR="00A75BA5">
        <w:t xml:space="preserve">difficulties </w:t>
      </w:r>
      <w:r w:rsidR="00933057">
        <w:t>with</w:t>
      </w:r>
      <w:r w:rsidR="00A75BA5">
        <w:t xml:space="preserve"> using</w:t>
      </w:r>
      <w:r w:rsidR="00933057">
        <w:t xml:space="preserve"> NDVI </w:t>
      </w:r>
      <w:r w:rsidR="00A75BA5">
        <w:t>for health impact assessments</w:t>
      </w:r>
      <w:r w:rsidR="00933057">
        <w:t xml:space="preserve">. </w:t>
      </w:r>
      <w:r w:rsidR="00A75BA5">
        <w:t xml:space="preserve">Recent efforts to increase </w:t>
      </w:r>
      <w:r w:rsidR="00435E2B">
        <w:t xml:space="preserve">urban </w:t>
      </w:r>
      <w:r w:rsidR="00A75BA5">
        <w:t xml:space="preserve">greenspace </w:t>
      </w:r>
      <w:r w:rsidR="00B83005">
        <w:t xml:space="preserve">may be </w:t>
      </w:r>
      <w:r w:rsidR="00BC176E">
        <w:t>attenuated</w:t>
      </w:r>
      <w:r w:rsidR="00A75BA5">
        <w:t xml:space="preserve"> in our study </w:t>
      </w:r>
      <w:r w:rsidR="008531B6">
        <w:t xml:space="preserve">by </w:t>
      </w:r>
      <w:r w:rsidR="003958B0">
        <w:t>using</w:t>
      </w:r>
      <w:r w:rsidR="00612307">
        <w:t xml:space="preserve"> </w:t>
      </w:r>
      <w:r w:rsidR="00A75BA5">
        <w:t>five-year average</w:t>
      </w:r>
      <w:r w:rsidR="00612307">
        <w:t>s</w:t>
      </w:r>
      <w:r w:rsidR="00A75BA5">
        <w:t xml:space="preserve">. </w:t>
      </w:r>
      <w:r w:rsidR="00092D06">
        <w:t>We aim to disentangle the impact of different drivers of changes in NDVI in future work to provide a better understanding of the impact of efforts to expand urban greenspace amidst climate change, urbanization, and meteorologic flu</w:t>
      </w:r>
      <w:r w:rsidR="00020AE2">
        <w:t>ct</w:t>
      </w:r>
      <w:r w:rsidR="00092D06">
        <w:t>uations.</w:t>
      </w:r>
    </w:p>
    <w:p w14:paraId="169AAEF3" w14:textId="77777777" w:rsidR="00352531" w:rsidRPr="00E150CA" w:rsidRDefault="00352531" w:rsidP="00551D54"/>
    <w:p w14:paraId="39720810" w14:textId="77777777" w:rsidR="00551D54" w:rsidRPr="00E150CA" w:rsidRDefault="00551D54" w:rsidP="00551D54">
      <w:pPr>
        <w:rPr>
          <w:b/>
          <w:bCs/>
        </w:rPr>
      </w:pPr>
      <w:r w:rsidRPr="00E150CA">
        <w:rPr>
          <w:b/>
          <w:bCs/>
        </w:rPr>
        <w:t>Conclusion</w:t>
      </w:r>
    </w:p>
    <w:p w14:paraId="73C7F6DD" w14:textId="77777777" w:rsidR="00551D54" w:rsidRDefault="00551D54" w:rsidP="00551D54"/>
    <w:p w14:paraId="7AB0316B" w14:textId="7EB71F9D" w:rsidR="007354C6" w:rsidRDefault="00296762" w:rsidP="00551D54">
      <w:r>
        <w:t>We found large inter-annual variability in NDVI</w:t>
      </w:r>
      <w:r w:rsidR="008E4A82">
        <w:t xml:space="preserve">, likely driven by </w:t>
      </w:r>
      <w:r>
        <w:t>a mix of weather, climate change</w:t>
      </w:r>
      <w:r w:rsidR="00211C0F">
        <w:t>, urban development, and efforts to increase urban greenspace</w:t>
      </w:r>
      <w:r>
        <w:t xml:space="preserve">. </w:t>
      </w:r>
      <w:r w:rsidR="00E401D7">
        <w:t xml:space="preserve">Globally, </w:t>
      </w:r>
      <w:r w:rsidR="008E4A82">
        <w:t xml:space="preserve">urban average </w:t>
      </w:r>
      <w:r w:rsidR="00E401D7">
        <w:t xml:space="preserve">NDVI </w:t>
      </w:r>
      <w:r w:rsidR="002D68C9">
        <w:t xml:space="preserve">remained relatively stable </w:t>
      </w:r>
      <w:r w:rsidR="00E401D7">
        <w:t>from 2014-2018 to 2019-2023</w:t>
      </w:r>
      <w:r w:rsidR="002D68C9">
        <w:t xml:space="preserve">. However, </w:t>
      </w:r>
      <w:r w:rsidR="00736641">
        <w:t xml:space="preserve">we observed </w:t>
      </w:r>
      <w:r w:rsidR="00211C0F">
        <w:t xml:space="preserve">NDVI </w:t>
      </w:r>
      <w:r w:rsidR="00736641">
        <w:t xml:space="preserve">changes </w:t>
      </w:r>
      <w:r w:rsidR="002D68C9">
        <w:t xml:space="preserve">in individual cities </w:t>
      </w:r>
      <w:r w:rsidR="00736641">
        <w:t>of</w:t>
      </w:r>
      <w:r w:rsidR="002D68C9">
        <w:t xml:space="preserve"> over 20%. </w:t>
      </w:r>
      <w:r w:rsidR="00211C0F">
        <w:t>Urban NDVI c</w:t>
      </w:r>
      <w:r w:rsidR="002D68C9">
        <w:t xml:space="preserve">hanges between these two periods were associated with </w:t>
      </w:r>
      <w:r w:rsidR="002E0822">
        <w:t xml:space="preserve">a </w:t>
      </w:r>
      <w:r w:rsidR="009E1DB8">
        <w:t xml:space="preserve">mean </w:t>
      </w:r>
      <w:r w:rsidR="002E0822">
        <w:t xml:space="preserve">of </w:t>
      </w:r>
      <w:r w:rsidR="009E1DB8" w:rsidRPr="00BB6EFB">
        <w:t xml:space="preserve">0.19 </w:t>
      </w:r>
      <w:r w:rsidR="009E1DB8">
        <w:t>(95% CI: 0.1</w:t>
      </w:r>
      <w:r w:rsidR="004C1554">
        <w:t>2</w:t>
      </w:r>
      <w:r w:rsidR="009E1DB8">
        <w:t>, 0.2</w:t>
      </w:r>
      <w:r w:rsidR="004C1554">
        <w:t>7</w:t>
      </w:r>
      <w:r w:rsidR="009E1DB8">
        <w:t>)</w:t>
      </w:r>
      <w:r w:rsidR="000537E1">
        <w:t xml:space="preserve"> deaths per 100,000 globally</w:t>
      </w:r>
      <w:r w:rsidR="00211C0F">
        <w:t xml:space="preserve"> each year</w:t>
      </w:r>
      <w:r w:rsidR="000537E1">
        <w:t xml:space="preserve">, ranging from </w:t>
      </w:r>
      <w:r w:rsidR="00CB1D2D">
        <w:t>24.44</w:t>
      </w:r>
      <w:r w:rsidR="000537E1">
        <w:t xml:space="preserve"> fewer to </w:t>
      </w:r>
      <w:r w:rsidR="00CB1D2D">
        <w:t>21.84</w:t>
      </w:r>
      <w:r w:rsidR="002D68C9">
        <w:t xml:space="preserve"> </w:t>
      </w:r>
      <w:r w:rsidR="000537E1">
        <w:t xml:space="preserve">more deaths per 100,000 across the 1,041 cities. </w:t>
      </w:r>
      <w:r w:rsidR="005C53F7">
        <w:t>F</w:t>
      </w:r>
      <w:r>
        <w:t xml:space="preserve">uture </w:t>
      </w:r>
      <w:r w:rsidR="005C53F7">
        <w:t xml:space="preserve">research should </w:t>
      </w:r>
      <w:r>
        <w:t>explor</w:t>
      </w:r>
      <w:r w:rsidR="005C53F7">
        <w:t>e</w:t>
      </w:r>
      <w:r>
        <w:t xml:space="preserve"> alternative measurements to NDVI and </w:t>
      </w:r>
      <w:r w:rsidR="005C53F7">
        <w:t>target</w:t>
      </w:r>
      <w:r>
        <w:t xml:space="preserve"> levels of </w:t>
      </w:r>
      <w:r w:rsidR="005C53F7">
        <w:t xml:space="preserve">urban </w:t>
      </w:r>
      <w:r>
        <w:t xml:space="preserve">greenspace for </w:t>
      </w:r>
      <w:r w:rsidR="005C53F7">
        <w:t>healthy and sustainable cities</w:t>
      </w:r>
      <w:r>
        <w:t>.</w:t>
      </w:r>
    </w:p>
    <w:p w14:paraId="3A59CEA8" w14:textId="77777777" w:rsidR="002B6F7A" w:rsidRPr="00E150CA" w:rsidRDefault="002B6F7A" w:rsidP="00551D54"/>
    <w:p w14:paraId="0B10904C" w14:textId="77777777" w:rsidR="00FA2EC9" w:rsidRDefault="00FA2EC9" w:rsidP="00FA2EC9">
      <w:pPr>
        <w:rPr>
          <w:b/>
          <w:bCs/>
        </w:rPr>
      </w:pPr>
      <w:r w:rsidRPr="00E150CA">
        <w:rPr>
          <w:b/>
          <w:bCs/>
        </w:rPr>
        <w:t>Acknowledgements</w:t>
      </w:r>
    </w:p>
    <w:p w14:paraId="524726AC" w14:textId="77777777" w:rsidR="006D7B2F" w:rsidRPr="00E150CA" w:rsidRDefault="006D7B2F" w:rsidP="00FA2EC9">
      <w:pPr>
        <w:rPr>
          <w:b/>
          <w:bCs/>
        </w:rPr>
      </w:pPr>
    </w:p>
    <w:p w14:paraId="05B4EB36" w14:textId="04165A88" w:rsidR="006D7B2F" w:rsidRPr="00E150CA" w:rsidRDefault="006D7B2F" w:rsidP="00FA2EC9">
      <w:pPr>
        <w:rPr>
          <w:i/>
          <w:iCs/>
          <w:color w:val="156082" w:themeColor="accent1"/>
        </w:rPr>
      </w:pPr>
      <w:r w:rsidRPr="007832F1">
        <w:rPr>
          <w:color w:val="000000" w:themeColor="text1"/>
        </w:rPr>
        <w:t xml:space="preserve">We acknowledge support from </w:t>
      </w:r>
      <w:r>
        <w:rPr>
          <w:color w:val="000000" w:themeColor="text1"/>
        </w:rPr>
        <w:t xml:space="preserve">NASA Grant No. </w:t>
      </w:r>
      <w:r w:rsidRPr="00A55253">
        <w:rPr>
          <w:color w:val="000000" w:themeColor="text1"/>
        </w:rPr>
        <w:t>80NSSC21K0511</w:t>
      </w:r>
      <w:r w:rsidRPr="007832F1">
        <w:rPr>
          <w:color w:val="000000" w:themeColor="text1"/>
        </w:rPr>
        <w:t xml:space="preserve"> and The George Washington University. </w:t>
      </w:r>
    </w:p>
    <w:p w14:paraId="6B100723" w14:textId="77777777" w:rsidR="000B3D62" w:rsidRDefault="000B3D62" w:rsidP="00FA2EC9">
      <w:pPr>
        <w:rPr>
          <w:b/>
          <w:bCs/>
        </w:rPr>
      </w:pPr>
    </w:p>
    <w:p w14:paraId="7E49F0EE" w14:textId="70543F5F" w:rsidR="00FA2EC9" w:rsidRDefault="00FA2EC9" w:rsidP="00FA2EC9">
      <w:pPr>
        <w:rPr>
          <w:b/>
          <w:bCs/>
        </w:rPr>
      </w:pPr>
      <w:r w:rsidRPr="00E150CA">
        <w:rPr>
          <w:b/>
          <w:bCs/>
        </w:rPr>
        <w:lastRenderedPageBreak/>
        <w:t>References</w:t>
      </w:r>
    </w:p>
    <w:p w14:paraId="2F307F49" w14:textId="77777777" w:rsidR="00B37854" w:rsidRPr="00E150CA" w:rsidRDefault="00B37854" w:rsidP="00FA2EC9">
      <w:pPr>
        <w:rPr>
          <w:b/>
          <w:bCs/>
        </w:rPr>
      </w:pPr>
    </w:p>
    <w:p w14:paraId="01053D3E" w14:textId="53B689FF" w:rsidR="00B17A5F" w:rsidRPr="00B17A5F" w:rsidRDefault="001E1F53" w:rsidP="00B17A5F">
      <w:pPr>
        <w:pStyle w:val="Bibliography"/>
        <w:rPr>
          <w:rFonts w:ascii="Times New Roman" w:hAnsi="Times New Roman" w:cs="Times New Roman"/>
        </w:rPr>
      </w:pPr>
      <w:r>
        <w:t xml:space="preserve"> </w:t>
      </w:r>
      <w:r w:rsidR="008740AE">
        <w:fldChar w:fldCharType="begin"/>
      </w:r>
      <w:r w:rsidR="004675D0">
        <w:instrText xml:space="preserve"> ADDIN ZOTERO_BIBL {"uncited":[],"omitted":[],"custom":[]} CSL_BIBLIOGRAPHY </w:instrText>
      </w:r>
      <w:r w:rsidR="008740AE">
        <w:fldChar w:fldCharType="separate"/>
      </w:r>
      <w:r w:rsidR="00B17A5F" w:rsidRPr="00B17A5F">
        <w:rPr>
          <w:rFonts w:ascii="Times New Roman" w:hAnsi="Times New Roman" w:cs="Times New Roman"/>
        </w:rPr>
        <w:t>1.</w:t>
      </w:r>
      <w:r w:rsidR="00B17A5F" w:rsidRPr="00B17A5F">
        <w:rPr>
          <w:rFonts w:ascii="Times New Roman" w:hAnsi="Times New Roman" w:cs="Times New Roman"/>
        </w:rPr>
        <w:tab/>
        <w:t xml:space="preserve">Alex Baeumler, Olivia D’Aoust, Maitreyi Das, et al. </w:t>
      </w:r>
      <w:r w:rsidR="00B17A5F" w:rsidRPr="00B17A5F">
        <w:rPr>
          <w:rFonts w:ascii="Times New Roman" w:hAnsi="Times New Roman" w:cs="Times New Roman"/>
          <w:i/>
          <w:iCs/>
        </w:rPr>
        <w:t>Demographic Trends and Urbanization</w:t>
      </w:r>
      <w:r w:rsidR="00B17A5F" w:rsidRPr="00B17A5F">
        <w:rPr>
          <w:rFonts w:ascii="Times New Roman" w:hAnsi="Times New Roman" w:cs="Times New Roman"/>
        </w:rPr>
        <w:t>. World Bank; 2021.</w:t>
      </w:r>
    </w:p>
    <w:p w14:paraId="410B26E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w:t>
      </w:r>
      <w:r w:rsidRPr="00B17A5F">
        <w:rPr>
          <w:rFonts w:ascii="Times New Roman" w:hAnsi="Times New Roman" w:cs="Times New Roman"/>
        </w:rPr>
        <w:tab/>
        <w:t xml:space="preserve">Hoornweg D, Sugar L, Gomez CLT. Cities and Greenhouse Gas Emissions: Moving Forward. </w:t>
      </w:r>
      <w:r w:rsidRPr="00B17A5F">
        <w:rPr>
          <w:rFonts w:ascii="Times New Roman" w:hAnsi="Times New Roman" w:cs="Times New Roman"/>
          <w:i/>
          <w:iCs/>
        </w:rPr>
        <w:t>Urbanisation</w:t>
      </w:r>
      <w:r w:rsidRPr="00B17A5F">
        <w:rPr>
          <w:rFonts w:ascii="Times New Roman" w:hAnsi="Times New Roman" w:cs="Times New Roman"/>
        </w:rPr>
        <w:t>. 2020;5(1):43-62. doi:10.1177/2455747120923557</w:t>
      </w:r>
    </w:p>
    <w:p w14:paraId="63DFAC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w:t>
      </w:r>
      <w:r w:rsidRPr="00B17A5F">
        <w:rPr>
          <w:rFonts w:ascii="Times New Roman" w:hAnsi="Times New Roman" w:cs="Times New Roman"/>
        </w:rPr>
        <w:tab/>
        <w:t xml:space="preserve">Luqman M, Rayner PJ, Gurney KR. On the impact of urbanisation on CO2 emissions. </w:t>
      </w:r>
      <w:r w:rsidRPr="00B17A5F">
        <w:rPr>
          <w:rFonts w:ascii="Times New Roman" w:hAnsi="Times New Roman" w:cs="Times New Roman"/>
          <w:i/>
          <w:iCs/>
        </w:rPr>
        <w:t>npj Urban Sustain</w:t>
      </w:r>
      <w:r w:rsidRPr="00B17A5F">
        <w:rPr>
          <w:rFonts w:ascii="Times New Roman" w:hAnsi="Times New Roman" w:cs="Times New Roman"/>
        </w:rPr>
        <w:t>. 2023;3(1):6. doi:10.1038/s42949-023-00084-2</w:t>
      </w:r>
    </w:p>
    <w:p w14:paraId="16F7988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4.</w:t>
      </w:r>
      <w:r w:rsidRPr="00B17A5F">
        <w:rPr>
          <w:rFonts w:ascii="Times New Roman" w:hAnsi="Times New Roman" w:cs="Times New Roman"/>
        </w:rPr>
        <w:tab/>
        <w:t xml:space="preserve">Yang BY, Zhao T, Hu LX, et al. Greenspace and human health: An umbrella review. </w:t>
      </w:r>
      <w:r w:rsidRPr="00B17A5F">
        <w:rPr>
          <w:rFonts w:ascii="Times New Roman" w:hAnsi="Times New Roman" w:cs="Times New Roman"/>
          <w:i/>
          <w:iCs/>
        </w:rPr>
        <w:t>The Innovation</w:t>
      </w:r>
      <w:r w:rsidRPr="00B17A5F">
        <w:rPr>
          <w:rFonts w:ascii="Times New Roman" w:hAnsi="Times New Roman" w:cs="Times New Roman"/>
        </w:rPr>
        <w:t>. 2021;2(4):100164. doi:10.1016/j.xinn.2021.100164</w:t>
      </w:r>
    </w:p>
    <w:p w14:paraId="33A3C27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5.</w:t>
      </w:r>
      <w:r w:rsidRPr="00B17A5F">
        <w:rPr>
          <w:rFonts w:ascii="Times New Roman" w:hAnsi="Times New Roman" w:cs="Times New Roman"/>
        </w:rPr>
        <w:tab/>
        <w:t xml:space="preserve">Liu Z, Chen X, Cui H, et al. Green space exposure on depression and anxiety outcomes: A meta-analysis. </w:t>
      </w:r>
      <w:r w:rsidRPr="00B17A5F">
        <w:rPr>
          <w:rFonts w:ascii="Times New Roman" w:hAnsi="Times New Roman" w:cs="Times New Roman"/>
          <w:i/>
          <w:iCs/>
        </w:rPr>
        <w:t>Environmental Research</w:t>
      </w:r>
      <w:r w:rsidRPr="00B17A5F">
        <w:rPr>
          <w:rFonts w:ascii="Times New Roman" w:hAnsi="Times New Roman" w:cs="Times New Roman"/>
        </w:rPr>
        <w:t>. 2023;231:116303. doi:10.1016/j.envres.2023.116303</w:t>
      </w:r>
    </w:p>
    <w:p w14:paraId="2C6760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6.</w:t>
      </w:r>
      <w:r w:rsidRPr="00B17A5F">
        <w:rPr>
          <w:rFonts w:ascii="Times New Roman" w:hAnsi="Times New Roman" w:cs="Times New Roman"/>
        </w:rPr>
        <w:tab/>
        <w:t xml:space="preserve">Hu CY, Yang XJ, Gui SY, et al. Residential greenness and birth outcomes: A systematic review and meta-analysis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2021;193:110599. doi:10.1016/j.envres.2020.110599</w:t>
      </w:r>
    </w:p>
    <w:p w14:paraId="14FBC2C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7.</w:t>
      </w:r>
      <w:r w:rsidRPr="00B17A5F">
        <w:rPr>
          <w:rFonts w:ascii="Times New Roman" w:hAnsi="Times New Roman" w:cs="Times New Roman"/>
        </w:rPr>
        <w:tab/>
        <w:t xml:space="preserve">Bikomeye JC, Balza JS, Kwarteng JL, Beyer AM, Beyer KMM. The impact of greenspace or nature-based interventions on cardiovascular health or cancer-related outcomes: A systematic review of experimental studies. Bottoms L, ed. </w:t>
      </w:r>
      <w:r w:rsidRPr="00B17A5F">
        <w:rPr>
          <w:rFonts w:ascii="Times New Roman" w:hAnsi="Times New Roman" w:cs="Times New Roman"/>
          <w:i/>
          <w:iCs/>
        </w:rPr>
        <w:t>PLoS ONE</w:t>
      </w:r>
      <w:r w:rsidRPr="00B17A5F">
        <w:rPr>
          <w:rFonts w:ascii="Times New Roman" w:hAnsi="Times New Roman" w:cs="Times New Roman"/>
        </w:rPr>
        <w:t>. 2022;17(11):e0276517. doi:10.1371/journal.pone.0276517</w:t>
      </w:r>
    </w:p>
    <w:p w14:paraId="196BDA2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8.</w:t>
      </w:r>
      <w:r w:rsidRPr="00B17A5F">
        <w:rPr>
          <w:rFonts w:ascii="Times New Roman" w:hAnsi="Times New Roman" w:cs="Times New Roman"/>
        </w:rPr>
        <w:tab/>
        <w:t xml:space="preserve">Li J, Xie Y, Xu J, et al. Association between greenspace and cancer: evidence from a systematic review and meta-analysis of multiple large cohort studies. </w:t>
      </w:r>
      <w:r w:rsidRPr="00B17A5F">
        <w:rPr>
          <w:rFonts w:ascii="Times New Roman" w:hAnsi="Times New Roman" w:cs="Times New Roman"/>
          <w:i/>
          <w:iCs/>
        </w:rPr>
        <w:t>Environ Sci Pollut Res</w:t>
      </w:r>
      <w:r w:rsidRPr="00B17A5F">
        <w:rPr>
          <w:rFonts w:ascii="Times New Roman" w:hAnsi="Times New Roman" w:cs="Times New Roman"/>
        </w:rPr>
        <w:t>. 2023;30(39):91140-91157. doi:10.1007/s11356-023-28461-5</w:t>
      </w:r>
    </w:p>
    <w:p w14:paraId="599CFB2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9.</w:t>
      </w:r>
      <w:r w:rsidRPr="00B17A5F">
        <w:rPr>
          <w:rFonts w:ascii="Times New Roman" w:hAnsi="Times New Roman" w:cs="Times New Roman"/>
        </w:rPr>
        <w:tab/>
        <w:t xml:space="preserve">Rojas-Rueda D, Nieuwenhuijsen MJ, Gascon M, Perez-Leon D, Mudu P. Green spaces and mortality: a systematic review and meta-analysis of cohort studies. </w:t>
      </w:r>
      <w:r w:rsidRPr="00B17A5F">
        <w:rPr>
          <w:rFonts w:ascii="Times New Roman" w:hAnsi="Times New Roman" w:cs="Times New Roman"/>
          <w:i/>
          <w:iCs/>
        </w:rPr>
        <w:t>Lancet Planet Health</w:t>
      </w:r>
      <w:r w:rsidRPr="00B17A5F">
        <w:rPr>
          <w:rFonts w:ascii="Times New Roman" w:hAnsi="Times New Roman" w:cs="Times New Roman"/>
        </w:rPr>
        <w:t>. 2019;3(11):e469-e477. doi:10.1016/S2542-5196(19)30215-3</w:t>
      </w:r>
    </w:p>
    <w:p w14:paraId="765C2A6F"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10.</w:t>
      </w:r>
      <w:r w:rsidRPr="00B17A5F">
        <w:rPr>
          <w:rFonts w:ascii="Times New Roman" w:hAnsi="Times New Roman" w:cs="Times New Roman"/>
        </w:rPr>
        <w:tab/>
        <w:t xml:space="preserve">Smith N, Georgiou M, King AC, Tieges Z, Webb S, Chastin S. Urban blue spaces and human health: A systematic review and meta-analysis of quantitative studies. </w:t>
      </w:r>
      <w:r w:rsidRPr="00B17A5F">
        <w:rPr>
          <w:rFonts w:ascii="Times New Roman" w:hAnsi="Times New Roman" w:cs="Times New Roman"/>
          <w:i/>
          <w:iCs/>
        </w:rPr>
        <w:t>Cities</w:t>
      </w:r>
      <w:r w:rsidRPr="00B17A5F">
        <w:rPr>
          <w:rFonts w:ascii="Times New Roman" w:hAnsi="Times New Roman" w:cs="Times New Roman"/>
        </w:rPr>
        <w:t>. 2021;119:103413. doi:10.1016/j.cities.2021.103413</w:t>
      </w:r>
    </w:p>
    <w:p w14:paraId="48D4DCA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11.</w:t>
      </w:r>
      <w:r w:rsidRPr="00B17A5F">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B17A5F">
        <w:rPr>
          <w:rFonts w:ascii="Times New Roman" w:hAnsi="Times New Roman" w:cs="Times New Roman"/>
          <w:i/>
          <w:iCs/>
        </w:rPr>
        <w:t>Environment International</w:t>
      </w:r>
      <w:r w:rsidRPr="00B17A5F">
        <w:rPr>
          <w:rFonts w:ascii="Times New Roman" w:hAnsi="Times New Roman" w:cs="Times New Roman"/>
        </w:rPr>
        <w:t>. 2019;130:104923. doi:10.1016/j.envint.2019.104923</w:t>
      </w:r>
    </w:p>
    <w:p w14:paraId="29220E4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12.</w:t>
      </w:r>
      <w:r w:rsidRPr="00B17A5F">
        <w:rPr>
          <w:rFonts w:ascii="Times New Roman" w:hAnsi="Times New Roman" w:cs="Times New Roman"/>
        </w:rPr>
        <w:tab/>
        <w:t xml:space="preserve">Wolf KL, Lam ST, McKeen JK, Richardson GRA, Van Den Bosch M, Bardekjian AC. Urban Trees and Human Health: A Scoping Review. </w:t>
      </w:r>
      <w:r w:rsidRPr="00B17A5F">
        <w:rPr>
          <w:rFonts w:ascii="Times New Roman" w:hAnsi="Times New Roman" w:cs="Times New Roman"/>
          <w:i/>
          <w:iCs/>
        </w:rPr>
        <w:t>IJERPH</w:t>
      </w:r>
      <w:r w:rsidRPr="00B17A5F">
        <w:rPr>
          <w:rFonts w:ascii="Times New Roman" w:hAnsi="Times New Roman" w:cs="Times New Roman"/>
        </w:rPr>
        <w:t>. 2020;17(12):4371. doi:10.3390/ijerph17124371</w:t>
      </w:r>
    </w:p>
    <w:p w14:paraId="1A8B375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13.</w:t>
      </w:r>
      <w:r w:rsidRPr="00B17A5F">
        <w:rPr>
          <w:rFonts w:ascii="Times New Roman" w:hAnsi="Times New Roman" w:cs="Times New Roman"/>
        </w:rPr>
        <w:tab/>
        <w:t xml:space="preserve">Ampatzidis P, Cintolesi C, Kershaw T. Impact of Blue Space Geometry on Urban Heat Island Mitigation. </w:t>
      </w:r>
      <w:r w:rsidRPr="00B17A5F">
        <w:rPr>
          <w:rFonts w:ascii="Times New Roman" w:hAnsi="Times New Roman" w:cs="Times New Roman"/>
          <w:i/>
          <w:iCs/>
        </w:rPr>
        <w:t>Climate</w:t>
      </w:r>
      <w:r w:rsidRPr="00B17A5F">
        <w:rPr>
          <w:rFonts w:ascii="Times New Roman" w:hAnsi="Times New Roman" w:cs="Times New Roman"/>
        </w:rPr>
        <w:t>. 2023;11(2):28. doi:10.3390/cli11020028</w:t>
      </w:r>
    </w:p>
    <w:p w14:paraId="69D744F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14.</w:t>
      </w:r>
      <w:r w:rsidRPr="00B17A5F">
        <w:rPr>
          <w:rFonts w:ascii="Times New Roman" w:hAnsi="Times New Roman" w:cs="Times New Roman"/>
        </w:rPr>
        <w:tab/>
        <w:t xml:space="preserve">Brückner A, Falkenberg T, Heinzel C, Kistemann T. The Regeneration of Urban Blue Spaces: A Public Health Intervention? Reviewing the Evidence. </w:t>
      </w:r>
      <w:r w:rsidRPr="00B17A5F">
        <w:rPr>
          <w:rFonts w:ascii="Times New Roman" w:hAnsi="Times New Roman" w:cs="Times New Roman"/>
          <w:i/>
          <w:iCs/>
        </w:rPr>
        <w:t>Front Public Health</w:t>
      </w:r>
      <w:r w:rsidRPr="00B17A5F">
        <w:rPr>
          <w:rFonts w:ascii="Times New Roman" w:hAnsi="Times New Roman" w:cs="Times New Roman"/>
        </w:rPr>
        <w:t>. 2022;9:782101. doi:10.3389/fpubh.2021.782101</w:t>
      </w:r>
    </w:p>
    <w:p w14:paraId="027CDC2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15.</w:t>
      </w:r>
      <w:r w:rsidRPr="00B17A5F">
        <w:rPr>
          <w:rFonts w:ascii="Times New Roman" w:hAnsi="Times New Roman" w:cs="Times New Roman"/>
        </w:rPr>
        <w:tab/>
        <w:t xml:space="preserve">Markevych I, Schoierer J, Hartig T, et al. Exploring pathways linking greenspace to health: Theoretical and methodological guidance. </w:t>
      </w:r>
      <w:r w:rsidRPr="00B17A5F">
        <w:rPr>
          <w:rFonts w:ascii="Times New Roman" w:hAnsi="Times New Roman" w:cs="Times New Roman"/>
          <w:i/>
          <w:iCs/>
        </w:rPr>
        <w:t>Environmental Research</w:t>
      </w:r>
      <w:r w:rsidRPr="00B17A5F">
        <w:rPr>
          <w:rFonts w:ascii="Times New Roman" w:hAnsi="Times New Roman" w:cs="Times New Roman"/>
        </w:rPr>
        <w:t>. 2017;158:301-317. doi:10.1016/j.envres.2017.06.028</w:t>
      </w:r>
    </w:p>
    <w:p w14:paraId="0B1738D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16.</w:t>
      </w:r>
      <w:r w:rsidRPr="00B17A5F">
        <w:rPr>
          <w:rFonts w:ascii="Times New Roman" w:hAnsi="Times New Roman" w:cs="Times New Roman"/>
        </w:rPr>
        <w:tab/>
        <w:t xml:space="preserve">Zhang R, Zhang CQ, Rhodes RE. The pathways linking objectively-measured greenspace exposure and mental health: A systematic review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2021;198:111233. doi:10.1016/j.envres.2021.111233</w:t>
      </w:r>
    </w:p>
    <w:p w14:paraId="14EB393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17.</w:t>
      </w:r>
      <w:r w:rsidRPr="00B17A5F">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1EFEBF8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18.</w:t>
      </w:r>
      <w:r w:rsidRPr="00B17A5F">
        <w:rPr>
          <w:rFonts w:ascii="Times New Roman" w:hAnsi="Times New Roman" w:cs="Times New Roman"/>
        </w:rPr>
        <w:tab/>
        <w:t xml:space="preserve">Barboza EP, Cirach M, Khomenko S, et al. Green space and mortality in European cities: a health impact assessment study. </w:t>
      </w:r>
      <w:r w:rsidRPr="00B17A5F">
        <w:rPr>
          <w:rFonts w:ascii="Times New Roman" w:hAnsi="Times New Roman" w:cs="Times New Roman"/>
          <w:i/>
          <w:iCs/>
        </w:rPr>
        <w:t>The Lancet Planetary Health</w:t>
      </w:r>
      <w:r w:rsidRPr="00B17A5F">
        <w:rPr>
          <w:rFonts w:ascii="Times New Roman" w:hAnsi="Times New Roman" w:cs="Times New Roman"/>
        </w:rPr>
        <w:t>. 2021;5(10):e718-e730. doi:10.1016/S2542-5196(21)00229-1</w:t>
      </w:r>
    </w:p>
    <w:p w14:paraId="2E0740E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19.</w:t>
      </w:r>
      <w:r w:rsidRPr="00B17A5F">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B17A5F">
        <w:rPr>
          <w:rFonts w:ascii="Times New Roman" w:hAnsi="Times New Roman" w:cs="Times New Roman"/>
          <w:i/>
          <w:iCs/>
        </w:rPr>
        <w:t>Front Public Health</w:t>
      </w:r>
      <w:r w:rsidRPr="00B17A5F">
        <w:rPr>
          <w:rFonts w:ascii="Times New Roman" w:hAnsi="Times New Roman" w:cs="Times New Roman"/>
        </w:rPr>
        <w:t>. 2022;10:841936. doi:10.3389/fpubh.2022.841936</w:t>
      </w:r>
    </w:p>
    <w:p w14:paraId="6750BFD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20.</w:t>
      </w:r>
      <w:r w:rsidRPr="00B17A5F">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B17A5F">
        <w:rPr>
          <w:rFonts w:ascii="Times New Roman" w:hAnsi="Times New Roman" w:cs="Times New Roman"/>
          <w:i/>
          <w:iCs/>
        </w:rPr>
        <w:t>The Lancet</w:t>
      </w:r>
      <w:r w:rsidRPr="00B17A5F">
        <w:rPr>
          <w:rFonts w:ascii="Times New Roman" w:hAnsi="Times New Roman" w:cs="Times New Roman"/>
        </w:rPr>
        <w:t>. 2023;402(10419):2346-2394. doi:10.1016/S0140-6736(23)01859-7</w:t>
      </w:r>
    </w:p>
    <w:p w14:paraId="1FDD1B0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21.</w:t>
      </w:r>
      <w:r w:rsidRPr="00B17A5F">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00628AF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22.</w:t>
      </w:r>
      <w:r w:rsidRPr="00B17A5F">
        <w:rPr>
          <w:rFonts w:ascii="Times New Roman" w:hAnsi="Times New Roman" w:cs="Times New Roman"/>
        </w:rPr>
        <w:tab/>
        <w:t xml:space="preserve">Pekel JF, Cottam A, Gorelick N, Belward AS. High-resolution mapping of global surface water and its long-term changes. </w:t>
      </w:r>
      <w:r w:rsidRPr="00B17A5F">
        <w:rPr>
          <w:rFonts w:ascii="Times New Roman" w:hAnsi="Times New Roman" w:cs="Times New Roman"/>
          <w:i/>
          <w:iCs/>
        </w:rPr>
        <w:t>Nature</w:t>
      </w:r>
      <w:r w:rsidRPr="00B17A5F">
        <w:rPr>
          <w:rFonts w:ascii="Times New Roman" w:hAnsi="Times New Roman" w:cs="Times New Roman"/>
        </w:rPr>
        <w:t>. 2016;540(7633):418-422. doi:10.1038/nature20584</w:t>
      </w:r>
    </w:p>
    <w:p w14:paraId="5F7A4B7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23.</w:t>
      </w:r>
      <w:r w:rsidRPr="00B17A5F">
        <w:rPr>
          <w:rFonts w:ascii="Times New Roman" w:hAnsi="Times New Roman" w:cs="Times New Roman"/>
        </w:rPr>
        <w:tab/>
        <w:t xml:space="preserve">Nieuwenhuijsen M, Gascon M, Martinez D, et al. Air Pollution, Noise, Blue Space, and Green Space and Premature Mortality in Barcelona: A Mega Cohort. </w:t>
      </w:r>
      <w:r w:rsidRPr="00B17A5F">
        <w:rPr>
          <w:rFonts w:ascii="Times New Roman" w:hAnsi="Times New Roman" w:cs="Times New Roman"/>
          <w:i/>
          <w:iCs/>
        </w:rPr>
        <w:t>IJERPH</w:t>
      </w:r>
      <w:r w:rsidRPr="00B17A5F">
        <w:rPr>
          <w:rFonts w:ascii="Times New Roman" w:hAnsi="Times New Roman" w:cs="Times New Roman"/>
        </w:rPr>
        <w:t>. 2018;15(11):2405. doi:10.3390/ijerph15112405</w:t>
      </w:r>
    </w:p>
    <w:p w14:paraId="71AE32B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24.</w:t>
      </w:r>
      <w:r w:rsidRPr="00B17A5F">
        <w:rPr>
          <w:rFonts w:ascii="Times New Roman" w:hAnsi="Times New Roman" w:cs="Times New Roman"/>
        </w:rPr>
        <w:tab/>
        <w:t xml:space="preserve">Crouse DL, Pinault L, Balram A, et al. Urban greenness and mortality in Canada’s largest cities: a national cohort study. </w:t>
      </w:r>
      <w:r w:rsidRPr="00B17A5F">
        <w:rPr>
          <w:rFonts w:ascii="Times New Roman" w:hAnsi="Times New Roman" w:cs="Times New Roman"/>
          <w:i/>
          <w:iCs/>
        </w:rPr>
        <w:t>The Lancet Planetary Health</w:t>
      </w:r>
      <w:r w:rsidRPr="00B17A5F">
        <w:rPr>
          <w:rFonts w:ascii="Times New Roman" w:hAnsi="Times New Roman" w:cs="Times New Roman"/>
        </w:rPr>
        <w:t>. 2017;1(7):e289-e297. doi:10.1016/S2542-5196(17)30118-3</w:t>
      </w:r>
    </w:p>
    <w:p w14:paraId="42DC122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25.</w:t>
      </w:r>
      <w:r w:rsidRPr="00B17A5F">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B17A5F">
        <w:rPr>
          <w:rFonts w:ascii="Times New Roman" w:hAnsi="Times New Roman" w:cs="Times New Roman"/>
          <w:i/>
          <w:iCs/>
        </w:rPr>
        <w:t>Environment International</w:t>
      </w:r>
      <w:r w:rsidRPr="00B17A5F">
        <w:rPr>
          <w:rFonts w:ascii="Times New Roman" w:hAnsi="Times New Roman" w:cs="Times New Roman"/>
        </w:rPr>
        <w:t>. 2019;125:430-436. doi:10.1016/j.envint.2019.01.075</w:t>
      </w:r>
    </w:p>
    <w:p w14:paraId="0FB08E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26.</w:t>
      </w:r>
      <w:r w:rsidRPr="00B17A5F">
        <w:rPr>
          <w:rFonts w:ascii="Times New Roman" w:hAnsi="Times New Roman" w:cs="Times New Roman"/>
        </w:rPr>
        <w:tab/>
        <w:t xml:space="preserve">James P, Hart JE, Banay RF, Laden F. Exposure to Greenness and Mortality in a Nationwide Prospective Cohort Study of Women. </w:t>
      </w:r>
      <w:r w:rsidRPr="00B17A5F">
        <w:rPr>
          <w:rFonts w:ascii="Times New Roman" w:hAnsi="Times New Roman" w:cs="Times New Roman"/>
          <w:i/>
          <w:iCs/>
        </w:rPr>
        <w:t>Environ Health Perspect</w:t>
      </w:r>
      <w:r w:rsidRPr="00B17A5F">
        <w:rPr>
          <w:rFonts w:ascii="Times New Roman" w:hAnsi="Times New Roman" w:cs="Times New Roman"/>
        </w:rPr>
        <w:t>. 2016;124(9):1344-1352. doi:10.1289/ehp.1510363</w:t>
      </w:r>
    </w:p>
    <w:p w14:paraId="034556B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27.</w:t>
      </w:r>
      <w:r w:rsidRPr="00B17A5F">
        <w:rPr>
          <w:rFonts w:ascii="Times New Roman" w:hAnsi="Times New Roman" w:cs="Times New Roman"/>
        </w:rPr>
        <w:tab/>
        <w:t xml:space="preserve">Wilker EH, Wu CD, McNeely E, et al. Green space and mortality following ischemic stroke. </w:t>
      </w:r>
      <w:r w:rsidRPr="00B17A5F">
        <w:rPr>
          <w:rFonts w:ascii="Times New Roman" w:hAnsi="Times New Roman" w:cs="Times New Roman"/>
          <w:i/>
          <w:iCs/>
        </w:rPr>
        <w:t>Environmental Research</w:t>
      </w:r>
      <w:r w:rsidRPr="00B17A5F">
        <w:rPr>
          <w:rFonts w:ascii="Times New Roman" w:hAnsi="Times New Roman" w:cs="Times New Roman"/>
        </w:rPr>
        <w:t>. 2014;133:42-48. doi:10.1016/j.envres.2014.05.005</w:t>
      </w:r>
    </w:p>
    <w:p w14:paraId="161BAE5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28.</w:t>
      </w:r>
      <w:r w:rsidRPr="00B17A5F">
        <w:rPr>
          <w:rFonts w:ascii="Times New Roman" w:hAnsi="Times New Roman" w:cs="Times New Roman"/>
        </w:rPr>
        <w:tab/>
        <w:t xml:space="preserve">Villeneuve PJ, Jerrett M, G. Su J, et al. A cohort study relating urban green space with mortality in Ontario, Canada. </w:t>
      </w:r>
      <w:r w:rsidRPr="00B17A5F">
        <w:rPr>
          <w:rFonts w:ascii="Times New Roman" w:hAnsi="Times New Roman" w:cs="Times New Roman"/>
          <w:i/>
          <w:iCs/>
        </w:rPr>
        <w:t>Environmental Research</w:t>
      </w:r>
      <w:r w:rsidRPr="00B17A5F">
        <w:rPr>
          <w:rFonts w:ascii="Times New Roman" w:hAnsi="Times New Roman" w:cs="Times New Roman"/>
        </w:rPr>
        <w:t>. 2012;115:51-58. doi:10.1016/j.envres.2012.03.003</w:t>
      </w:r>
    </w:p>
    <w:p w14:paraId="3EFB80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29.</w:t>
      </w:r>
      <w:r w:rsidRPr="00B17A5F">
        <w:rPr>
          <w:rFonts w:ascii="Times New Roman" w:hAnsi="Times New Roman" w:cs="Times New Roman"/>
        </w:rPr>
        <w:tab/>
        <w:t xml:space="preserve">Ji JS, Zhu A, Bai C, et al. Residential greenness and mortality in oldest-old women and men in China: a longitudinal cohort study. </w:t>
      </w:r>
      <w:r w:rsidRPr="00B17A5F">
        <w:rPr>
          <w:rFonts w:ascii="Times New Roman" w:hAnsi="Times New Roman" w:cs="Times New Roman"/>
          <w:i/>
          <w:iCs/>
        </w:rPr>
        <w:t>The Lancet Planetary Health</w:t>
      </w:r>
      <w:r w:rsidRPr="00B17A5F">
        <w:rPr>
          <w:rFonts w:ascii="Times New Roman" w:hAnsi="Times New Roman" w:cs="Times New Roman"/>
        </w:rPr>
        <w:t>. 2019;3(1):e17-e25. doi:10.1016/S2542-5196(18)30264-X</w:t>
      </w:r>
    </w:p>
    <w:p w14:paraId="5189BA8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30.</w:t>
      </w:r>
      <w:r w:rsidRPr="00B17A5F">
        <w:rPr>
          <w:rFonts w:ascii="Times New Roman" w:hAnsi="Times New Roman" w:cs="Times New Roman"/>
        </w:rPr>
        <w:tab/>
        <w:t xml:space="preserve">Orioli R, Antonucci C, Scortichini M, et al. Exposure to Residential Greenness as a Predictor of Cause-Specific Mortality and Stroke Incidence in the Rome Longitudinal Study. </w:t>
      </w:r>
      <w:r w:rsidRPr="00B17A5F">
        <w:rPr>
          <w:rFonts w:ascii="Times New Roman" w:hAnsi="Times New Roman" w:cs="Times New Roman"/>
          <w:i/>
          <w:iCs/>
        </w:rPr>
        <w:t>Environ Health Perspect</w:t>
      </w:r>
      <w:r w:rsidRPr="00B17A5F">
        <w:rPr>
          <w:rFonts w:ascii="Times New Roman" w:hAnsi="Times New Roman" w:cs="Times New Roman"/>
        </w:rPr>
        <w:t>. 2019;127(2):027002. doi:10.1289/EHP2854</w:t>
      </w:r>
    </w:p>
    <w:p w14:paraId="2BC5966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31.</w:t>
      </w:r>
      <w:r w:rsidRPr="00B17A5F">
        <w:rPr>
          <w:rFonts w:ascii="Times New Roman" w:hAnsi="Times New Roman" w:cs="Times New Roman"/>
        </w:rPr>
        <w:tab/>
        <w:t xml:space="preserve">Vienneau D, De Hoogh K, Faeh D, Kaufmann M, Wunderli JM, Röösli M. More than clean air and tranquillity: Residential green is independently associated with decreasing mortality. </w:t>
      </w:r>
      <w:r w:rsidRPr="00B17A5F">
        <w:rPr>
          <w:rFonts w:ascii="Times New Roman" w:hAnsi="Times New Roman" w:cs="Times New Roman"/>
          <w:i/>
          <w:iCs/>
        </w:rPr>
        <w:t>Environment International</w:t>
      </w:r>
      <w:r w:rsidRPr="00B17A5F">
        <w:rPr>
          <w:rFonts w:ascii="Times New Roman" w:hAnsi="Times New Roman" w:cs="Times New Roman"/>
        </w:rPr>
        <w:t>. 2017;108:176-184. doi:10.1016/j.envint.2017.08.012</w:t>
      </w:r>
    </w:p>
    <w:p w14:paraId="56279A3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32.</w:t>
      </w:r>
      <w:r w:rsidRPr="00B17A5F">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B17A5F">
        <w:rPr>
          <w:rFonts w:ascii="Times New Roman" w:hAnsi="Times New Roman" w:cs="Times New Roman"/>
          <w:i/>
          <w:iCs/>
        </w:rPr>
        <w:t>Environmental Research</w:t>
      </w:r>
      <w:r w:rsidRPr="00B17A5F">
        <w:rPr>
          <w:rFonts w:ascii="Times New Roman" w:hAnsi="Times New Roman" w:cs="Times New Roman"/>
        </w:rPr>
        <w:t>. 2024;241:117610. doi:10.1016/j.envres.2023.117610</w:t>
      </w:r>
    </w:p>
    <w:p w14:paraId="48546E6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33.</w:t>
      </w:r>
      <w:r w:rsidRPr="00B17A5F">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B17A5F">
        <w:rPr>
          <w:rFonts w:ascii="Times New Roman" w:hAnsi="Times New Roman" w:cs="Times New Roman"/>
          <w:i/>
          <w:iCs/>
        </w:rPr>
        <w:t>Environment International</w:t>
      </w:r>
      <w:r w:rsidRPr="00B17A5F">
        <w:rPr>
          <w:rFonts w:ascii="Times New Roman" w:hAnsi="Times New Roman" w:cs="Times New Roman"/>
        </w:rPr>
        <w:t>. 2023;178:108050. doi:10.1016/j.envint.2023.108050</w:t>
      </w:r>
    </w:p>
    <w:p w14:paraId="6A1B216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34.</w:t>
      </w:r>
      <w:r w:rsidRPr="00B17A5F">
        <w:rPr>
          <w:rFonts w:ascii="Times New Roman" w:hAnsi="Times New Roman" w:cs="Times New Roman"/>
        </w:rPr>
        <w:tab/>
        <w:t>Global Burden of Disease Collaborative Network. Global Burden of Disease Study 2019 (GBD 2019) Reference Life Table. Published online 2021. doi:10.6069/1D4Y-YQ37</w:t>
      </w:r>
    </w:p>
    <w:p w14:paraId="2DDD66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35.</w:t>
      </w:r>
      <w:r w:rsidRPr="00B17A5F">
        <w:rPr>
          <w:rFonts w:ascii="Times New Roman" w:hAnsi="Times New Roman" w:cs="Times New Roman"/>
        </w:rPr>
        <w:tab/>
        <w:t>Pesaresi M. GHS-BUILT-S R2023A - GHS built-up surface grid, derived from Sentinel2 composite and Landsat, multitemporal (1975-2030). Published online April 25, 2023. doi:10.2905/9F06F36F-4B11-47EC-ABB0-4F8B7B1D72EA</w:t>
      </w:r>
    </w:p>
    <w:p w14:paraId="219FEC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36.</w:t>
      </w:r>
      <w:r w:rsidRPr="00B17A5F">
        <w:rPr>
          <w:rFonts w:ascii="Times New Roman" w:hAnsi="Times New Roman" w:cs="Times New Roman"/>
        </w:rPr>
        <w:tab/>
        <w:t xml:space="preserve">Lambert A, Vlaar J, Herrington S, Brussoni M. What Is the Relationship between the Neighbourhood Built Environment and Time Spent in Outdoor Play? A Systematic Review. </w:t>
      </w:r>
      <w:r w:rsidRPr="00B17A5F">
        <w:rPr>
          <w:rFonts w:ascii="Times New Roman" w:hAnsi="Times New Roman" w:cs="Times New Roman"/>
          <w:i/>
          <w:iCs/>
        </w:rPr>
        <w:t>International Journal of Environmental Research and Public Health</w:t>
      </w:r>
      <w:r w:rsidRPr="00B17A5F">
        <w:rPr>
          <w:rFonts w:ascii="Times New Roman" w:hAnsi="Times New Roman" w:cs="Times New Roman"/>
        </w:rPr>
        <w:t>. 2019;16(20):3840. doi:10.3390/ijerph16203840</w:t>
      </w:r>
    </w:p>
    <w:p w14:paraId="0F4CD25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37.</w:t>
      </w:r>
      <w:r w:rsidRPr="00B17A5F">
        <w:rPr>
          <w:rFonts w:ascii="Times New Roman" w:hAnsi="Times New Roman" w:cs="Times New Roman"/>
        </w:rPr>
        <w:tab/>
        <w:t xml:space="preserve">Zhang L, Wang Q, Lei R, et al. Greenness on mortality of infant and under-5 child: A nationwide study in 147 Chinese cities. </w:t>
      </w:r>
      <w:r w:rsidRPr="00B17A5F">
        <w:rPr>
          <w:rFonts w:ascii="Times New Roman" w:hAnsi="Times New Roman" w:cs="Times New Roman"/>
          <w:i/>
          <w:iCs/>
        </w:rPr>
        <w:t>Ecotoxicology and Environmental Safety</w:t>
      </w:r>
      <w:r w:rsidRPr="00B17A5F">
        <w:rPr>
          <w:rFonts w:ascii="Times New Roman" w:hAnsi="Times New Roman" w:cs="Times New Roman"/>
        </w:rPr>
        <w:t>. 2024;286:117184. doi:10.1016/j.ecoenv.2024.117184</w:t>
      </w:r>
    </w:p>
    <w:p w14:paraId="112E00DE"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38.</w:t>
      </w:r>
      <w:r w:rsidRPr="00B17A5F">
        <w:rPr>
          <w:rFonts w:ascii="Times New Roman" w:hAnsi="Times New Roman" w:cs="Times New Roman"/>
        </w:rPr>
        <w:tab/>
        <w:t>United Nations Statistics Division. Standard Country or Area Codes for Statistical Use (M49). https://unstats.un.org/unsd/methodology/m49</w:t>
      </w:r>
    </w:p>
    <w:p w14:paraId="2CE3ED0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39.</w:t>
      </w:r>
      <w:r w:rsidRPr="00B17A5F">
        <w:rPr>
          <w:rFonts w:ascii="Times New Roman" w:hAnsi="Times New Roman" w:cs="Times New Roman"/>
        </w:rPr>
        <w:tab/>
        <w:t xml:space="preserve">Beck HE, Zimmermann NE, McVicar TR, Vergopolan N, Berg A, Wood EF. Present and future Köppen-Geiger climate classification maps at 1-km resolution. </w:t>
      </w:r>
      <w:r w:rsidRPr="00B17A5F">
        <w:rPr>
          <w:rFonts w:ascii="Times New Roman" w:hAnsi="Times New Roman" w:cs="Times New Roman"/>
          <w:i/>
          <w:iCs/>
        </w:rPr>
        <w:t>Scientific Data</w:t>
      </w:r>
      <w:r w:rsidRPr="00B17A5F">
        <w:rPr>
          <w:rFonts w:ascii="Times New Roman" w:hAnsi="Times New Roman" w:cs="Times New Roman"/>
        </w:rPr>
        <w:t>. 2018;5:180214. doi:10.1038/sdata.2018.214</w:t>
      </w:r>
    </w:p>
    <w:p w14:paraId="4F46C11B" w14:textId="77AB32FC" w:rsidR="003057CF" w:rsidRPr="00E150CA" w:rsidRDefault="008740AE" w:rsidP="00B37854">
      <w:r>
        <w:fldChar w:fldCharType="end"/>
      </w:r>
    </w:p>
    <w:sectPr w:rsidR="003057CF" w:rsidRPr="00E150CA"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F31C5" w14:textId="77777777" w:rsidR="00976989" w:rsidRDefault="00976989" w:rsidP="00C814B5">
      <w:r>
        <w:separator/>
      </w:r>
    </w:p>
  </w:endnote>
  <w:endnote w:type="continuationSeparator" w:id="0">
    <w:p w14:paraId="2086D271" w14:textId="77777777" w:rsidR="00976989" w:rsidRDefault="00976989"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1CFE3" w14:textId="77777777" w:rsidR="00976989" w:rsidRDefault="00976989" w:rsidP="00C814B5">
      <w:r>
        <w:separator/>
      </w:r>
    </w:p>
  </w:footnote>
  <w:footnote w:type="continuationSeparator" w:id="0">
    <w:p w14:paraId="793620DE" w14:textId="77777777" w:rsidR="00976989" w:rsidRDefault="00976989"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30D9"/>
    <w:rsid w:val="00004EC4"/>
    <w:rsid w:val="00010CDC"/>
    <w:rsid w:val="00011D90"/>
    <w:rsid w:val="0001260F"/>
    <w:rsid w:val="0001515D"/>
    <w:rsid w:val="000151A6"/>
    <w:rsid w:val="00015676"/>
    <w:rsid w:val="00020AE2"/>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A1A"/>
    <w:rsid w:val="00065B9F"/>
    <w:rsid w:val="0007308F"/>
    <w:rsid w:val="000736DF"/>
    <w:rsid w:val="000753B7"/>
    <w:rsid w:val="0007761B"/>
    <w:rsid w:val="00077823"/>
    <w:rsid w:val="0008313F"/>
    <w:rsid w:val="00083DB1"/>
    <w:rsid w:val="00085466"/>
    <w:rsid w:val="00085BF5"/>
    <w:rsid w:val="00085E43"/>
    <w:rsid w:val="00086B9A"/>
    <w:rsid w:val="00087E0C"/>
    <w:rsid w:val="00090A79"/>
    <w:rsid w:val="00091884"/>
    <w:rsid w:val="00092D06"/>
    <w:rsid w:val="000951A9"/>
    <w:rsid w:val="000A13E3"/>
    <w:rsid w:val="000A3562"/>
    <w:rsid w:val="000A48F0"/>
    <w:rsid w:val="000A4F94"/>
    <w:rsid w:val="000A6993"/>
    <w:rsid w:val="000B0248"/>
    <w:rsid w:val="000B11D9"/>
    <w:rsid w:val="000B291A"/>
    <w:rsid w:val="000B3A77"/>
    <w:rsid w:val="000B3D62"/>
    <w:rsid w:val="000B6E75"/>
    <w:rsid w:val="000B7149"/>
    <w:rsid w:val="000B7BE0"/>
    <w:rsid w:val="000C081F"/>
    <w:rsid w:val="000C6255"/>
    <w:rsid w:val="000C6488"/>
    <w:rsid w:val="000C6A15"/>
    <w:rsid w:val="000C6DEB"/>
    <w:rsid w:val="000D568A"/>
    <w:rsid w:val="000D7E31"/>
    <w:rsid w:val="000E0AD4"/>
    <w:rsid w:val="000E1D49"/>
    <w:rsid w:val="000E6D38"/>
    <w:rsid w:val="000F34B8"/>
    <w:rsid w:val="000F62BB"/>
    <w:rsid w:val="001014B1"/>
    <w:rsid w:val="00103044"/>
    <w:rsid w:val="00105A15"/>
    <w:rsid w:val="00107C0A"/>
    <w:rsid w:val="00107F48"/>
    <w:rsid w:val="001135F2"/>
    <w:rsid w:val="00114224"/>
    <w:rsid w:val="00116098"/>
    <w:rsid w:val="00120B9A"/>
    <w:rsid w:val="0012232D"/>
    <w:rsid w:val="001229DE"/>
    <w:rsid w:val="00123848"/>
    <w:rsid w:val="0012435C"/>
    <w:rsid w:val="00132283"/>
    <w:rsid w:val="001329DE"/>
    <w:rsid w:val="00141172"/>
    <w:rsid w:val="00141B44"/>
    <w:rsid w:val="001463C7"/>
    <w:rsid w:val="001470F7"/>
    <w:rsid w:val="001507B3"/>
    <w:rsid w:val="00153AA9"/>
    <w:rsid w:val="00153D90"/>
    <w:rsid w:val="00154804"/>
    <w:rsid w:val="00157C32"/>
    <w:rsid w:val="001607E3"/>
    <w:rsid w:val="0016141A"/>
    <w:rsid w:val="00164EC7"/>
    <w:rsid w:val="00165473"/>
    <w:rsid w:val="00165516"/>
    <w:rsid w:val="00165667"/>
    <w:rsid w:val="00165BFB"/>
    <w:rsid w:val="00167925"/>
    <w:rsid w:val="00170E9C"/>
    <w:rsid w:val="00171935"/>
    <w:rsid w:val="0017376A"/>
    <w:rsid w:val="00173BD9"/>
    <w:rsid w:val="00176521"/>
    <w:rsid w:val="00180E9E"/>
    <w:rsid w:val="001818F3"/>
    <w:rsid w:val="001821A1"/>
    <w:rsid w:val="00182372"/>
    <w:rsid w:val="00182505"/>
    <w:rsid w:val="001835C0"/>
    <w:rsid w:val="00185717"/>
    <w:rsid w:val="00187996"/>
    <w:rsid w:val="00190084"/>
    <w:rsid w:val="001902C7"/>
    <w:rsid w:val="00191BE9"/>
    <w:rsid w:val="00194C9A"/>
    <w:rsid w:val="00194ED0"/>
    <w:rsid w:val="0019782A"/>
    <w:rsid w:val="001A3B3D"/>
    <w:rsid w:val="001A41E6"/>
    <w:rsid w:val="001B040E"/>
    <w:rsid w:val="001B327B"/>
    <w:rsid w:val="001B3B9D"/>
    <w:rsid w:val="001C1F37"/>
    <w:rsid w:val="001C57B1"/>
    <w:rsid w:val="001C5BE1"/>
    <w:rsid w:val="001C60F2"/>
    <w:rsid w:val="001C6CE6"/>
    <w:rsid w:val="001D035D"/>
    <w:rsid w:val="001D435E"/>
    <w:rsid w:val="001D4A8A"/>
    <w:rsid w:val="001D5CD0"/>
    <w:rsid w:val="001D6941"/>
    <w:rsid w:val="001D78AB"/>
    <w:rsid w:val="001E1F53"/>
    <w:rsid w:val="001E26CD"/>
    <w:rsid w:val="001E45F7"/>
    <w:rsid w:val="001E50F9"/>
    <w:rsid w:val="001F1B3D"/>
    <w:rsid w:val="001F36CB"/>
    <w:rsid w:val="001F37FF"/>
    <w:rsid w:val="001F396A"/>
    <w:rsid w:val="001F69F2"/>
    <w:rsid w:val="001F7B29"/>
    <w:rsid w:val="00200350"/>
    <w:rsid w:val="00202B9E"/>
    <w:rsid w:val="0020576C"/>
    <w:rsid w:val="00205BBE"/>
    <w:rsid w:val="0020779B"/>
    <w:rsid w:val="00211C0F"/>
    <w:rsid w:val="00213180"/>
    <w:rsid w:val="00216AA9"/>
    <w:rsid w:val="0022043E"/>
    <w:rsid w:val="00220EF2"/>
    <w:rsid w:val="00222625"/>
    <w:rsid w:val="00223AB8"/>
    <w:rsid w:val="00225861"/>
    <w:rsid w:val="00227D90"/>
    <w:rsid w:val="00230F0F"/>
    <w:rsid w:val="0023107B"/>
    <w:rsid w:val="002323C3"/>
    <w:rsid w:val="002355C4"/>
    <w:rsid w:val="0023601F"/>
    <w:rsid w:val="00236756"/>
    <w:rsid w:val="00236953"/>
    <w:rsid w:val="0024097C"/>
    <w:rsid w:val="00241086"/>
    <w:rsid w:val="002453F5"/>
    <w:rsid w:val="002509BF"/>
    <w:rsid w:val="002512BB"/>
    <w:rsid w:val="00254D19"/>
    <w:rsid w:val="00256D82"/>
    <w:rsid w:val="00257840"/>
    <w:rsid w:val="00261514"/>
    <w:rsid w:val="00264F6A"/>
    <w:rsid w:val="00265E16"/>
    <w:rsid w:val="002661AE"/>
    <w:rsid w:val="00271908"/>
    <w:rsid w:val="00272E95"/>
    <w:rsid w:val="00275440"/>
    <w:rsid w:val="00275B6E"/>
    <w:rsid w:val="00284BC1"/>
    <w:rsid w:val="00285E75"/>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47F7"/>
    <w:rsid w:val="002D68C9"/>
    <w:rsid w:val="002D71DD"/>
    <w:rsid w:val="002D77F9"/>
    <w:rsid w:val="002D7D8E"/>
    <w:rsid w:val="002E019E"/>
    <w:rsid w:val="002E0822"/>
    <w:rsid w:val="002E5555"/>
    <w:rsid w:val="002E78EC"/>
    <w:rsid w:val="002F18D4"/>
    <w:rsid w:val="002F21BE"/>
    <w:rsid w:val="002F28B1"/>
    <w:rsid w:val="002F5792"/>
    <w:rsid w:val="003057CF"/>
    <w:rsid w:val="00306961"/>
    <w:rsid w:val="003074C8"/>
    <w:rsid w:val="00310609"/>
    <w:rsid w:val="00310B46"/>
    <w:rsid w:val="0031206C"/>
    <w:rsid w:val="0031287B"/>
    <w:rsid w:val="00312D2F"/>
    <w:rsid w:val="00322DD1"/>
    <w:rsid w:val="00325681"/>
    <w:rsid w:val="00325F51"/>
    <w:rsid w:val="00330023"/>
    <w:rsid w:val="00330714"/>
    <w:rsid w:val="0033781C"/>
    <w:rsid w:val="00337DBF"/>
    <w:rsid w:val="00337F2F"/>
    <w:rsid w:val="00340D5C"/>
    <w:rsid w:val="00343620"/>
    <w:rsid w:val="00346D63"/>
    <w:rsid w:val="00346FF4"/>
    <w:rsid w:val="003508BE"/>
    <w:rsid w:val="00352531"/>
    <w:rsid w:val="00354BDF"/>
    <w:rsid w:val="0035526C"/>
    <w:rsid w:val="00355E39"/>
    <w:rsid w:val="003578BC"/>
    <w:rsid w:val="00362015"/>
    <w:rsid w:val="0036229A"/>
    <w:rsid w:val="003705BF"/>
    <w:rsid w:val="003708FF"/>
    <w:rsid w:val="00370984"/>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2E6"/>
    <w:rsid w:val="003C2F7C"/>
    <w:rsid w:val="003C3846"/>
    <w:rsid w:val="003C57E4"/>
    <w:rsid w:val="003C7B28"/>
    <w:rsid w:val="003D06C1"/>
    <w:rsid w:val="003D3557"/>
    <w:rsid w:val="003D44E1"/>
    <w:rsid w:val="003E6DFB"/>
    <w:rsid w:val="003E788D"/>
    <w:rsid w:val="003E78BE"/>
    <w:rsid w:val="003F0411"/>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17C3"/>
    <w:rsid w:val="00447078"/>
    <w:rsid w:val="0044736A"/>
    <w:rsid w:val="00447748"/>
    <w:rsid w:val="004518A5"/>
    <w:rsid w:val="0045472F"/>
    <w:rsid w:val="00455EE4"/>
    <w:rsid w:val="00457E7E"/>
    <w:rsid w:val="004614AB"/>
    <w:rsid w:val="004616FD"/>
    <w:rsid w:val="004675D0"/>
    <w:rsid w:val="004728FB"/>
    <w:rsid w:val="0047751C"/>
    <w:rsid w:val="00477C3C"/>
    <w:rsid w:val="004804D9"/>
    <w:rsid w:val="004817DF"/>
    <w:rsid w:val="004821B9"/>
    <w:rsid w:val="00482BCF"/>
    <w:rsid w:val="00484172"/>
    <w:rsid w:val="004902E4"/>
    <w:rsid w:val="004905C4"/>
    <w:rsid w:val="0049174D"/>
    <w:rsid w:val="0049350F"/>
    <w:rsid w:val="004A13B2"/>
    <w:rsid w:val="004A1A47"/>
    <w:rsid w:val="004A1F08"/>
    <w:rsid w:val="004A429B"/>
    <w:rsid w:val="004A5E81"/>
    <w:rsid w:val="004A6A1E"/>
    <w:rsid w:val="004B4DE1"/>
    <w:rsid w:val="004C0E63"/>
    <w:rsid w:val="004C1554"/>
    <w:rsid w:val="004C2D43"/>
    <w:rsid w:val="004C41CE"/>
    <w:rsid w:val="004C72A3"/>
    <w:rsid w:val="004D11FE"/>
    <w:rsid w:val="004D2877"/>
    <w:rsid w:val="004D4795"/>
    <w:rsid w:val="004E0137"/>
    <w:rsid w:val="004E0C6E"/>
    <w:rsid w:val="004E3805"/>
    <w:rsid w:val="004E411D"/>
    <w:rsid w:val="004E4DEF"/>
    <w:rsid w:val="004E528C"/>
    <w:rsid w:val="004E6D40"/>
    <w:rsid w:val="004E7988"/>
    <w:rsid w:val="004F0F88"/>
    <w:rsid w:val="004F1B5A"/>
    <w:rsid w:val="004F24B5"/>
    <w:rsid w:val="004F5056"/>
    <w:rsid w:val="004F541A"/>
    <w:rsid w:val="004F5C41"/>
    <w:rsid w:val="004F7FF4"/>
    <w:rsid w:val="00502798"/>
    <w:rsid w:val="00505E9F"/>
    <w:rsid w:val="00507D1B"/>
    <w:rsid w:val="00512A25"/>
    <w:rsid w:val="00514A17"/>
    <w:rsid w:val="005160DC"/>
    <w:rsid w:val="005166BA"/>
    <w:rsid w:val="00520382"/>
    <w:rsid w:val="00521A41"/>
    <w:rsid w:val="00522757"/>
    <w:rsid w:val="005246F9"/>
    <w:rsid w:val="00524E7C"/>
    <w:rsid w:val="00531C5E"/>
    <w:rsid w:val="00532AE5"/>
    <w:rsid w:val="00532E20"/>
    <w:rsid w:val="00533BBB"/>
    <w:rsid w:val="005378FC"/>
    <w:rsid w:val="00540752"/>
    <w:rsid w:val="005421F0"/>
    <w:rsid w:val="0054585B"/>
    <w:rsid w:val="00546D86"/>
    <w:rsid w:val="00551D54"/>
    <w:rsid w:val="005548B0"/>
    <w:rsid w:val="00555E05"/>
    <w:rsid w:val="00560272"/>
    <w:rsid w:val="0056135D"/>
    <w:rsid w:val="00562949"/>
    <w:rsid w:val="00567C37"/>
    <w:rsid w:val="00575730"/>
    <w:rsid w:val="00580922"/>
    <w:rsid w:val="00584822"/>
    <w:rsid w:val="005873C4"/>
    <w:rsid w:val="00591514"/>
    <w:rsid w:val="005917AC"/>
    <w:rsid w:val="00592490"/>
    <w:rsid w:val="00593670"/>
    <w:rsid w:val="0059464E"/>
    <w:rsid w:val="00595207"/>
    <w:rsid w:val="00595315"/>
    <w:rsid w:val="00595F78"/>
    <w:rsid w:val="005974F8"/>
    <w:rsid w:val="00597DB0"/>
    <w:rsid w:val="005A15AF"/>
    <w:rsid w:val="005A1A9F"/>
    <w:rsid w:val="005A1DF9"/>
    <w:rsid w:val="005A20F8"/>
    <w:rsid w:val="005A7519"/>
    <w:rsid w:val="005B2413"/>
    <w:rsid w:val="005B2BD0"/>
    <w:rsid w:val="005B31D0"/>
    <w:rsid w:val="005B4852"/>
    <w:rsid w:val="005B6A5D"/>
    <w:rsid w:val="005C0060"/>
    <w:rsid w:val="005C2AF3"/>
    <w:rsid w:val="005C5123"/>
    <w:rsid w:val="005C53F7"/>
    <w:rsid w:val="005C5CA4"/>
    <w:rsid w:val="005C7ECC"/>
    <w:rsid w:val="005D18BF"/>
    <w:rsid w:val="005D2A01"/>
    <w:rsid w:val="005D4B56"/>
    <w:rsid w:val="005D506E"/>
    <w:rsid w:val="005D55F2"/>
    <w:rsid w:val="005D6065"/>
    <w:rsid w:val="005E2A24"/>
    <w:rsid w:val="005E308B"/>
    <w:rsid w:val="005E3961"/>
    <w:rsid w:val="005E459E"/>
    <w:rsid w:val="005E52ED"/>
    <w:rsid w:val="005F0ECE"/>
    <w:rsid w:val="005F0FBD"/>
    <w:rsid w:val="005F2425"/>
    <w:rsid w:val="005F46DB"/>
    <w:rsid w:val="006010B2"/>
    <w:rsid w:val="006035AD"/>
    <w:rsid w:val="006036D8"/>
    <w:rsid w:val="0060540D"/>
    <w:rsid w:val="00605D6C"/>
    <w:rsid w:val="00612307"/>
    <w:rsid w:val="00613582"/>
    <w:rsid w:val="00613E22"/>
    <w:rsid w:val="00616FAE"/>
    <w:rsid w:val="0062029F"/>
    <w:rsid w:val="00620701"/>
    <w:rsid w:val="0062156B"/>
    <w:rsid w:val="006222BE"/>
    <w:rsid w:val="00626371"/>
    <w:rsid w:val="00626F66"/>
    <w:rsid w:val="006279CF"/>
    <w:rsid w:val="00630632"/>
    <w:rsid w:val="00632344"/>
    <w:rsid w:val="00632B39"/>
    <w:rsid w:val="0063460D"/>
    <w:rsid w:val="006422ED"/>
    <w:rsid w:val="00643A8D"/>
    <w:rsid w:val="0065124F"/>
    <w:rsid w:val="00653950"/>
    <w:rsid w:val="00655B0E"/>
    <w:rsid w:val="00661721"/>
    <w:rsid w:val="00661877"/>
    <w:rsid w:val="006648D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56DF"/>
    <w:rsid w:val="00697358"/>
    <w:rsid w:val="006A2621"/>
    <w:rsid w:val="006A4AC4"/>
    <w:rsid w:val="006A54AA"/>
    <w:rsid w:val="006A7E0D"/>
    <w:rsid w:val="006B0C9A"/>
    <w:rsid w:val="006B257F"/>
    <w:rsid w:val="006B3186"/>
    <w:rsid w:val="006B4603"/>
    <w:rsid w:val="006B51CC"/>
    <w:rsid w:val="006C1F22"/>
    <w:rsid w:val="006C4295"/>
    <w:rsid w:val="006C67EB"/>
    <w:rsid w:val="006D07C8"/>
    <w:rsid w:val="006D1DC3"/>
    <w:rsid w:val="006D6CF3"/>
    <w:rsid w:val="006D7B2F"/>
    <w:rsid w:val="006E0341"/>
    <w:rsid w:val="006E1AF3"/>
    <w:rsid w:val="006E2604"/>
    <w:rsid w:val="006E2A12"/>
    <w:rsid w:val="006E388F"/>
    <w:rsid w:val="006E45F4"/>
    <w:rsid w:val="006E4C2C"/>
    <w:rsid w:val="006E54D2"/>
    <w:rsid w:val="006E57BE"/>
    <w:rsid w:val="006E755F"/>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2DE3"/>
    <w:rsid w:val="00723309"/>
    <w:rsid w:val="00727C61"/>
    <w:rsid w:val="00731501"/>
    <w:rsid w:val="00731FC8"/>
    <w:rsid w:val="00732271"/>
    <w:rsid w:val="00733950"/>
    <w:rsid w:val="007354C6"/>
    <w:rsid w:val="00736641"/>
    <w:rsid w:val="00736C52"/>
    <w:rsid w:val="00741FA6"/>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129"/>
    <w:rsid w:val="00760E36"/>
    <w:rsid w:val="0076188F"/>
    <w:rsid w:val="00766A0B"/>
    <w:rsid w:val="0077127F"/>
    <w:rsid w:val="007727CC"/>
    <w:rsid w:val="0077465E"/>
    <w:rsid w:val="00775F83"/>
    <w:rsid w:val="0077772C"/>
    <w:rsid w:val="00777B76"/>
    <w:rsid w:val="007804F5"/>
    <w:rsid w:val="00780EEA"/>
    <w:rsid w:val="0078361F"/>
    <w:rsid w:val="0078403A"/>
    <w:rsid w:val="00791C22"/>
    <w:rsid w:val="007923E0"/>
    <w:rsid w:val="00792E78"/>
    <w:rsid w:val="007978FB"/>
    <w:rsid w:val="007A0072"/>
    <w:rsid w:val="007A02E0"/>
    <w:rsid w:val="007A26CC"/>
    <w:rsid w:val="007A4319"/>
    <w:rsid w:val="007A638C"/>
    <w:rsid w:val="007A7781"/>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806"/>
    <w:rsid w:val="007C5E9E"/>
    <w:rsid w:val="007C616E"/>
    <w:rsid w:val="007C73A9"/>
    <w:rsid w:val="007C7527"/>
    <w:rsid w:val="007D0302"/>
    <w:rsid w:val="007D27A1"/>
    <w:rsid w:val="007D366C"/>
    <w:rsid w:val="007D6397"/>
    <w:rsid w:val="007D7DC3"/>
    <w:rsid w:val="007E09D3"/>
    <w:rsid w:val="007E0BEF"/>
    <w:rsid w:val="007E1EF7"/>
    <w:rsid w:val="007E27F5"/>
    <w:rsid w:val="007E58B1"/>
    <w:rsid w:val="007F7B32"/>
    <w:rsid w:val="00801A67"/>
    <w:rsid w:val="008049D1"/>
    <w:rsid w:val="008056D3"/>
    <w:rsid w:val="00807A05"/>
    <w:rsid w:val="00812492"/>
    <w:rsid w:val="00823A75"/>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5FF9"/>
    <w:rsid w:val="00846322"/>
    <w:rsid w:val="00847BEB"/>
    <w:rsid w:val="00847D77"/>
    <w:rsid w:val="008531B6"/>
    <w:rsid w:val="00855772"/>
    <w:rsid w:val="00861214"/>
    <w:rsid w:val="0086582F"/>
    <w:rsid w:val="008659CD"/>
    <w:rsid w:val="00866A5E"/>
    <w:rsid w:val="00867BD2"/>
    <w:rsid w:val="00870A86"/>
    <w:rsid w:val="0087108D"/>
    <w:rsid w:val="008712E0"/>
    <w:rsid w:val="008721AB"/>
    <w:rsid w:val="008740AE"/>
    <w:rsid w:val="008772E9"/>
    <w:rsid w:val="00880CB6"/>
    <w:rsid w:val="0088371A"/>
    <w:rsid w:val="00886996"/>
    <w:rsid w:val="00887357"/>
    <w:rsid w:val="008875C4"/>
    <w:rsid w:val="008902D6"/>
    <w:rsid w:val="00890A47"/>
    <w:rsid w:val="0089246B"/>
    <w:rsid w:val="008929AF"/>
    <w:rsid w:val="008950EF"/>
    <w:rsid w:val="008964A8"/>
    <w:rsid w:val="008A1B17"/>
    <w:rsid w:val="008A2F9A"/>
    <w:rsid w:val="008A51B6"/>
    <w:rsid w:val="008A652B"/>
    <w:rsid w:val="008B7742"/>
    <w:rsid w:val="008C087B"/>
    <w:rsid w:val="008C3D0A"/>
    <w:rsid w:val="008C3F1F"/>
    <w:rsid w:val="008D0CA5"/>
    <w:rsid w:val="008D30B4"/>
    <w:rsid w:val="008E053E"/>
    <w:rsid w:val="008E4A82"/>
    <w:rsid w:val="008E6963"/>
    <w:rsid w:val="008F0486"/>
    <w:rsid w:val="008F1458"/>
    <w:rsid w:val="008F2180"/>
    <w:rsid w:val="008F3CB0"/>
    <w:rsid w:val="008F40D9"/>
    <w:rsid w:val="008F45C7"/>
    <w:rsid w:val="0090348C"/>
    <w:rsid w:val="00906451"/>
    <w:rsid w:val="00910DED"/>
    <w:rsid w:val="00912715"/>
    <w:rsid w:val="009144DC"/>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47B17"/>
    <w:rsid w:val="00950AD0"/>
    <w:rsid w:val="00951FAF"/>
    <w:rsid w:val="00952099"/>
    <w:rsid w:val="0095452D"/>
    <w:rsid w:val="00961489"/>
    <w:rsid w:val="00966C47"/>
    <w:rsid w:val="00967827"/>
    <w:rsid w:val="00971272"/>
    <w:rsid w:val="00973597"/>
    <w:rsid w:val="00976989"/>
    <w:rsid w:val="00986350"/>
    <w:rsid w:val="00992099"/>
    <w:rsid w:val="0099266F"/>
    <w:rsid w:val="00992BCB"/>
    <w:rsid w:val="009937AF"/>
    <w:rsid w:val="00993AEA"/>
    <w:rsid w:val="009941C7"/>
    <w:rsid w:val="009942AC"/>
    <w:rsid w:val="009952BA"/>
    <w:rsid w:val="0099642C"/>
    <w:rsid w:val="009A5438"/>
    <w:rsid w:val="009A5BEC"/>
    <w:rsid w:val="009A6B9D"/>
    <w:rsid w:val="009B1586"/>
    <w:rsid w:val="009B3E40"/>
    <w:rsid w:val="009B4FCE"/>
    <w:rsid w:val="009B65D4"/>
    <w:rsid w:val="009B6734"/>
    <w:rsid w:val="009B7B4B"/>
    <w:rsid w:val="009B7FB9"/>
    <w:rsid w:val="009C1F86"/>
    <w:rsid w:val="009C6E24"/>
    <w:rsid w:val="009C70D8"/>
    <w:rsid w:val="009D4513"/>
    <w:rsid w:val="009D595E"/>
    <w:rsid w:val="009D59E2"/>
    <w:rsid w:val="009D5FE3"/>
    <w:rsid w:val="009D6554"/>
    <w:rsid w:val="009D6EF8"/>
    <w:rsid w:val="009E1007"/>
    <w:rsid w:val="009E1DB8"/>
    <w:rsid w:val="009E4029"/>
    <w:rsid w:val="009E5260"/>
    <w:rsid w:val="009E573D"/>
    <w:rsid w:val="009E57CF"/>
    <w:rsid w:val="009E65F6"/>
    <w:rsid w:val="009F0F64"/>
    <w:rsid w:val="009F204D"/>
    <w:rsid w:val="009F2358"/>
    <w:rsid w:val="009F23F4"/>
    <w:rsid w:val="009F2452"/>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21D9A"/>
    <w:rsid w:val="00A239B3"/>
    <w:rsid w:val="00A2604A"/>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4E2"/>
    <w:rsid w:val="00AC0A44"/>
    <w:rsid w:val="00AC3C2D"/>
    <w:rsid w:val="00AC46B6"/>
    <w:rsid w:val="00AC5493"/>
    <w:rsid w:val="00AC6C82"/>
    <w:rsid w:val="00AD0485"/>
    <w:rsid w:val="00AD04B4"/>
    <w:rsid w:val="00AD473B"/>
    <w:rsid w:val="00AD75A9"/>
    <w:rsid w:val="00AE0D66"/>
    <w:rsid w:val="00AE0F11"/>
    <w:rsid w:val="00AE2153"/>
    <w:rsid w:val="00AE5154"/>
    <w:rsid w:val="00AE741B"/>
    <w:rsid w:val="00AE765C"/>
    <w:rsid w:val="00AF0AB2"/>
    <w:rsid w:val="00AF3074"/>
    <w:rsid w:val="00AF358C"/>
    <w:rsid w:val="00AF3FCC"/>
    <w:rsid w:val="00AF52BD"/>
    <w:rsid w:val="00AF54A8"/>
    <w:rsid w:val="00AF772E"/>
    <w:rsid w:val="00B01B42"/>
    <w:rsid w:val="00B044FF"/>
    <w:rsid w:val="00B050E8"/>
    <w:rsid w:val="00B0510B"/>
    <w:rsid w:val="00B1144D"/>
    <w:rsid w:val="00B12EBB"/>
    <w:rsid w:val="00B1621C"/>
    <w:rsid w:val="00B17A5F"/>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3F41"/>
    <w:rsid w:val="00B559F0"/>
    <w:rsid w:val="00B56686"/>
    <w:rsid w:val="00B60C02"/>
    <w:rsid w:val="00B6299E"/>
    <w:rsid w:val="00B64177"/>
    <w:rsid w:val="00B64E23"/>
    <w:rsid w:val="00B66810"/>
    <w:rsid w:val="00B6780A"/>
    <w:rsid w:val="00B723B6"/>
    <w:rsid w:val="00B72FC3"/>
    <w:rsid w:val="00B75AD6"/>
    <w:rsid w:val="00B7738B"/>
    <w:rsid w:val="00B83005"/>
    <w:rsid w:val="00B83171"/>
    <w:rsid w:val="00B8324E"/>
    <w:rsid w:val="00B86455"/>
    <w:rsid w:val="00B86E60"/>
    <w:rsid w:val="00B874CA"/>
    <w:rsid w:val="00B87FAE"/>
    <w:rsid w:val="00B92EF3"/>
    <w:rsid w:val="00B93E7F"/>
    <w:rsid w:val="00B96663"/>
    <w:rsid w:val="00BA0784"/>
    <w:rsid w:val="00BA124C"/>
    <w:rsid w:val="00BA13B7"/>
    <w:rsid w:val="00BA22DC"/>
    <w:rsid w:val="00BA3573"/>
    <w:rsid w:val="00BA52E1"/>
    <w:rsid w:val="00BA621B"/>
    <w:rsid w:val="00BA77C0"/>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0745"/>
    <w:rsid w:val="00BF1303"/>
    <w:rsid w:val="00BF17AB"/>
    <w:rsid w:val="00BF7C36"/>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8C8"/>
    <w:rsid w:val="00C42F55"/>
    <w:rsid w:val="00C472FA"/>
    <w:rsid w:val="00C52434"/>
    <w:rsid w:val="00C529F1"/>
    <w:rsid w:val="00C52B75"/>
    <w:rsid w:val="00C53D46"/>
    <w:rsid w:val="00C63335"/>
    <w:rsid w:val="00C65B8E"/>
    <w:rsid w:val="00C662A0"/>
    <w:rsid w:val="00C66916"/>
    <w:rsid w:val="00C73599"/>
    <w:rsid w:val="00C7530B"/>
    <w:rsid w:val="00C802AF"/>
    <w:rsid w:val="00C814B5"/>
    <w:rsid w:val="00C82F36"/>
    <w:rsid w:val="00C83ABA"/>
    <w:rsid w:val="00C90142"/>
    <w:rsid w:val="00C91C00"/>
    <w:rsid w:val="00C92231"/>
    <w:rsid w:val="00C92D01"/>
    <w:rsid w:val="00C9580E"/>
    <w:rsid w:val="00C975A0"/>
    <w:rsid w:val="00C97E06"/>
    <w:rsid w:val="00CA2062"/>
    <w:rsid w:val="00CA27EC"/>
    <w:rsid w:val="00CA40C1"/>
    <w:rsid w:val="00CA45FF"/>
    <w:rsid w:val="00CB0731"/>
    <w:rsid w:val="00CB1405"/>
    <w:rsid w:val="00CB1D2D"/>
    <w:rsid w:val="00CB3595"/>
    <w:rsid w:val="00CB5E40"/>
    <w:rsid w:val="00CC0966"/>
    <w:rsid w:val="00CC129C"/>
    <w:rsid w:val="00CC271B"/>
    <w:rsid w:val="00CC66DA"/>
    <w:rsid w:val="00CC77EE"/>
    <w:rsid w:val="00CC782D"/>
    <w:rsid w:val="00CD5550"/>
    <w:rsid w:val="00CD5B9C"/>
    <w:rsid w:val="00CD7109"/>
    <w:rsid w:val="00CE07A8"/>
    <w:rsid w:val="00CE2519"/>
    <w:rsid w:val="00CE55BE"/>
    <w:rsid w:val="00CE7C15"/>
    <w:rsid w:val="00CF2476"/>
    <w:rsid w:val="00CF35A4"/>
    <w:rsid w:val="00CF3D70"/>
    <w:rsid w:val="00CF3EEC"/>
    <w:rsid w:val="00CF4379"/>
    <w:rsid w:val="00D01962"/>
    <w:rsid w:val="00D01BF5"/>
    <w:rsid w:val="00D024F3"/>
    <w:rsid w:val="00D03DC0"/>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3D88"/>
    <w:rsid w:val="00D350FF"/>
    <w:rsid w:val="00D36FAE"/>
    <w:rsid w:val="00D37869"/>
    <w:rsid w:val="00D3799D"/>
    <w:rsid w:val="00D47782"/>
    <w:rsid w:val="00D50D3C"/>
    <w:rsid w:val="00D51280"/>
    <w:rsid w:val="00D51E22"/>
    <w:rsid w:val="00D527BF"/>
    <w:rsid w:val="00D540D0"/>
    <w:rsid w:val="00D56F1F"/>
    <w:rsid w:val="00D57F4C"/>
    <w:rsid w:val="00D60595"/>
    <w:rsid w:val="00D61237"/>
    <w:rsid w:val="00D6125F"/>
    <w:rsid w:val="00D670DD"/>
    <w:rsid w:val="00D67367"/>
    <w:rsid w:val="00D673DE"/>
    <w:rsid w:val="00D80863"/>
    <w:rsid w:val="00D81AD7"/>
    <w:rsid w:val="00D81DD9"/>
    <w:rsid w:val="00D81E68"/>
    <w:rsid w:val="00D85548"/>
    <w:rsid w:val="00D86A16"/>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8FF"/>
    <w:rsid w:val="00DC3D1D"/>
    <w:rsid w:val="00DD0531"/>
    <w:rsid w:val="00DD06C6"/>
    <w:rsid w:val="00DD0A0D"/>
    <w:rsid w:val="00DD1521"/>
    <w:rsid w:val="00DD427C"/>
    <w:rsid w:val="00DD5C68"/>
    <w:rsid w:val="00DD7949"/>
    <w:rsid w:val="00DD7A83"/>
    <w:rsid w:val="00DD7A8E"/>
    <w:rsid w:val="00DE5536"/>
    <w:rsid w:val="00DE6E48"/>
    <w:rsid w:val="00DF2DD5"/>
    <w:rsid w:val="00DF337C"/>
    <w:rsid w:val="00DF421B"/>
    <w:rsid w:val="00E01C87"/>
    <w:rsid w:val="00E0330E"/>
    <w:rsid w:val="00E03410"/>
    <w:rsid w:val="00E13389"/>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34A08"/>
    <w:rsid w:val="00E401D7"/>
    <w:rsid w:val="00E445DA"/>
    <w:rsid w:val="00E457AE"/>
    <w:rsid w:val="00E467F5"/>
    <w:rsid w:val="00E517CA"/>
    <w:rsid w:val="00E53C46"/>
    <w:rsid w:val="00E5433D"/>
    <w:rsid w:val="00E5782C"/>
    <w:rsid w:val="00E57C55"/>
    <w:rsid w:val="00E57E5E"/>
    <w:rsid w:val="00E63418"/>
    <w:rsid w:val="00E63731"/>
    <w:rsid w:val="00E63B04"/>
    <w:rsid w:val="00E6576A"/>
    <w:rsid w:val="00E70BF7"/>
    <w:rsid w:val="00E710C0"/>
    <w:rsid w:val="00E72C97"/>
    <w:rsid w:val="00E74A19"/>
    <w:rsid w:val="00E83875"/>
    <w:rsid w:val="00E83E43"/>
    <w:rsid w:val="00E8527A"/>
    <w:rsid w:val="00E85AF5"/>
    <w:rsid w:val="00E85F88"/>
    <w:rsid w:val="00E91D7B"/>
    <w:rsid w:val="00E928D9"/>
    <w:rsid w:val="00E93033"/>
    <w:rsid w:val="00E93D78"/>
    <w:rsid w:val="00E95247"/>
    <w:rsid w:val="00E953AA"/>
    <w:rsid w:val="00E95922"/>
    <w:rsid w:val="00EA0787"/>
    <w:rsid w:val="00EA100A"/>
    <w:rsid w:val="00EA130A"/>
    <w:rsid w:val="00EA3427"/>
    <w:rsid w:val="00EA38BA"/>
    <w:rsid w:val="00EA6880"/>
    <w:rsid w:val="00EB2752"/>
    <w:rsid w:val="00EB2E8E"/>
    <w:rsid w:val="00EB3004"/>
    <w:rsid w:val="00EB390E"/>
    <w:rsid w:val="00EB6325"/>
    <w:rsid w:val="00EB7037"/>
    <w:rsid w:val="00EB77D4"/>
    <w:rsid w:val="00EC09BC"/>
    <w:rsid w:val="00EC2502"/>
    <w:rsid w:val="00EC276D"/>
    <w:rsid w:val="00EC38D2"/>
    <w:rsid w:val="00EC455B"/>
    <w:rsid w:val="00EC4809"/>
    <w:rsid w:val="00EC6CB2"/>
    <w:rsid w:val="00EC78C9"/>
    <w:rsid w:val="00ED067B"/>
    <w:rsid w:val="00ED2483"/>
    <w:rsid w:val="00ED31F3"/>
    <w:rsid w:val="00ED38E0"/>
    <w:rsid w:val="00ED662B"/>
    <w:rsid w:val="00ED7F58"/>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06C1D"/>
    <w:rsid w:val="00F12484"/>
    <w:rsid w:val="00F134DC"/>
    <w:rsid w:val="00F20AF5"/>
    <w:rsid w:val="00F23DBF"/>
    <w:rsid w:val="00F27553"/>
    <w:rsid w:val="00F278AC"/>
    <w:rsid w:val="00F33DE4"/>
    <w:rsid w:val="00F34E66"/>
    <w:rsid w:val="00F359A0"/>
    <w:rsid w:val="00F35A3A"/>
    <w:rsid w:val="00F37DF7"/>
    <w:rsid w:val="00F411A4"/>
    <w:rsid w:val="00F450F7"/>
    <w:rsid w:val="00F50FD4"/>
    <w:rsid w:val="00F51C2B"/>
    <w:rsid w:val="00F52217"/>
    <w:rsid w:val="00F5233A"/>
    <w:rsid w:val="00F533A8"/>
    <w:rsid w:val="00F56239"/>
    <w:rsid w:val="00F66727"/>
    <w:rsid w:val="00F71C0C"/>
    <w:rsid w:val="00F72D42"/>
    <w:rsid w:val="00F737F6"/>
    <w:rsid w:val="00F73B7D"/>
    <w:rsid w:val="00F75556"/>
    <w:rsid w:val="00F75F1A"/>
    <w:rsid w:val="00F77C47"/>
    <w:rsid w:val="00F80B47"/>
    <w:rsid w:val="00F82B6B"/>
    <w:rsid w:val="00F82E36"/>
    <w:rsid w:val="00F83BE8"/>
    <w:rsid w:val="00F84646"/>
    <w:rsid w:val="00F856B5"/>
    <w:rsid w:val="00F8735D"/>
    <w:rsid w:val="00F9161A"/>
    <w:rsid w:val="00F9185B"/>
    <w:rsid w:val="00F91ED5"/>
    <w:rsid w:val="00F92168"/>
    <w:rsid w:val="00F92D13"/>
    <w:rsid w:val="00F94562"/>
    <w:rsid w:val="00FA1C0B"/>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D3258"/>
    <w:rsid w:val="00FD73CF"/>
    <w:rsid w:val="00FE03FB"/>
    <w:rsid w:val="00FE16BF"/>
    <w:rsid w:val="00FE2EE1"/>
    <w:rsid w:val="00FE4044"/>
    <w:rsid w:val="00FF1569"/>
    <w:rsid w:val="00FF19E2"/>
    <w:rsid w:val="00FF2A45"/>
    <w:rsid w:val="00FF5897"/>
    <w:rsid w:val="00FF7320"/>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AD6"/>
    <w:rPr>
      <w:rFonts w:ascii="Times New Roman" w:eastAsia="Times New Roman" w:hAnsi="Times New Roman" w:cs="Times New Roman"/>
    </w:rPr>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style>
  <w:style w:type="paragraph" w:styleId="Bibliography">
    <w:name w:val="Bibliography"/>
    <w:basedOn w:val="Normal"/>
    <w:next w:val="Normal"/>
    <w:uiPriority w:val="37"/>
    <w:unhideWhenUsed/>
    <w:rsid w:val="006E54D2"/>
    <w:pPr>
      <w:tabs>
        <w:tab w:val="left" w:pos="380"/>
      </w:tabs>
      <w:spacing w:after="240"/>
      <w:ind w:left="384" w:hanging="384"/>
    </w:pPr>
    <w:rPr>
      <w:rFonts w:asciiTheme="minorHAnsi" w:eastAsiaTheme="minorHAnsi" w:hAnsiTheme="minorHAnsi" w:cstheme="minorBidi"/>
    </w:r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style>
  <w:style w:type="paragraph" w:customStyle="1" w:styleId="xl65">
    <w:name w:val="xl65"/>
    <w:basedOn w:val="Normal"/>
    <w:rsid w:val="007A4319"/>
    <w:pPr>
      <w:spacing w:before="100" w:beforeAutospacing="1" w:after="100" w:afterAutospacing="1"/>
    </w:pPr>
    <w:rPr>
      <w:rFonts w:ascii="Aptos Narrow" w:hAnsi="Aptos Narrow"/>
      <w:b/>
      <w:bCs/>
    </w:rPr>
  </w:style>
  <w:style w:type="paragraph" w:customStyle="1" w:styleId="xl66">
    <w:name w:val="xl66"/>
    <w:basedOn w:val="Normal"/>
    <w:rsid w:val="007D0302"/>
    <w:pPr>
      <w:spacing w:before="100" w:beforeAutospacing="1" w:after="100" w:afterAutospacing="1"/>
    </w:pPr>
    <w:rPr>
      <w:rFonts w:ascii="Times Roman" w:hAnsi="Times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311830440">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19</Pages>
  <Words>22855</Words>
  <Characters>130274</Characters>
  <Application>Microsoft Office Word</Application>
  <DocSecurity>0</DocSecurity>
  <Lines>1085</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6</cp:revision>
  <cp:lastPrinted>2025-02-18T18:29:00Z</cp:lastPrinted>
  <dcterms:created xsi:type="dcterms:W3CDTF">2025-08-08T19:42:00Z</dcterms:created>
  <dcterms:modified xsi:type="dcterms:W3CDTF">2025-08-08T20:37:00Z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id="WE7Q6kTq"/&gt;&lt;style id="http://www.zotero.org/styles/american-medical-association" hasBibliography="1" bibliographyStyleHasBeenSet="1"/&gt;&lt;prefs&gt;&lt;pref name="fieldType" value="Field"/&gt;&lt;/prefs&gt;&lt;/data&gt;</vt:lpwstr>
  </property>
</Properties>
</file>