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CB0FB0" w14:textId="129F2797" w:rsidR="00677638" w:rsidRPr="00447C1D" w:rsidRDefault="00677638" w:rsidP="00677638">
      <w:pPr>
        <w:pStyle w:val="Heading2"/>
        <w:rPr>
          <w:rStyle w:val="Heading3Char"/>
          <w:rFonts w:ascii="Helvetica" w:hAnsi="Helvetica"/>
          <w:i/>
        </w:rPr>
      </w:pPr>
      <w:bookmarkStart w:id="0" w:name="_Toc72495124"/>
      <w:r w:rsidRPr="00447C1D">
        <w:rPr>
          <w:rStyle w:val="Heading3Char"/>
          <w:rFonts w:ascii="Helvetica" w:hAnsi="Helvetica"/>
        </w:rPr>
        <w:t xml:space="preserve">Indicator 2.2.3: Urban </w:t>
      </w:r>
      <w:bookmarkEnd w:id="0"/>
      <w:commentRangeStart w:id="1"/>
      <w:r w:rsidR="00FB0BB2">
        <w:rPr>
          <w:rStyle w:val="Heading3Char"/>
          <w:rFonts w:ascii="Helvetica" w:hAnsi="Helvetica"/>
        </w:rPr>
        <w:t>Nature</w:t>
      </w:r>
      <w:commentRangeEnd w:id="1"/>
      <w:r w:rsidR="00FB0BB2">
        <w:rPr>
          <w:rStyle w:val="CommentReference"/>
          <w:rFonts w:asciiTheme="minorHAnsi" w:eastAsia="Times New Roman" w:hAnsiTheme="minorHAnsi" w:cs="Times New Roman"/>
          <w:color w:val="auto"/>
          <w:lang w:val="en-GB" w:eastAsia="en-GB"/>
        </w:rPr>
        <w:commentReference w:id="1"/>
      </w:r>
    </w:p>
    <w:p w14:paraId="2025793A" w14:textId="64751312" w:rsidR="00677638" w:rsidRPr="00447C1D" w:rsidRDefault="00677638" w:rsidP="00677638">
      <w:pPr>
        <w:rPr>
          <w:rFonts w:ascii="Helvetica" w:hAnsi="Helvetica"/>
          <w:i/>
          <w:iCs/>
        </w:rPr>
      </w:pPr>
      <w:r w:rsidRPr="00447C1D">
        <w:rPr>
          <w:rFonts w:ascii="Helvetica" w:hAnsi="Helvetica"/>
          <w:i/>
          <w:iCs/>
        </w:rPr>
        <w:t>Headline finding:</w:t>
      </w:r>
      <w:r>
        <w:rPr>
          <w:rFonts w:ascii="Helvetica" w:hAnsi="Helvetica"/>
          <w:i/>
          <w:iCs/>
        </w:rPr>
        <w:t xml:space="preserve"> </w:t>
      </w:r>
      <w:r w:rsidR="00CD35B1">
        <w:rPr>
          <w:rFonts w:ascii="Helvetica" w:hAnsi="Helvetica"/>
          <w:i/>
          <w:iCs/>
        </w:rPr>
        <w:t>Globally, urban greenspace has remained stable over the past decade. However, peak-season NDVI has varied substantially across individual cities</w:t>
      </w:r>
      <w:r>
        <w:rPr>
          <w:rFonts w:ascii="Helvetica" w:hAnsi="Helvetica"/>
          <w:i/>
          <w:iCs/>
        </w:rPr>
        <w:t>.</w:t>
      </w:r>
      <w:r w:rsidR="00CD35B1">
        <w:rPr>
          <w:rFonts w:ascii="Helvetica" w:hAnsi="Helvetica"/>
          <w:i/>
          <w:iCs/>
        </w:rPr>
        <w:t xml:space="preserve"> In 2024, greenspace increased slightly from the 2015-2020 average (0.2%), worldwide, with individual city changes ranging from -34% to +69%.  </w:t>
      </w:r>
    </w:p>
    <w:p w14:paraId="58A878F1" w14:textId="5AD466AC" w:rsidR="00677638" w:rsidRPr="007F1C1A" w:rsidRDefault="00677638" w:rsidP="00677638">
      <w:pPr>
        <w:rPr>
          <w:rFonts w:ascii="Helvetica" w:hAnsi="Helvetica" w:cs="Helvetica"/>
        </w:rPr>
      </w:pPr>
      <w:r>
        <w:rPr>
          <w:rFonts w:ascii="Helvetica" w:hAnsi="Helvetica" w:cstheme="majorBidi"/>
        </w:rPr>
        <w:t>G</w:t>
      </w:r>
      <w:r w:rsidRPr="3D6A6144">
        <w:rPr>
          <w:rFonts w:ascii="Helvetica" w:hAnsi="Helvetica" w:cstheme="majorBidi"/>
        </w:rPr>
        <w:t xml:space="preserve">reen spaces </w:t>
      </w:r>
      <w:r>
        <w:rPr>
          <w:rFonts w:ascii="Helvetica" w:hAnsi="Helvetica" w:cstheme="majorBidi"/>
        </w:rPr>
        <w:t>serve to</w:t>
      </w:r>
      <w:r w:rsidRPr="3D6A6144">
        <w:rPr>
          <w:rFonts w:ascii="Helvetica" w:hAnsi="Helvetica" w:cstheme="majorBidi"/>
        </w:rPr>
        <w:t xml:space="preserve"> reduce the intensity of heat </w:t>
      </w:r>
      <w:r>
        <w:rPr>
          <w:rFonts w:ascii="Helvetica" w:hAnsi="Helvetica" w:cstheme="majorBidi"/>
        </w:rPr>
        <w:t xml:space="preserve">islands </w:t>
      </w:r>
      <w:r w:rsidRPr="3D6A6144">
        <w:rPr>
          <w:rFonts w:ascii="Helvetica" w:hAnsi="Helvetica" w:cstheme="majorBidi"/>
        </w:rPr>
        <w:t xml:space="preserve">at the neighborhood scale in </w:t>
      </w:r>
      <w:r>
        <w:rPr>
          <w:rFonts w:ascii="Helvetica" w:hAnsi="Helvetica" w:cstheme="majorBidi"/>
        </w:rPr>
        <w:t>urban centers</w:t>
      </w:r>
      <w:r w:rsidRPr="3D6A6144">
        <w:rPr>
          <w:rFonts w:ascii="Helvetica" w:hAnsi="Helvetica" w:cstheme="majorBidi"/>
        </w:rPr>
        <w:t xml:space="preserve">, while positively affecting physical and mental health. </w:t>
      </w:r>
      <w:sdt>
        <w:sdtPr>
          <w:rPr>
            <w:rFonts w:ascii="Helvetica" w:hAnsi="Helvetica" w:cs="Calibri Light"/>
            <w:color w:val="000000"/>
            <w:highlight w:val="white"/>
          </w:rPr>
          <w:alias w:val="Citation"/>
          <w:tag w:val="{&quot;referencesIds&quot;:[&quot;doc:624b370c8f084c7b219231c9&quot;,&quot;doc:624b37888f08d2157889ea61&quot;,&quot;doc:65f19439416bb032695e332e&quot;,&quot;doc:65f194b946fc636536952b82&quot;],&quot;referencesOptions&quot;:{&quot;doc:624b370c8f084c7b219231c9&quot;:{&quot;author&quot;:true,&quot;year&quot;:true,&quot;pageReplace&quot;:&quot;&quot;,&quot;prefix&quot;:&quot;&quot;,&quot;suffix&quot;:&quot;&quot;},&quot;doc:624b37888f08d2157889ea61&quot;:{&quot;author&quot;:true,&quot;year&quot;:true,&quot;pageReplace&quot;:&quot;&quot;,&quot;prefix&quot;:&quot;&quot;,&quot;suffix&quot;:&quot;&quot;},&quot;doc:65f19439416bb032695e332e&quot;:{&quot;author&quot;:true,&quot;year&quot;:true,&quot;pageReplace&quot;:&quot;&quot;,&quot;prefix&quot;:&quot;&quot;,&quot;suffix&quot;:&quot;&quot;},&quot;doc:65f194b946fc636536952b82&quot;:{&quot;author&quot;:true,&quot;year&quot;:true,&quot;pageReplace&quot;:&quot;&quot;,&quot;prefix&quot;:&quot;&quot;,&quot;suffix&quot;:&quot;&quot;}},&quot;hasBrokenReferences&quot;:false,&quot;hasManualEdits&quot;:false,&quot;citationType&quot;:&quot;inline&quot;,&quot;id&quot;:-1901587004,&quot;citationText&quot;:&quot;&lt;span style=\&quot;font-family:Helvetica;font-size:16px;color:#000000\&quot;&gt;(1-4)&lt;/span&gt;&quot;}"/>
          <w:id w:val="-1901587004"/>
          <w:placeholder>
            <w:docPart w:val="4288A44CFA5D4A298B06D0D72B0C3746"/>
          </w:placeholder>
        </w:sdtPr>
        <w:sdtEndPr>
          <w:rPr>
            <w:color w:val="000000" w:themeColor="text1"/>
          </w:rPr>
        </w:sdtEndPr>
        <w:sdtContent>
          <w:r>
            <w:rPr>
              <w:rFonts w:ascii="Helvetica" w:eastAsia="Times New Roman" w:hAnsi="Helvetica" w:cs="Helvetica"/>
              <w:color w:val="000000"/>
            </w:rPr>
            <w:t>(1-4)</w:t>
          </w:r>
        </w:sdtContent>
      </w:sdt>
      <w:r w:rsidRPr="3D6A6144">
        <w:rPr>
          <w:rFonts w:ascii="Helvetica" w:hAnsi="Helvetica" w:cstheme="majorBidi"/>
        </w:rPr>
        <w:t xml:space="preserve"> The indicator of</w:t>
      </w:r>
      <w:r w:rsidRPr="00447C1D">
        <w:rPr>
          <w:rFonts w:ascii="Helvetica" w:hAnsi="Helvetica"/>
        </w:rPr>
        <w:t xml:space="preserve"> urban green space uses </w:t>
      </w:r>
      <w:r w:rsidRPr="3D6A6144">
        <w:rPr>
          <w:rFonts w:ascii="Helvetica" w:hAnsi="Helvetica" w:cstheme="majorBidi"/>
        </w:rPr>
        <w:t xml:space="preserve">Normalized Difference Vegetation Index (NDVI) from Landsat satellite data to estimate greenspace exposure on a </w:t>
      </w:r>
      <w:r>
        <w:rPr>
          <w:rFonts w:ascii="Helvetica" w:hAnsi="Helvetica" w:cstheme="majorBidi"/>
        </w:rPr>
        <w:t>30 x 30 km</w:t>
      </w:r>
      <w:r w:rsidRPr="3D6A6144">
        <w:rPr>
          <w:rFonts w:ascii="Helvetica" w:hAnsi="Helvetica" w:cstheme="majorBidi"/>
        </w:rPr>
        <w:t xml:space="preserve"> grid for 1041 urban centers across 17</w:t>
      </w:r>
      <w:r>
        <w:rPr>
          <w:rFonts w:ascii="Helvetica" w:hAnsi="Helvetica" w:cstheme="majorBidi"/>
        </w:rPr>
        <w:t>4</w:t>
      </w:r>
      <w:r w:rsidRPr="3D6A6144">
        <w:rPr>
          <w:rFonts w:ascii="Helvetica" w:hAnsi="Helvetica" w:cstheme="majorBidi"/>
        </w:rPr>
        <w:t xml:space="preserve"> countries</w:t>
      </w:r>
      <w:r w:rsidR="00754FC3">
        <w:rPr>
          <w:rFonts w:ascii="Helvetica" w:hAnsi="Helvetica" w:cstheme="majorBidi"/>
        </w:rPr>
        <w:t xml:space="preserve"> (see Figure 1)</w:t>
      </w:r>
      <w:r w:rsidRPr="3D6A6144">
        <w:rPr>
          <w:rFonts w:ascii="Helvetica" w:hAnsi="Helvetica" w:cstheme="majorBidi"/>
        </w:rPr>
        <w:t xml:space="preserve">. </w:t>
      </w:r>
      <w:r w:rsidR="0040020E">
        <w:rPr>
          <w:rFonts w:ascii="Helvetica" w:hAnsi="Helvetica" w:cstheme="majorBidi"/>
        </w:rPr>
        <w:t>G</w:t>
      </w:r>
      <w:r>
        <w:rPr>
          <w:rFonts w:ascii="Helvetica" w:hAnsi="Helvetica" w:cstheme="majorBidi"/>
        </w:rPr>
        <w:t>lob</w:t>
      </w:r>
      <w:r w:rsidR="0040020E">
        <w:rPr>
          <w:rFonts w:ascii="Helvetica" w:hAnsi="Helvetica" w:cstheme="majorBidi"/>
        </w:rPr>
        <w:t xml:space="preserve">al population-weighted peak-season </w:t>
      </w:r>
      <w:r w:rsidRPr="3D6A6144">
        <w:rPr>
          <w:rFonts w:ascii="Helvetica" w:hAnsi="Helvetica" w:cstheme="majorBidi"/>
        </w:rPr>
        <w:t xml:space="preserve">NDVI has remained </w:t>
      </w:r>
      <w:r w:rsidR="0040020E">
        <w:rPr>
          <w:rFonts w:ascii="Helvetica" w:hAnsi="Helvetica" w:cstheme="majorBidi"/>
        </w:rPr>
        <w:t>the same since 2015 (0.28). While NDVI has remained stable over the past decade on a global, and even regional, scale</w:t>
      </w:r>
      <w:r>
        <w:rPr>
          <w:rFonts w:ascii="Helvetica" w:hAnsi="Helvetica" w:cstheme="majorBidi"/>
        </w:rPr>
        <w:t>,</w:t>
      </w:r>
      <w:r w:rsidR="0040020E">
        <w:rPr>
          <w:rFonts w:ascii="Helvetica" w:hAnsi="Helvetica" w:cstheme="majorBidi"/>
        </w:rPr>
        <w:t xml:space="preserve"> 2024 brought large changes in greenness across individual cities, with NDVI diverging from 2015-2020 levels by as much as -34% to +69%. </w:t>
      </w:r>
      <w:r w:rsidR="00CF4E15">
        <w:rPr>
          <w:rFonts w:ascii="Helvetica" w:hAnsi="Helvetica" w:cstheme="majorBidi"/>
        </w:rPr>
        <w:t>On average, cities with “Very High” and “High” Human Development Indices (HDI) experienced slight increases in NDVI in 2024 (+1.6%), while those with “Medium” and “Low” indices experienced slight decreases (-2.1% and -1.7%, respectively). However, there was a large spread within each HDI category</w:t>
      </w:r>
      <w:r w:rsidR="00D70B3A">
        <w:rPr>
          <w:rFonts w:ascii="Helvetica" w:hAnsi="Helvetica" w:cstheme="majorBidi"/>
        </w:rPr>
        <w:t xml:space="preserve">. </w:t>
      </w:r>
      <w:r w:rsidRPr="3D6A6144">
        <w:rPr>
          <w:rFonts w:ascii="Helvetica" w:hAnsi="Helvetica" w:cstheme="majorBidi"/>
        </w:rPr>
        <w:t xml:space="preserve">Amongst the Lancet Countdown country groupings, the </w:t>
      </w:r>
      <w:r w:rsidR="00D70B3A" w:rsidRPr="3D6A6144">
        <w:rPr>
          <w:rFonts w:ascii="Helvetica" w:hAnsi="Helvetica" w:cstheme="majorBidi"/>
        </w:rPr>
        <w:t>South and Central America</w:t>
      </w:r>
      <w:r w:rsidR="00D70B3A">
        <w:rPr>
          <w:rFonts w:ascii="Helvetica" w:hAnsi="Helvetica" w:cstheme="majorBidi"/>
        </w:rPr>
        <w:t xml:space="preserve">, </w:t>
      </w:r>
      <w:r w:rsidRPr="3D6A6144">
        <w:rPr>
          <w:rFonts w:ascii="Helvetica" w:hAnsi="Helvetica" w:cstheme="majorBidi"/>
        </w:rPr>
        <w:t>Africa</w:t>
      </w:r>
      <w:r w:rsidR="00D70B3A">
        <w:rPr>
          <w:rFonts w:ascii="Helvetica" w:hAnsi="Helvetica" w:cstheme="majorBidi"/>
        </w:rPr>
        <w:t>, and Asia</w:t>
      </w:r>
      <w:r w:rsidRPr="3D6A6144">
        <w:rPr>
          <w:rFonts w:ascii="Helvetica" w:hAnsi="Helvetica" w:cstheme="majorBidi"/>
        </w:rPr>
        <w:t xml:space="preserve"> </w:t>
      </w:r>
      <w:r w:rsidRPr="007F1C1A">
        <w:rPr>
          <w:rFonts w:ascii="Helvetica" w:hAnsi="Helvetica" w:cs="Helvetica"/>
        </w:rPr>
        <w:t>regions had the lowest peak NDVI</w:t>
      </w:r>
      <w:r w:rsidR="00D70B3A" w:rsidRPr="007F1C1A">
        <w:rPr>
          <w:rFonts w:ascii="Helvetica" w:hAnsi="Helvetica" w:cs="Helvetica"/>
        </w:rPr>
        <w:t xml:space="preserve"> across all years</w:t>
      </w:r>
      <w:r w:rsidRPr="007F1C1A">
        <w:rPr>
          <w:rFonts w:ascii="Helvetica" w:hAnsi="Helvetica" w:cs="Helvetica"/>
        </w:rPr>
        <w:t>.</w:t>
      </w:r>
    </w:p>
    <w:p w14:paraId="20D31B35" w14:textId="5C604037" w:rsidR="00251137" w:rsidRPr="007F1C1A" w:rsidRDefault="00FB0BB2" w:rsidP="00677638">
      <w:pPr>
        <w:rPr>
          <w:rFonts w:ascii="Helvetica" w:hAnsi="Helvetica" w:cs="Helvetica"/>
        </w:rPr>
      </w:pPr>
      <w:r w:rsidRPr="007F1C1A">
        <w:rPr>
          <w:rFonts w:ascii="Helvetica" w:hAnsi="Helvetica" w:cs="Helvetica"/>
        </w:rPr>
        <w:t xml:space="preserve">Urban blue spaces, such as rivers, lakes, and coastlines have also been shown to improve mental and </w:t>
      </w:r>
      <w:r w:rsidR="00E45064">
        <w:rPr>
          <w:rFonts w:ascii="Helvetica" w:hAnsi="Helvetica" w:cs="Helvetica"/>
        </w:rPr>
        <w:t xml:space="preserve">physical </w:t>
      </w:r>
      <w:r w:rsidRPr="007F1C1A">
        <w:rPr>
          <w:rFonts w:ascii="Helvetica" w:hAnsi="Helvetica" w:cs="Helvetica"/>
        </w:rPr>
        <w:t xml:space="preserve">health </w:t>
      </w:r>
      <w:r w:rsidR="007A41FB" w:rsidRPr="007F1C1A">
        <w:rPr>
          <w:rFonts w:ascii="Helvetica" w:hAnsi="Helvetica" w:cs="Helvetica"/>
        </w:rPr>
        <w:t xml:space="preserve">by providing many of the same advantages </w:t>
      </w:r>
      <w:r w:rsidR="00E45064">
        <w:rPr>
          <w:rFonts w:ascii="Helvetica" w:hAnsi="Helvetica" w:cs="Helvetica"/>
        </w:rPr>
        <w:t xml:space="preserve">as greenspaces, </w:t>
      </w:r>
      <w:r w:rsidR="007A41FB" w:rsidRPr="007F1C1A">
        <w:rPr>
          <w:rFonts w:ascii="Helvetica" w:hAnsi="Helvetica" w:cs="Helvetica"/>
        </w:rPr>
        <w:t>such as places for recreation and social gathering, natural beauty, and cooling (</w:t>
      </w:r>
      <w:r w:rsidR="00251137" w:rsidRPr="007F1C1A">
        <w:rPr>
          <w:rFonts w:ascii="Helvetica" w:hAnsi="Helvetica" w:cs="Helvetica"/>
        </w:rPr>
        <w:t>5-7)</w:t>
      </w:r>
      <w:r w:rsidR="007A41FB" w:rsidRPr="007F1C1A">
        <w:rPr>
          <w:rFonts w:ascii="Helvetica" w:hAnsi="Helvetica" w:cs="Helvetica"/>
        </w:rPr>
        <w:t>.</w:t>
      </w:r>
      <w:r w:rsidR="00251137" w:rsidRPr="007F1C1A">
        <w:rPr>
          <w:rFonts w:ascii="Helvetica" w:hAnsi="Helvetica" w:cs="Helvetica"/>
        </w:rPr>
        <w:t xml:space="preserve"> Using the </w:t>
      </w:r>
      <w:r w:rsidR="00251137" w:rsidRPr="007F1C1A">
        <w:rPr>
          <w:rFonts w:ascii="Helvetica" w:hAnsi="Helvetica" w:cs="Helvetica"/>
        </w:rPr>
        <w:t>University of Maryland land type classifications</w:t>
      </w:r>
      <w:r w:rsidR="00251137" w:rsidRPr="007F1C1A">
        <w:rPr>
          <w:rFonts w:ascii="Helvetica" w:hAnsi="Helvetica" w:cs="Helvetica"/>
        </w:rPr>
        <w:t xml:space="preserve"> from the MODIS 500m landcover dataset, we calculated the percentage of each urban area that was </w:t>
      </w:r>
      <w:r w:rsidR="00251137" w:rsidRPr="007F1C1A">
        <w:rPr>
          <w:rFonts w:ascii="Helvetica" w:hAnsi="Helvetica" w:cs="Helvetica"/>
        </w:rPr>
        <w:t>green (forests, shrublands, savannas, grasslands, croplands)</w:t>
      </w:r>
      <w:r w:rsidR="00251137" w:rsidRPr="007F1C1A">
        <w:rPr>
          <w:rFonts w:ascii="Helvetica" w:hAnsi="Helvetica" w:cs="Helvetica"/>
        </w:rPr>
        <w:t xml:space="preserve"> or</w:t>
      </w:r>
      <w:r w:rsidR="00251137" w:rsidRPr="007F1C1A">
        <w:rPr>
          <w:rFonts w:ascii="Helvetica" w:hAnsi="Helvetica" w:cs="Helvetica"/>
        </w:rPr>
        <w:t xml:space="preserve"> blue (water bodies, permanent wetlands)</w:t>
      </w:r>
      <w:r w:rsidR="00251137" w:rsidRPr="007F1C1A">
        <w:rPr>
          <w:rFonts w:ascii="Helvetica" w:hAnsi="Helvetica" w:cs="Helvetica"/>
        </w:rPr>
        <w:t>.</w:t>
      </w:r>
      <w:r w:rsidR="00A451CA">
        <w:rPr>
          <w:rFonts w:ascii="Helvetica" w:hAnsi="Helvetica" w:cs="Helvetica"/>
        </w:rPr>
        <w:t xml:space="preserve"> Considering </w:t>
      </w:r>
      <w:r w:rsidR="00E45064">
        <w:rPr>
          <w:rFonts w:ascii="Helvetica" w:hAnsi="Helvetica" w:cs="Helvetica"/>
        </w:rPr>
        <w:t xml:space="preserve">this </w:t>
      </w:r>
      <w:r w:rsidR="00A451CA">
        <w:rPr>
          <w:rFonts w:ascii="Helvetica" w:hAnsi="Helvetica" w:cs="Helvetica"/>
        </w:rPr>
        <w:t>combined</w:t>
      </w:r>
      <w:r w:rsidR="00E45064">
        <w:rPr>
          <w:rFonts w:ascii="Helvetica" w:hAnsi="Helvetica" w:cs="Helvetica"/>
        </w:rPr>
        <w:t xml:space="preserve"> measure of</w:t>
      </w:r>
      <w:r w:rsidR="00A451CA">
        <w:rPr>
          <w:rFonts w:ascii="Helvetica" w:hAnsi="Helvetica" w:cs="Helvetica"/>
        </w:rPr>
        <w:t xml:space="preserve"> green and blue space, low HDI cities had a higher proportion of nature (0.42) than cities classified as “High” (0.29) or “Very High” (0.20), on average. </w:t>
      </w:r>
    </w:p>
    <w:p w14:paraId="19DC75A5" w14:textId="77777777" w:rsidR="00FB0BB2" w:rsidRPr="00D70B3A" w:rsidRDefault="00FB0BB2" w:rsidP="00677638">
      <w:pPr>
        <w:rPr>
          <w:rFonts w:ascii="Helvetica" w:hAnsi="Helvetica" w:cstheme="majorBidi"/>
        </w:rPr>
      </w:pPr>
    </w:p>
    <w:p w14:paraId="52348B58" w14:textId="77777777" w:rsidR="00677638" w:rsidRDefault="00677638" w:rsidP="00677638">
      <w:pPr>
        <w:pStyle w:val="Caption"/>
      </w:pPr>
    </w:p>
    <w:p w14:paraId="44D287FC" w14:textId="77777777" w:rsidR="00677638" w:rsidRDefault="00677638" w:rsidP="00677638">
      <w:pPr>
        <w:rPr>
          <w:lang w:val="en-GB"/>
        </w:rPr>
      </w:pPr>
    </w:p>
    <w:p w14:paraId="5BB7A04B" w14:textId="77777777" w:rsidR="00677638" w:rsidRDefault="00677638" w:rsidP="00677638">
      <w:pPr>
        <w:rPr>
          <w:lang w:val="en-GB"/>
        </w:rPr>
      </w:pPr>
    </w:p>
    <w:p w14:paraId="2E8D3D9B" w14:textId="77777777" w:rsidR="00677638" w:rsidRPr="00FB06EB" w:rsidRDefault="00677638" w:rsidP="00677638">
      <w:pPr>
        <w:rPr>
          <w:lang w:val="en-GB"/>
        </w:rPr>
      </w:pPr>
    </w:p>
    <w:p w14:paraId="7B812D69" w14:textId="77777777" w:rsidR="00677638" w:rsidRDefault="00677638" w:rsidP="00677638">
      <w:pPr>
        <w:rPr>
          <w:lang w:val="en-GB"/>
        </w:rPr>
      </w:pPr>
    </w:p>
    <w:p w14:paraId="25B807A3" w14:textId="77777777" w:rsidR="00677638" w:rsidRDefault="00677638" w:rsidP="00677638">
      <w:pPr>
        <w:rPr>
          <w:lang w:val="en-GB"/>
        </w:rPr>
      </w:pPr>
    </w:p>
    <w:p w14:paraId="2009C0AC" w14:textId="77777777" w:rsidR="00677638" w:rsidRDefault="00677638" w:rsidP="00677638">
      <w:pPr>
        <w:pStyle w:val="Caption"/>
      </w:pPr>
    </w:p>
    <w:p w14:paraId="313152C3" w14:textId="119A35DD" w:rsidR="00677638" w:rsidRDefault="00535F2A" w:rsidP="00677638">
      <w:pPr>
        <w:pStyle w:val="Caption"/>
      </w:pPr>
      <w:r>
        <w:rPr>
          <w:noProof/>
        </w:rPr>
        <w:lastRenderedPageBreak/>
        <w:drawing>
          <wp:inline distT="0" distB="0" distL="0" distR="0" wp14:anchorId="6411244B" wp14:editId="3FA540DC">
            <wp:extent cx="5943600" cy="5943600"/>
            <wp:effectExtent l="0" t="0" r="0" b="0"/>
            <wp:docPr id="7822430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43069" name="Picture 78224306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D93B" w14:textId="10F85EEC" w:rsidR="00677638" w:rsidRPr="00677638" w:rsidRDefault="00677638" w:rsidP="00677638">
      <w:pPr>
        <w:pStyle w:val="Caption"/>
      </w:pPr>
      <w:r w:rsidRPr="00677638">
        <w:t xml:space="preserve">Figure </w:t>
      </w:r>
      <w:r w:rsidRPr="00677638">
        <w:fldChar w:fldCharType="begin"/>
      </w:r>
      <w:r w:rsidRPr="00677638">
        <w:instrText xml:space="preserve"> SEQ Figure \* ARABIC </w:instrText>
      </w:r>
      <w:r w:rsidRPr="00677638">
        <w:fldChar w:fldCharType="separate"/>
      </w:r>
      <w:r w:rsidRPr="00677638">
        <w:t>1</w:t>
      </w:r>
      <w:r w:rsidRPr="00677638">
        <w:fldChar w:fldCharType="end"/>
      </w:r>
      <w:r w:rsidRPr="00677638">
        <w:t xml:space="preserve">: </w:t>
      </w:r>
      <w:r w:rsidR="001C0F17">
        <w:t>Level of u</w:t>
      </w:r>
      <w:r w:rsidRPr="00677638">
        <w:t>rban greenness in urban centers with more than 500,000 inhabitants in 202</w:t>
      </w:r>
      <w:r w:rsidR="000F0B76">
        <w:t>4 (Panel A)</w:t>
      </w:r>
      <w:r w:rsidRPr="00677638">
        <w:t>.</w:t>
      </w:r>
      <w:r w:rsidR="000F0B76">
        <w:t xml:space="preserve"> Urban greenness is characterized by the population-weighted peak (greenest) season Normalized Difference Vegetation Index (NDVI). Panel B shows the percent change in the population-weighted peak-season NDVI between a baseline period (2015-2020) and 2024. </w:t>
      </w:r>
    </w:p>
    <w:p w14:paraId="738D11BE" w14:textId="77777777" w:rsidR="00677638" w:rsidRPr="00372467" w:rsidRDefault="00677638" w:rsidP="00677638">
      <w:pPr>
        <w:rPr>
          <w:lang w:val="en-GB"/>
        </w:rPr>
      </w:pPr>
    </w:p>
    <w:p w14:paraId="05EEA7A7" w14:textId="77777777" w:rsidR="00677638" w:rsidRDefault="00677638" w:rsidP="00677638">
      <w:pPr>
        <w:pStyle w:val="Heading4"/>
      </w:pPr>
      <w:r>
        <w:lastRenderedPageBreak/>
        <w:t>References</w:t>
      </w:r>
    </w:p>
    <w:p w14:paraId="2FA26E70" w14:textId="77777777" w:rsidR="00677638" w:rsidRPr="00447C1D" w:rsidRDefault="00677638" w:rsidP="00677638">
      <w:pPr>
        <w:pStyle w:val="NormalWeb"/>
        <w:rPr>
          <w:rFonts w:ascii="Helvetica" w:hAnsi="Helvetica" w:cstheme="majorHAnsi"/>
        </w:rPr>
      </w:pPr>
      <w:r w:rsidRPr="00447C1D">
        <w:rPr>
          <w:rFonts w:ascii="Helvetica" w:hAnsi="Helvetica" w:cstheme="majorHAnsi"/>
        </w:rPr>
        <w:t xml:space="preserve">(1) Gago EJ, Roldan J, Pacheco-Torres R, Ordonez J. The city and urban heat islands: A review of strategies to mitigate adverse effects. RENEWABLE &amp; SUSTAINABLE ENERGY REVIEWS 2013 </w:t>
      </w:r>
      <w:proofErr w:type="gramStart"/>
      <w:r w:rsidRPr="00447C1D">
        <w:rPr>
          <w:rFonts w:ascii="Helvetica" w:hAnsi="Helvetica" w:cstheme="majorHAnsi"/>
        </w:rPr>
        <w:t>SEP;25:749</w:t>
      </w:r>
      <w:proofErr w:type="gramEnd"/>
      <w:r w:rsidRPr="00447C1D">
        <w:rPr>
          <w:rFonts w:ascii="Helvetica" w:hAnsi="Helvetica" w:cstheme="majorHAnsi"/>
        </w:rPr>
        <w:t>-758.</w:t>
      </w:r>
    </w:p>
    <w:p w14:paraId="05737E15" w14:textId="77777777" w:rsidR="00677638" w:rsidRDefault="00677638" w:rsidP="00677638">
      <w:pPr>
        <w:pStyle w:val="NormalWeb"/>
        <w:rPr>
          <w:rFonts w:ascii="Helvetica" w:hAnsi="Helvetica" w:cstheme="majorBidi"/>
        </w:rPr>
      </w:pPr>
      <w:r w:rsidRPr="3D6A6144">
        <w:rPr>
          <w:rFonts w:ascii="Helvetica" w:hAnsi="Helvetica" w:cstheme="majorBidi"/>
        </w:rPr>
        <w:t>(2) Callaghan A, McCombe G, Harrold A, McMeel C, Mills G, Moore-Cherry N, et al. The impact of green spaces on mental health in urban settings: a scoping review. JOURNAL OF MENTAL HEALTH 2021 MAR 4;30(2):179-193.</w:t>
      </w:r>
    </w:p>
    <w:p w14:paraId="3AB8925E" w14:textId="77777777" w:rsidR="00677638" w:rsidRDefault="00677638" w:rsidP="00677638">
      <w:pPr>
        <w:pStyle w:val="NormalWeb"/>
        <w:rPr>
          <w:rFonts w:ascii="Helvetica" w:hAnsi="Helvetica" w:cstheme="majorBidi"/>
        </w:rPr>
      </w:pPr>
      <w:r w:rsidRPr="00906247">
        <w:rPr>
          <w:rFonts w:ascii="Helvetica" w:hAnsi="Helvetica" w:cstheme="majorBidi"/>
        </w:rPr>
        <w:t xml:space="preserve">(3) </w:t>
      </w:r>
      <w:proofErr w:type="spellStart"/>
      <w:r w:rsidRPr="00906247">
        <w:rPr>
          <w:rFonts w:ascii="Helvetica" w:hAnsi="Helvetica" w:cstheme="majorBidi"/>
        </w:rPr>
        <w:t>Iungman</w:t>
      </w:r>
      <w:proofErr w:type="spellEnd"/>
      <w:r w:rsidRPr="00906247">
        <w:rPr>
          <w:rFonts w:ascii="Helvetica" w:hAnsi="Helvetica" w:cstheme="majorBidi"/>
        </w:rPr>
        <w:t xml:space="preserve"> T, </w:t>
      </w:r>
      <w:proofErr w:type="spellStart"/>
      <w:r w:rsidRPr="00906247">
        <w:rPr>
          <w:rFonts w:ascii="Helvetica" w:hAnsi="Helvetica" w:cstheme="majorBidi"/>
        </w:rPr>
        <w:t>Cirach</w:t>
      </w:r>
      <w:proofErr w:type="spellEnd"/>
      <w:r w:rsidRPr="00906247">
        <w:rPr>
          <w:rFonts w:ascii="Helvetica" w:hAnsi="Helvetica" w:cstheme="majorBidi"/>
        </w:rPr>
        <w:t xml:space="preserve"> M, Marando F, Pereira Barboza E, Khomenko S, </w:t>
      </w:r>
      <w:proofErr w:type="spellStart"/>
      <w:r w:rsidRPr="00906247">
        <w:rPr>
          <w:rFonts w:ascii="Helvetica" w:hAnsi="Helvetica" w:cstheme="majorBidi"/>
        </w:rPr>
        <w:t>Masselot</w:t>
      </w:r>
      <w:proofErr w:type="spellEnd"/>
      <w:r w:rsidRPr="00906247">
        <w:rPr>
          <w:rFonts w:ascii="Helvetica" w:hAnsi="Helvetica" w:cstheme="majorBidi"/>
        </w:rPr>
        <w:t xml:space="preserve"> P, et al. Cooling cities through urban green infrastructure: a health impact assessment of European cities. Lancet 2023 Feb 18;401(10376):577-589.</w:t>
      </w:r>
    </w:p>
    <w:p w14:paraId="67D22D77" w14:textId="77777777" w:rsidR="007A41FB" w:rsidRDefault="00677638" w:rsidP="00677638">
      <w:pPr>
        <w:pStyle w:val="NormalWeb"/>
        <w:rPr>
          <w:rFonts w:ascii="Helvetica" w:eastAsia="Helvetica" w:hAnsi="Helvetica" w:cs="Helvetica"/>
          <w:color w:val="000000" w:themeColor="text1"/>
        </w:rPr>
      </w:pPr>
      <w:r w:rsidRPr="3D6A6144">
        <w:rPr>
          <w:rFonts w:ascii="Helvetica" w:eastAsia="Helvetica" w:hAnsi="Helvetica" w:cs="Helvetica"/>
          <w:color w:val="000000" w:themeColor="text1"/>
        </w:rPr>
        <w:t>(</w:t>
      </w:r>
      <w:r>
        <w:rPr>
          <w:rFonts w:ascii="Helvetica" w:eastAsia="Helvetica" w:hAnsi="Helvetica" w:cs="Helvetica"/>
          <w:color w:val="000000" w:themeColor="text1"/>
        </w:rPr>
        <w:t>4</w:t>
      </w:r>
      <w:r w:rsidRPr="3D6A6144">
        <w:rPr>
          <w:rFonts w:ascii="Helvetica" w:eastAsia="Helvetica" w:hAnsi="Helvetica" w:cs="Helvetica"/>
          <w:color w:val="000000" w:themeColor="text1"/>
        </w:rPr>
        <w:t xml:space="preserve">) Frumkin, H, Bratman GN, Breslow SJ, Cochran B, Kahn PH, Jr., Lawler JJ, Levin PS, Tandon PS, Varanasi U, Wolf KL and Wood SA (2017). "Nature Contact and Human Health: A Research Agenda." </w:t>
      </w:r>
      <w:r w:rsidRPr="3D6A6144">
        <w:rPr>
          <w:rFonts w:ascii="Helvetica" w:eastAsia="Helvetica" w:hAnsi="Helvetica" w:cs="Helvetica"/>
          <w:color w:val="000000" w:themeColor="text1"/>
          <w:u w:val="single"/>
        </w:rPr>
        <w:t xml:space="preserve">Environ Health </w:t>
      </w:r>
      <w:proofErr w:type="spellStart"/>
      <w:r w:rsidRPr="3D6A6144">
        <w:rPr>
          <w:rFonts w:ascii="Helvetica" w:eastAsia="Helvetica" w:hAnsi="Helvetica" w:cs="Helvetica"/>
          <w:color w:val="000000" w:themeColor="text1"/>
          <w:u w:val="single"/>
        </w:rPr>
        <w:t>Perspect</w:t>
      </w:r>
      <w:proofErr w:type="spellEnd"/>
      <w:r w:rsidRPr="3D6A6144">
        <w:rPr>
          <w:rFonts w:ascii="Helvetica" w:eastAsia="Helvetica" w:hAnsi="Helvetica" w:cs="Helvetica"/>
          <w:color w:val="000000" w:themeColor="text1"/>
        </w:rPr>
        <w:t xml:space="preserve"> </w:t>
      </w:r>
      <w:r w:rsidRPr="3D6A6144">
        <w:rPr>
          <w:rFonts w:ascii="Helvetica" w:eastAsia="Helvetica" w:hAnsi="Helvetica" w:cs="Helvetica"/>
          <w:b/>
          <w:bCs/>
          <w:color w:val="000000" w:themeColor="text1"/>
        </w:rPr>
        <w:t>125</w:t>
      </w:r>
      <w:r w:rsidRPr="3D6A6144">
        <w:rPr>
          <w:rFonts w:ascii="Helvetica" w:eastAsia="Helvetica" w:hAnsi="Helvetica" w:cs="Helvetica"/>
          <w:color w:val="000000" w:themeColor="text1"/>
        </w:rPr>
        <w:t>(7): 075001.</w:t>
      </w:r>
    </w:p>
    <w:p w14:paraId="2AC04BA5" w14:textId="03D861C0" w:rsidR="007A41FB" w:rsidRDefault="007A41FB" w:rsidP="007A41FB">
      <w:pPr>
        <w:pStyle w:val="Bibliography"/>
        <w:rPr>
          <w:rFonts w:ascii="Times New Roman" w:hAnsi="Times New Roman"/>
        </w:rPr>
      </w:pPr>
      <w:r>
        <w:rPr>
          <w:rFonts w:ascii="Helvetica" w:eastAsia="Helvetica" w:hAnsi="Helvetica" w:cs="Helvetica"/>
          <w:color w:val="000000" w:themeColor="text1"/>
        </w:rPr>
        <w:t>(5)</w:t>
      </w:r>
      <w:r w:rsidRPr="007A41FB">
        <w:rPr>
          <w:rFonts w:ascii="Times New Roman" w:hAnsi="Times New Roman"/>
        </w:rPr>
        <w:t xml:space="preserve"> </w:t>
      </w:r>
      <w:proofErr w:type="spellStart"/>
      <w:r w:rsidRPr="009C3E3A">
        <w:rPr>
          <w:rFonts w:ascii="Times New Roman" w:hAnsi="Times New Roman"/>
        </w:rPr>
        <w:t>Ampatzidis</w:t>
      </w:r>
      <w:proofErr w:type="spellEnd"/>
      <w:r w:rsidRPr="009C3E3A">
        <w:rPr>
          <w:rFonts w:ascii="Times New Roman" w:hAnsi="Times New Roman"/>
        </w:rPr>
        <w:t xml:space="preserve">, P., </w:t>
      </w:r>
      <w:proofErr w:type="spellStart"/>
      <w:r w:rsidRPr="009C3E3A">
        <w:rPr>
          <w:rFonts w:ascii="Times New Roman" w:hAnsi="Times New Roman"/>
        </w:rPr>
        <w:t>Cintolesi</w:t>
      </w:r>
      <w:proofErr w:type="spellEnd"/>
      <w:r w:rsidRPr="009C3E3A">
        <w:rPr>
          <w:rFonts w:ascii="Times New Roman" w:hAnsi="Times New Roman"/>
        </w:rPr>
        <w:t xml:space="preserve">, C., &amp; Kershaw, T. (2023). Impact of Blue Space Geometry on Urban Heat Island Mitigation. </w:t>
      </w:r>
      <w:r w:rsidRPr="009C3E3A">
        <w:rPr>
          <w:rFonts w:ascii="Times New Roman" w:hAnsi="Times New Roman"/>
          <w:i/>
          <w:iCs/>
        </w:rPr>
        <w:t>Climate</w:t>
      </w:r>
      <w:r w:rsidRPr="009C3E3A">
        <w:rPr>
          <w:rFonts w:ascii="Times New Roman" w:hAnsi="Times New Roman"/>
        </w:rPr>
        <w:t xml:space="preserve">, </w:t>
      </w:r>
      <w:r w:rsidRPr="009C3E3A">
        <w:rPr>
          <w:rFonts w:ascii="Times New Roman" w:hAnsi="Times New Roman"/>
          <w:i/>
          <w:iCs/>
        </w:rPr>
        <w:t>11</w:t>
      </w:r>
      <w:r w:rsidRPr="009C3E3A">
        <w:rPr>
          <w:rFonts w:ascii="Times New Roman" w:hAnsi="Times New Roman"/>
        </w:rPr>
        <w:t xml:space="preserve">(2), 28. </w:t>
      </w:r>
      <w:hyperlink r:id="rId13" w:history="1">
        <w:r w:rsidRPr="004F54EC">
          <w:rPr>
            <w:rStyle w:val="Hyperlink"/>
            <w:rFonts w:ascii="Times New Roman" w:hAnsi="Times New Roman"/>
          </w:rPr>
          <w:t>https://doi.org/10.3390/cli11020028</w:t>
        </w:r>
      </w:hyperlink>
    </w:p>
    <w:p w14:paraId="6D75EA81" w14:textId="11D62D1E" w:rsidR="007A41FB" w:rsidRDefault="007A41FB" w:rsidP="007A41FB">
      <w:pPr>
        <w:pStyle w:val="Bibliography"/>
        <w:rPr>
          <w:rFonts w:ascii="Times New Roman" w:hAnsi="Times New Roman"/>
        </w:rPr>
      </w:pPr>
      <w:r>
        <w:rPr>
          <w:rFonts w:ascii="Times New Roman" w:hAnsi="Times New Roman"/>
        </w:rPr>
        <w:t xml:space="preserve">(6) </w:t>
      </w:r>
      <w:r w:rsidRPr="009C3E3A">
        <w:rPr>
          <w:rFonts w:ascii="Times New Roman" w:hAnsi="Times New Roman"/>
        </w:rPr>
        <w:t xml:space="preserve">Brückner, A., Falkenberg, T., Heinzel, C., &amp; </w:t>
      </w:r>
      <w:proofErr w:type="spellStart"/>
      <w:r w:rsidRPr="009C3E3A">
        <w:rPr>
          <w:rFonts w:ascii="Times New Roman" w:hAnsi="Times New Roman"/>
        </w:rPr>
        <w:t>Kistemann</w:t>
      </w:r>
      <w:proofErr w:type="spellEnd"/>
      <w:r w:rsidRPr="009C3E3A">
        <w:rPr>
          <w:rFonts w:ascii="Times New Roman" w:hAnsi="Times New Roman"/>
        </w:rPr>
        <w:t xml:space="preserve">, T. (2022). The Regeneration of Urban Blue Spaces: A Public Health Intervention? Reviewing the Evidence. </w:t>
      </w:r>
      <w:r w:rsidRPr="009C3E3A">
        <w:rPr>
          <w:rFonts w:ascii="Times New Roman" w:hAnsi="Times New Roman"/>
          <w:i/>
          <w:iCs/>
        </w:rPr>
        <w:t>Frontiers in Public Health</w:t>
      </w:r>
      <w:r w:rsidRPr="009C3E3A">
        <w:rPr>
          <w:rFonts w:ascii="Times New Roman" w:hAnsi="Times New Roman"/>
        </w:rPr>
        <w:t xml:space="preserve">, </w:t>
      </w:r>
      <w:r w:rsidRPr="009C3E3A">
        <w:rPr>
          <w:rFonts w:ascii="Times New Roman" w:hAnsi="Times New Roman"/>
          <w:i/>
          <w:iCs/>
        </w:rPr>
        <w:t>9</w:t>
      </w:r>
      <w:r w:rsidRPr="009C3E3A">
        <w:rPr>
          <w:rFonts w:ascii="Times New Roman" w:hAnsi="Times New Roman"/>
        </w:rPr>
        <w:t xml:space="preserve">, 782101. </w:t>
      </w:r>
      <w:hyperlink r:id="rId14" w:history="1">
        <w:r w:rsidRPr="004F54EC">
          <w:rPr>
            <w:rStyle w:val="Hyperlink"/>
            <w:rFonts w:ascii="Times New Roman" w:hAnsi="Times New Roman"/>
          </w:rPr>
          <w:t>https://doi.org/10.3389/fpubh.2021.782101</w:t>
        </w:r>
      </w:hyperlink>
    </w:p>
    <w:p w14:paraId="384077FD" w14:textId="24E27DDE" w:rsidR="007A41FB" w:rsidRPr="007A41FB" w:rsidRDefault="007A41FB" w:rsidP="007A41FB">
      <w:pPr>
        <w:rPr>
          <w:lang w:eastAsia="en-GB"/>
        </w:rPr>
      </w:pPr>
      <w:r>
        <w:rPr>
          <w:lang w:eastAsia="en-GB"/>
        </w:rPr>
        <w:t xml:space="preserve">(7) </w:t>
      </w:r>
      <w:r w:rsidRPr="007A41FB">
        <w:rPr>
          <w:lang w:eastAsia="en-GB"/>
        </w:rPr>
        <w:t xml:space="preserve">Hunter, R. F., </w:t>
      </w:r>
      <w:proofErr w:type="spellStart"/>
      <w:r w:rsidRPr="007A41FB">
        <w:rPr>
          <w:lang w:eastAsia="en-GB"/>
        </w:rPr>
        <w:t>Nieuwenhuijsen</w:t>
      </w:r>
      <w:proofErr w:type="spellEnd"/>
      <w:r w:rsidRPr="007A41FB">
        <w:rPr>
          <w:lang w:eastAsia="en-GB"/>
        </w:rPr>
        <w:t xml:space="preserve">, M., Fabian, C., Murphy, N., O’Hara, K., Rappe, E., Sallis, J. F., Lambert, E. V., Duenas, O. L. S., Sugiyama, T., &amp; </w:t>
      </w:r>
      <w:proofErr w:type="spellStart"/>
      <w:r w:rsidRPr="007A41FB">
        <w:rPr>
          <w:lang w:eastAsia="en-GB"/>
        </w:rPr>
        <w:t>Kahlmeier</w:t>
      </w:r>
      <w:proofErr w:type="spellEnd"/>
      <w:r w:rsidRPr="007A41FB">
        <w:rPr>
          <w:lang w:eastAsia="en-GB"/>
        </w:rPr>
        <w:t xml:space="preserve">, S. (2023). Advancing urban green and blue space contributions to public health. </w:t>
      </w:r>
      <w:r w:rsidRPr="007A41FB">
        <w:rPr>
          <w:i/>
          <w:iCs/>
          <w:lang w:eastAsia="en-GB"/>
        </w:rPr>
        <w:t>The Lancet Public Health</w:t>
      </w:r>
      <w:r w:rsidRPr="007A41FB">
        <w:rPr>
          <w:lang w:eastAsia="en-GB"/>
        </w:rPr>
        <w:t xml:space="preserve">, </w:t>
      </w:r>
      <w:r w:rsidRPr="007A41FB">
        <w:rPr>
          <w:i/>
          <w:iCs/>
          <w:lang w:eastAsia="en-GB"/>
        </w:rPr>
        <w:t>8</w:t>
      </w:r>
      <w:r w:rsidRPr="007A41FB">
        <w:rPr>
          <w:lang w:eastAsia="en-GB"/>
        </w:rPr>
        <w:t>(9), e735–e742. https://doi.org/10.1016/S2468-2667(23)00156-1</w:t>
      </w:r>
    </w:p>
    <w:p w14:paraId="106C4560" w14:textId="77777777" w:rsidR="007A41FB" w:rsidRPr="007A41FB" w:rsidRDefault="007A41FB" w:rsidP="007A41FB">
      <w:pPr>
        <w:rPr>
          <w:lang w:val="en-GB" w:eastAsia="en-GB"/>
        </w:rPr>
      </w:pPr>
    </w:p>
    <w:p w14:paraId="55D3F677" w14:textId="32278072" w:rsidR="00677638" w:rsidRPr="00447C1D" w:rsidRDefault="00677638" w:rsidP="00677638">
      <w:pPr>
        <w:pStyle w:val="NormalWeb"/>
        <w:rPr>
          <w:rFonts w:ascii="Helvetica" w:hAnsi="Helvetica" w:cstheme="majorHAnsi"/>
        </w:rPr>
      </w:pPr>
      <w:r w:rsidRPr="00906247">
        <w:rPr>
          <w:rFonts w:ascii="Helvetica" w:eastAsia="Helvetica" w:hAnsi="Helvetica" w:cs="Helvetica"/>
          <w:color w:val="000000" w:themeColor="text1"/>
        </w:rPr>
        <w:lastRenderedPageBreak/>
        <w:br/>
      </w:r>
    </w:p>
    <w:p w14:paraId="0997D6AF" w14:textId="4E9897E7" w:rsidR="003806CB" w:rsidRPr="00DA2B1E" w:rsidRDefault="006E1485" w:rsidP="00DA2B1E">
      <w:r w:rsidRPr="00DA2B1E">
        <w:t xml:space="preserve"> </w:t>
      </w:r>
    </w:p>
    <w:sectPr w:rsidR="003806CB" w:rsidRPr="00DA2B1E" w:rsidSect="00032671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Martin, Greta Katherine" w:date="2025-04-25T12:13:00Z" w:initials="GM">
    <w:p w14:paraId="7EBE821A" w14:textId="77777777" w:rsidR="00FB0BB2" w:rsidRDefault="00FB0BB2" w:rsidP="00FB0BB2">
      <w:pPr>
        <w:jc w:val="left"/>
      </w:pPr>
      <w:r>
        <w:rPr>
          <w:rStyle w:val="CommentReference"/>
        </w:rPr>
        <w:annotationRef/>
      </w:r>
      <w:r>
        <w:rPr>
          <w:rFonts w:eastAsia="Times New Roman" w:cs="Times New Roman"/>
          <w:color w:val="000000"/>
          <w:sz w:val="20"/>
          <w:szCs w:val="20"/>
          <w:lang w:val="en-GB" w:eastAsia="en-GB"/>
        </w:rPr>
        <w:t>Alternatively urban green and blue spaces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EBE821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F1CAB68" w16cex:dateUtc="2025-04-25T16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EBE821A" w16cid:durableId="4F1CAB6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22984" w14:textId="77777777" w:rsidR="00B061C8" w:rsidRDefault="00B061C8" w:rsidP="00E97AEB">
      <w:pPr>
        <w:spacing w:before="0" w:after="0" w:line="240" w:lineRule="auto"/>
      </w:pPr>
      <w:r>
        <w:separator/>
      </w:r>
    </w:p>
  </w:endnote>
  <w:endnote w:type="continuationSeparator" w:id="0">
    <w:p w14:paraId="16CB0EA7" w14:textId="77777777" w:rsidR="00B061C8" w:rsidRDefault="00B061C8" w:rsidP="00E97AEB">
      <w:pPr>
        <w:spacing w:before="0" w:after="0" w:line="240" w:lineRule="auto"/>
      </w:pPr>
      <w:r>
        <w:continuationSeparator/>
      </w:r>
    </w:p>
  </w:endnote>
  <w:endnote w:type="continuationNotice" w:id="1">
    <w:p w14:paraId="5606A07F" w14:textId="77777777" w:rsidR="00B061C8" w:rsidRDefault="00B061C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calaLancetPro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2AFF" w:usb1="5000785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DC6FBE" w14:textId="77777777" w:rsidR="00B061C8" w:rsidRDefault="00B061C8" w:rsidP="00E97AEB">
      <w:pPr>
        <w:spacing w:before="0" w:after="0" w:line="240" w:lineRule="auto"/>
      </w:pPr>
      <w:r>
        <w:separator/>
      </w:r>
    </w:p>
  </w:footnote>
  <w:footnote w:type="continuationSeparator" w:id="0">
    <w:p w14:paraId="2608EB7E" w14:textId="77777777" w:rsidR="00B061C8" w:rsidRDefault="00B061C8" w:rsidP="00E97AEB">
      <w:pPr>
        <w:spacing w:before="0" w:after="0" w:line="240" w:lineRule="auto"/>
      </w:pPr>
      <w:r>
        <w:continuationSeparator/>
      </w:r>
    </w:p>
  </w:footnote>
  <w:footnote w:type="continuationNotice" w:id="1">
    <w:p w14:paraId="71321E9F" w14:textId="77777777" w:rsidR="00B061C8" w:rsidRDefault="00B061C8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BF3DAE"/>
    <w:multiLevelType w:val="hybridMultilevel"/>
    <w:tmpl w:val="DD1E8C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2277491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rtin, Greta Katherine">
    <w15:presenceInfo w15:providerId="AD" w15:userId="S::gretam@gwu.edu::693602ef-7d81-41bb-a23e-17f4d145240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bEwMDUxNDQwMLA0MDZV0lEKTi0uzszPAykwrgUAqJPrhSwAAAA="/>
  </w:docVars>
  <w:rsids>
    <w:rsidRoot w:val="00322128"/>
    <w:rsid w:val="000224A6"/>
    <w:rsid w:val="00032671"/>
    <w:rsid w:val="00042BBD"/>
    <w:rsid w:val="000843A5"/>
    <w:rsid w:val="00085DD2"/>
    <w:rsid w:val="000F0B76"/>
    <w:rsid w:val="001C0F17"/>
    <w:rsid w:val="001D5B6A"/>
    <w:rsid w:val="00251137"/>
    <w:rsid w:val="00260FDB"/>
    <w:rsid w:val="003126CF"/>
    <w:rsid w:val="00322128"/>
    <w:rsid w:val="003469BA"/>
    <w:rsid w:val="00377E2F"/>
    <w:rsid w:val="003806CB"/>
    <w:rsid w:val="0040020E"/>
    <w:rsid w:val="004F1F56"/>
    <w:rsid w:val="00535F2A"/>
    <w:rsid w:val="005A1F7B"/>
    <w:rsid w:val="005D70BD"/>
    <w:rsid w:val="006010F5"/>
    <w:rsid w:val="0067403D"/>
    <w:rsid w:val="00677638"/>
    <w:rsid w:val="006C0222"/>
    <w:rsid w:val="006E1485"/>
    <w:rsid w:val="006F7B74"/>
    <w:rsid w:val="007378E3"/>
    <w:rsid w:val="00754FC3"/>
    <w:rsid w:val="007A41FB"/>
    <w:rsid w:val="007E1BA8"/>
    <w:rsid w:val="007E752C"/>
    <w:rsid w:val="007F1C1A"/>
    <w:rsid w:val="008143ED"/>
    <w:rsid w:val="008C17C2"/>
    <w:rsid w:val="008C70C4"/>
    <w:rsid w:val="008D021D"/>
    <w:rsid w:val="00910CA0"/>
    <w:rsid w:val="009637EE"/>
    <w:rsid w:val="009C4636"/>
    <w:rsid w:val="00A451CA"/>
    <w:rsid w:val="00AA22BC"/>
    <w:rsid w:val="00AA7942"/>
    <w:rsid w:val="00B061C8"/>
    <w:rsid w:val="00BA1450"/>
    <w:rsid w:val="00C046B5"/>
    <w:rsid w:val="00C74E1A"/>
    <w:rsid w:val="00CD35B1"/>
    <w:rsid w:val="00CF4E15"/>
    <w:rsid w:val="00CF7E5C"/>
    <w:rsid w:val="00D34AF1"/>
    <w:rsid w:val="00D70B3A"/>
    <w:rsid w:val="00D8603A"/>
    <w:rsid w:val="00DA2B1E"/>
    <w:rsid w:val="00E369F5"/>
    <w:rsid w:val="00E45064"/>
    <w:rsid w:val="00E64124"/>
    <w:rsid w:val="00E97AEB"/>
    <w:rsid w:val="00EF0865"/>
    <w:rsid w:val="00FB0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3425E"/>
  <w15:chartTrackingRefBased/>
  <w15:docId w15:val="{2EDAB594-832F-4F47-A0C7-5739ADC72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BBD"/>
    <w:pPr>
      <w:spacing w:before="240" w:after="240" w:line="36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34AF1"/>
    <w:pPr>
      <w:keepNext/>
      <w:keepLines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4A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4AF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76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A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34A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34A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4AF1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677638"/>
    <w:pPr>
      <w:spacing w:before="0" w:after="200"/>
      <w:jc w:val="left"/>
    </w:pPr>
    <w:rPr>
      <w:i/>
      <w:iCs/>
      <w:color w:val="44546A" w:themeColor="text2"/>
      <w:sz w:val="22"/>
      <w:szCs w:val="22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3806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806CB"/>
    <w:pPr>
      <w:spacing w:before="360" w:after="0"/>
    </w:pPr>
    <w:rPr>
      <w:rFonts w:eastAsia="Times New Roman" w:cs="Times New Roman"/>
      <w:sz w:val="20"/>
      <w:szCs w:val="20"/>
      <w:lang w:val="en-GB" w:eastAsia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806CB"/>
    <w:rPr>
      <w:rFonts w:eastAsia="Times New Roman" w:cs="Times New Roman"/>
      <w:sz w:val="20"/>
      <w:szCs w:val="20"/>
      <w:lang w:val="en-GB" w:eastAsia="en-GB"/>
    </w:rPr>
  </w:style>
  <w:style w:type="paragraph" w:customStyle="1" w:styleId="xmsonormal">
    <w:name w:val="x_msonormal"/>
    <w:basedOn w:val="Normal"/>
    <w:rsid w:val="003806CB"/>
    <w:pPr>
      <w:spacing w:before="100" w:beforeAutospacing="1" w:after="100" w:afterAutospacing="1"/>
    </w:pPr>
    <w:rPr>
      <w:rFonts w:eastAsia="Times New Roman" w:cs="Times New Roman"/>
      <w:lang w:val="en-AU" w:eastAsia="en-AU"/>
    </w:rPr>
  </w:style>
  <w:style w:type="character" w:customStyle="1" w:styleId="A6">
    <w:name w:val="A6"/>
    <w:uiPriority w:val="99"/>
    <w:rsid w:val="003806CB"/>
    <w:rPr>
      <w:rFonts w:cs="ScalaLancetPro"/>
      <w:color w:val="000000"/>
      <w:sz w:val="9"/>
      <w:szCs w:val="9"/>
    </w:rPr>
  </w:style>
  <w:style w:type="paragraph" w:customStyle="1" w:styleId="Panels">
    <w:name w:val="Panels"/>
    <w:basedOn w:val="Caption"/>
    <w:link w:val="PanelsChar"/>
    <w:qFormat/>
    <w:rsid w:val="003806CB"/>
    <w:rPr>
      <w:sz w:val="20"/>
    </w:rPr>
  </w:style>
  <w:style w:type="paragraph" w:customStyle="1" w:styleId="PanelText">
    <w:name w:val="Panel Text"/>
    <w:basedOn w:val="Normal"/>
    <w:link w:val="PanelTextChar"/>
    <w:qFormat/>
    <w:rsid w:val="003806CB"/>
    <w:pPr>
      <w:spacing w:line="300" w:lineRule="atLeast"/>
    </w:pPr>
    <w:rPr>
      <w:rFonts w:ascii="Calibri" w:eastAsia="Times New Roman" w:hAnsi="Calibri" w:cs="Times New Roman"/>
      <w:sz w:val="20"/>
      <w:szCs w:val="22"/>
      <w:lang w:val="en" w:eastAsia="en-GB"/>
    </w:rPr>
  </w:style>
  <w:style w:type="character" w:customStyle="1" w:styleId="CaptionChar">
    <w:name w:val="Caption Char"/>
    <w:basedOn w:val="DefaultParagraphFont"/>
    <w:link w:val="Caption"/>
    <w:uiPriority w:val="35"/>
    <w:rsid w:val="00677638"/>
    <w:rPr>
      <w:i/>
      <w:iCs/>
      <w:color w:val="44546A" w:themeColor="text2"/>
      <w:sz w:val="22"/>
      <w:szCs w:val="22"/>
      <w:lang w:val="en-GB"/>
    </w:rPr>
  </w:style>
  <w:style w:type="character" w:customStyle="1" w:styleId="PanelsChar">
    <w:name w:val="Panels Char"/>
    <w:basedOn w:val="CaptionChar"/>
    <w:link w:val="Panels"/>
    <w:rsid w:val="003806CB"/>
    <w:rPr>
      <w:i/>
      <w:iCs/>
      <w:color w:val="44546A" w:themeColor="text2"/>
      <w:sz w:val="20"/>
      <w:szCs w:val="22"/>
      <w:lang w:val="en-GB"/>
    </w:rPr>
  </w:style>
  <w:style w:type="character" w:customStyle="1" w:styleId="PanelTextChar">
    <w:name w:val="Panel Text Char"/>
    <w:basedOn w:val="DefaultParagraphFont"/>
    <w:link w:val="PanelText"/>
    <w:rsid w:val="003806CB"/>
    <w:rPr>
      <w:rFonts w:ascii="Calibri" w:eastAsia="Times New Roman" w:hAnsi="Calibri" w:cs="Times New Roman"/>
      <w:sz w:val="20"/>
      <w:szCs w:val="22"/>
      <w:lang w:val="en" w:eastAsia="en-GB"/>
    </w:rPr>
  </w:style>
  <w:style w:type="paragraph" w:styleId="Bibliography">
    <w:name w:val="Bibliography"/>
    <w:basedOn w:val="Normal"/>
    <w:next w:val="Normal"/>
    <w:uiPriority w:val="37"/>
    <w:unhideWhenUsed/>
    <w:rsid w:val="003806CB"/>
    <w:pPr>
      <w:spacing w:before="360" w:after="0"/>
    </w:pPr>
    <w:rPr>
      <w:rFonts w:eastAsia="Times New Roman" w:cs="Times New Roman"/>
      <w:lang w:val="en-GB" w:eastAsia="en-GB"/>
    </w:rPr>
  </w:style>
  <w:style w:type="paragraph" w:styleId="Header">
    <w:name w:val="header"/>
    <w:basedOn w:val="Normal"/>
    <w:link w:val="HeaderChar"/>
    <w:uiPriority w:val="99"/>
    <w:unhideWhenUsed/>
    <w:rsid w:val="00E97A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7AEB"/>
  </w:style>
  <w:style w:type="paragraph" w:styleId="Footer">
    <w:name w:val="footer"/>
    <w:basedOn w:val="Normal"/>
    <w:link w:val="FooterChar"/>
    <w:uiPriority w:val="99"/>
    <w:unhideWhenUsed/>
    <w:rsid w:val="00E97AEB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7AEB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37EE"/>
    <w:pPr>
      <w:spacing w:before="240" w:after="240" w:line="240" w:lineRule="auto"/>
    </w:pPr>
    <w:rPr>
      <w:rFonts w:eastAsiaTheme="minorHAnsi" w:cstheme="minorBidi"/>
      <w:b/>
      <w:bCs/>
      <w:lang w:val="en-US"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37EE"/>
    <w:rPr>
      <w:rFonts w:eastAsia="Times New Roman" w:cs="Times New Roman"/>
      <w:b/>
      <w:bCs/>
      <w:sz w:val="20"/>
      <w:szCs w:val="20"/>
      <w:lang w:val="en-GB"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67763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link w:val="NormalWebChar"/>
    <w:uiPriority w:val="99"/>
    <w:unhideWhenUsed/>
    <w:rsid w:val="00677638"/>
    <w:pPr>
      <w:spacing w:before="100" w:beforeAutospacing="1" w:after="100" w:afterAutospacing="1"/>
    </w:pPr>
    <w:rPr>
      <w:rFonts w:eastAsia="Times New Roman" w:cs="Times New Roman"/>
      <w:lang w:val="en-GB"/>
    </w:rPr>
  </w:style>
  <w:style w:type="character" w:customStyle="1" w:styleId="NormalWebChar">
    <w:name w:val="Normal (Web) Char"/>
    <w:basedOn w:val="DefaultParagraphFont"/>
    <w:link w:val="NormalWeb"/>
    <w:uiPriority w:val="99"/>
    <w:rsid w:val="00677638"/>
    <w:rPr>
      <w:rFonts w:eastAsia="Times New Roman" w:cs="Times New Roman"/>
      <w:lang w:val="en-GB"/>
    </w:rPr>
  </w:style>
  <w:style w:type="character" w:styleId="Hyperlink">
    <w:name w:val="Hyperlink"/>
    <w:basedOn w:val="DefaultParagraphFont"/>
    <w:uiPriority w:val="99"/>
    <w:unhideWhenUsed/>
    <w:rsid w:val="007A41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1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yperlink" Target="https://doi.org/10.3390/cli11020028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doi.org/10.3389/fpubh.2021.782101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4288A44CFA5D4A298B06D0D72B0C37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CF1390-5B5D-4FB3-BC40-25E0BDC63DC6}"/>
      </w:docPartPr>
      <w:docPartBody>
        <w:p w:rsidR="00E7682A" w:rsidRDefault="002B18F9" w:rsidP="002B18F9">
          <w:pPr>
            <w:pStyle w:val="4288A44CFA5D4A298B06D0D72B0C3746"/>
          </w:pPr>
          <w:r w:rsidRPr="002B4609">
            <w:rPr>
              <w:rStyle w:val="PlaceholderText"/>
            </w:rPr>
            <w:t>Formatting...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calaLancetPro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2AFF" w:usb1="5000785B" w:usb2="00000000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18F9"/>
    <w:rsid w:val="0016722B"/>
    <w:rsid w:val="002B18F9"/>
    <w:rsid w:val="00334432"/>
    <w:rsid w:val="003E1A21"/>
    <w:rsid w:val="008143ED"/>
    <w:rsid w:val="008177FA"/>
    <w:rsid w:val="00910CA0"/>
    <w:rsid w:val="00AA22BC"/>
    <w:rsid w:val="00E1732B"/>
    <w:rsid w:val="00E76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B18F9"/>
    <w:rPr>
      <w:color w:val="808080"/>
    </w:rPr>
  </w:style>
  <w:style w:type="paragraph" w:customStyle="1" w:styleId="4288A44CFA5D4A298B06D0D72B0C3746">
    <w:name w:val="4288A44CFA5D4A298B06D0D72B0C3746"/>
    <w:rsid w:val="002B18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DC6F6-3D08-4379-9984-FF89387D5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647</Words>
  <Characters>3689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Martin, Greta Katherine</cp:lastModifiedBy>
  <cp:revision>4</cp:revision>
  <dcterms:created xsi:type="dcterms:W3CDTF">2025-04-25T16:35:00Z</dcterms:created>
  <dcterms:modified xsi:type="dcterms:W3CDTF">2025-04-25T16:45:00Z</dcterms:modified>
</cp:coreProperties>
</file>