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DBBEA1" w14:textId="77777777" w:rsidR="00E9282E" w:rsidRDefault="00E9282E" w:rsidP="00E9282E">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i/>
          <w:iCs/>
          <w:lang w:val="en-GB"/>
        </w:rPr>
        <w:t>Headline finding: In 2024, exposure to urban greenspace remained practically unchanged from the 2015-2020 average (+0.2%), with individual city changes ranging from -34% to +69%.</w:t>
      </w:r>
      <w:r>
        <w:rPr>
          <w:rStyle w:val="eop"/>
          <w:rFonts w:ascii="Aptos" w:eastAsiaTheme="majorEastAsia" w:hAnsi="Aptos" w:cs="Segoe UI"/>
        </w:rPr>
        <w:t> </w:t>
      </w:r>
    </w:p>
    <w:p w14:paraId="3D2CF829" w14:textId="77777777" w:rsidR="00E9282E" w:rsidRDefault="00E9282E" w:rsidP="00E9282E">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GB"/>
        </w:rPr>
        <w:t>Green spaces can provide local cooling by reducing the intensity of heat islands,</w:t>
      </w:r>
      <w:r>
        <w:rPr>
          <w:rStyle w:val="contentcontrolboundarysink"/>
          <w:rFonts w:ascii="Arial" w:eastAsiaTheme="majorEastAsia" w:hAnsi="Arial" w:cs="Arial"/>
          <w:color w:val="000000"/>
          <w:sz w:val="19"/>
          <w:szCs w:val="19"/>
          <w:lang w:val="en-GB"/>
        </w:rPr>
        <w:t>​</w:t>
      </w:r>
      <w:r>
        <w:rPr>
          <w:rStyle w:val="normaltextrun"/>
          <w:rFonts w:ascii="Aptos" w:eastAsiaTheme="majorEastAsia" w:hAnsi="Aptos" w:cs="Segoe UI"/>
          <w:color w:val="000000"/>
          <w:sz w:val="19"/>
          <w:szCs w:val="19"/>
          <w:vertAlign w:val="superscript"/>
          <w:lang w:val="en-GB"/>
        </w:rPr>
        <w:t>119,120</w:t>
      </w:r>
      <w:r>
        <w:rPr>
          <w:rStyle w:val="contentcontrolboundarysink"/>
          <w:rFonts w:ascii="Arial" w:eastAsiaTheme="majorEastAsia" w:hAnsi="Arial" w:cs="Arial"/>
          <w:color w:val="000000"/>
          <w:sz w:val="19"/>
          <w:szCs w:val="19"/>
          <w:lang w:val="en-GB"/>
        </w:rPr>
        <w:t>​</w:t>
      </w:r>
      <w:r>
        <w:rPr>
          <w:rStyle w:val="normaltextrun"/>
          <w:rFonts w:ascii="Aptos" w:eastAsiaTheme="majorEastAsia" w:hAnsi="Aptos" w:cs="Segoe UI"/>
          <w:lang w:val="en-GB"/>
        </w:rPr>
        <w:t xml:space="preserve"> and </w:t>
      </w:r>
      <w:r>
        <w:rPr>
          <w:rStyle w:val="normaltextrun"/>
          <w:rFonts w:ascii="Aptos" w:eastAsiaTheme="majorEastAsia" w:hAnsi="Aptos" w:cs="Segoe UI"/>
          <w:color w:val="D13438"/>
          <w:u w:val="single"/>
          <w:lang w:val="en-GB"/>
        </w:rPr>
        <w:t xml:space="preserve">they </w:t>
      </w:r>
      <w:r>
        <w:rPr>
          <w:rStyle w:val="normaltextrun"/>
          <w:rFonts w:ascii="Aptos" w:eastAsiaTheme="majorEastAsia" w:hAnsi="Aptos" w:cs="Segoe UI"/>
          <w:lang w:val="en-GB"/>
        </w:rPr>
        <w:t>can also reduce flood risk.</w:t>
      </w:r>
      <w:r>
        <w:rPr>
          <w:rStyle w:val="contentcontrolboundarysink"/>
          <w:rFonts w:ascii="Arial" w:eastAsiaTheme="majorEastAsia" w:hAnsi="Arial" w:cs="Arial"/>
          <w:color w:val="000000"/>
          <w:sz w:val="19"/>
          <w:szCs w:val="19"/>
          <w:lang w:val="en-GB"/>
        </w:rPr>
        <w:t>​</w:t>
      </w:r>
      <w:r>
        <w:rPr>
          <w:rStyle w:val="normaltextrun"/>
          <w:rFonts w:ascii="Aptos" w:eastAsiaTheme="majorEastAsia" w:hAnsi="Aptos" w:cs="Segoe UI"/>
          <w:color w:val="000000"/>
          <w:sz w:val="19"/>
          <w:szCs w:val="19"/>
          <w:vertAlign w:val="superscript"/>
          <w:lang w:val="en-GB"/>
        </w:rPr>
        <w:t>121,122</w:t>
      </w:r>
      <w:r>
        <w:rPr>
          <w:rStyle w:val="contentcontrolboundarysink"/>
          <w:rFonts w:ascii="Arial" w:eastAsiaTheme="majorEastAsia" w:hAnsi="Arial" w:cs="Arial"/>
          <w:color w:val="000000"/>
          <w:sz w:val="19"/>
          <w:szCs w:val="19"/>
          <w:lang w:val="en-GB"/>
        </w:rPr>
        <w:t>​</w:t>
      </w:r>
      <w:r>
        <w:rPr>
          <w:rStyle w:val="normaltextrun"/>
          <w:rFonts w:ascii="Aptos" w:eastAsiaTheme="majorEastAsia" w:hAnsi="Aptos" w:cs="Segoe UI"/>
          <w:lang w:val="en-GB"/>
        </w:rPr>
        <w:t xml:space="preserve"> Exposure to urban green spaces can also have substantial positive effects on physical and mental health.</w:t>
      </w:r>
      <w:r>
        <w:rPr>
          <w:rStyle w:val="contentcontrolboundarysink"/>
          <w:rFonts w:ascii="Arial" w:eastAsiaTheme="majorEastAsia" w:hAnsi="Arial" w:cs="Arial"/>
          <w:color w:val="000000"/>
          <w:sz w:val="19"/>
          <w:szCs w:val="19"/>
          <w:lang w:val="en-GB"/>
        </w:rPr>
        <w:t>​</w:t>
      </w:r>
      <w:r>
        <w:rPr>
          <w:rStyle w:val="normaltextrun"/>
          <w:rFonts w:ascii="Aptos" w:eastAsiaTheme="majorEastAsia" w:hAnsi="Aptos" w:cs="Segoe UI"/>
          <w:color w:val="000000"/>
          <w:sz w:val="19"/>
          <w:szCs w:val="19"/>
          <w:vertAlign w:val="superscript"/>
          <w:lang w:val="en-GB"/>
        </w:rPr>
        <w:t>123–126</w:t>
      </w:r>
      <w:r>
        <w:rPr>
          <w:rStyle w:val="contentcontrolboundarysink"/>
          <w:rFonts w:ascii="Arial" w:eastAsiaTheme="majorEastAsia" w:hAnsi="Arial" w:cs="Arial"/>
          <w:color w:val="000000"/>
          <w:sz w:val="19"/>
          <w:szCs w:val="19"/>
          <w:lang w:val="en-GB"/>
        </w:rPr>
        <w:t>​</w:t>
      </w:r>
      <w:r>
        <w:rPr>
          <w:rStyle w:val="normaltextrun"/>
          <w:rFonts w:ascii="Aptos" w:eastAsiaTheme="majorEastAsia" w:hAnsi="Aptos" w:cs="Segoe UI"/>
          <w:lang w:val="en-GB"/>
        </w:rPr>
        <w:t xml:space="preserve"> </w:t>
      </w:r>
      <w:r>
        <w:rPr>
          <w:rStyle w:val="normaltextrun"/>
          <w:rFonts w:ascii="Aptos" w:eastAsiaTheme="majorEastAsia" w:hAnsi="Aptos" w:cs="Segoe UI"/>
          <w:color w:val="D13438"/>
          <w:u w:val="single"/>
          <w:lang w:val="en-GB"/>
        </w:rPr>
        <w:t xml:space="preserve">Similarly, </w:t>
      </w:r>
      <w:proofErr w:type="spellStart"/>
      <w:r>
        <w:rPr>
          <w:rStyle w:val="normaltextrun"/>
          <w:rFonts w:ascii="Aptos" w:eastAsiaTheme="majorEastAsia" w:hAnsi="Aptos" w:cs="Segoe UI"/>
          <w:strike/>
          <w:color w:val="D13438"/>
          <w:u w:val="single"/>
          <w:lang w:val="en-GB"/>
        </w:rPr>
        <w:t>U</w:t>
      </w:r>
      <w:r>
        <w:rPr>
          <w:rStyle w:val="normaltextrun"/>
          <w:rFonts w:ascii="Aptos" w:eastAsiaTheme="majorEastAsia" w:hAnsi="Aptos" w:cs="Segoe UI"/>
          <w:color w:val="D13438"/>
          <w:u w:val="single"/>
          <w:lang w:val="en-GB"/>
        </w:rPr>
        <w:t>ruban</w:t>
      </w:r>
      <w:proofErr w:type="spellEnd"/>
      <w:r>
        <w:rPr>
          <w:rStyle w:val="normaltextrun"/>
          <w:rFonts w:ascii="Aptos" w:eastAsiaTheme="majorEastAsia" w:hAnsi="Aptos" w:cs="Segoe UI"/>
          <w:color w:val="D13438"/>
          <w:u w:val="single"/>
          <w:lang w:val="en-GB"/>
        </w:rPr>
        <w:t xml:space="preserve"> blue spaces (rivers, lakes, and coastlines) are also linked to improved mental and physical health </w:t>
      </w:r>
      <w:commentRangeStart w:id="0"/>
      <w:r>
        <w:rPr>
          <w:rStyle w:val="normaltextrun"/>
          <w:rFonts w:ascii="Aptos" w:eastAsiaTheme="majorEastAsia" w:hAnsi="Aptos" w:cs="Segoe UI"/>
          <w:color w:val="D13438"/>
          <w:u w:val="single"/>
          <w:lang w:val="en-GB"/>
        </w:rPr>
        <w:t xml:space="preserve">(ref). </w:t>
      </w:r>
      <w:commentRangeEnd w:id="0"/>
      <w:r w:rsidR="004E7F2E">
        <w:rPr>
          <w:rStyle w:val="CommentReference"/>
          <w:rFonts w:asciiTheme="minorHAnsi" w:eastAsiaTheme="minorHAnsi" w:hAnsiTheme="minorHAnsi" w:cstheme="minorBidi"/>
          <w:kern w:val="2"/>
          <w14:ligatures w14:val="standardContextual"/>
        </w:rPr>
        <w:commentReference w:id="0"/>
      </w:r>
      <w:r>
        <w:rPr>
          <w:rStyle w:val="normaltextrun"/>
          <w:rFonts w:ascii="Aptos" w:eastAsiaTheme="majorEastAsia" w:hAnsi="Aptos" w:cs="Segoe UI"/>
          <w:lang w:val="en-GB"/>
        </w:rPr>
        <w:t>This indicator uses population-weighted Normalized Difference Vegetation Index (NDVI) from Landsat satellite data to estimate green</w:t>
      </w:r>
      <w:r>
        <w:rPr>
          <w:rStyle w:val="normaltextrun"/>
          <w:rFonts w:ascii="Aptos" w:eastAsiaTheme="majorEastAsia" w:hAnsi="Aptos" w:cs="Segoe UI"/>
          <w:color w:val="D13438"/>
          <w:u w:val="single"/>
          <w:lang w:val="en-GB"/>
        </w:rPr>
        <w:t xml:space="preserve"> </w:t>
      </w:r>
      <w:r>
        <w:rPr>
          <w:rStyle w:val="normaltextrun"/>
          <w:rFonts w:ascii="Aptos" w:eastAsiaTheme="majorEastAsia" w:hAnsi="Aptos" w:cs="Segoe UI"/>
          <w:strike/>
          <w:color w:val="0078D4"/>
          <w:lang w:val="en-GB"/>
        </w:rPr>
        <w:t>and blue</w:t>
      </w:r>
      <w:r>
        <w:rPr>
          <w:rStyle w:val="normaltextrun"/>
          <w:rFonts w:ascii="Aptos" w:eastAsiaTheme="majorEastAsia" w:hAnsi="Aptos" w:cs="Segoe UI"/>
          <w:color w:val="D13438"/>
          <w:u w:val="single"/>
          <w:lang w:val="en-GB"/>
        </w:rPr>
        <w:t xml:space="preserve"> </w:t>
      </w:r>
      <w:r>
        <w:rPr>
          <w:rStyle w:val="normaltextrun"/>
          <w:rFonts w:ascii="Aptos" w:eastAsiaTheme="majorEastAsia" w:hAnsi="Aptos" w:cs="Segoe UI"/>
          <w:lang w:val="en-GB"/>
        </w:rPr>
        <w:t xml:space="preserve">space exposure for 1041 urban centres across 174 countries (Figure 6A). </w:t>
      </w:r>
      <w:r>
        <w:rPr>
          <w:rStyle w:val="normaltextrun"/>
          <w:rFonts w:ascii="Aptos" w:eastAsiaTheme="majorEastAsia" w:hAnsi="Aptos" w:cs="Segoe UI"/>
          <w:color w:val="D13438"/>
          <w:u w:val="single"/>
          <w:lang w:val="en-GB"/>
        </w:rPr>
        <w:t xml:space="preserve">New this year, this </w:t>
      </w:r>
      <w:r>
        <w:rPr>
          <w:rStyle w:val="normaltextrun"/>
          <w:rFonts w:ascii="Aptos" w:eastAsiaTheme="majorEastAsia" w:hAnsi="Aptos" w:cs="Segoe UI"/>
          <w:color w:val="881798"/>
          <w:u w:val="single"/>
          <w:lang w:val="en-GB"/>
        </w:rPr>
        <w:t xml:space="preserve">indicator </w:t>
      </w:r>
      <w:r>
        <w:rPr>
          <w:rStyle w:val="normaltextrun"/>
          <w:rFonts w:ascii="Aptos" w:eastAsiaTheme="majorEastAsia" w:hAnsi="Aptos" w:cs="Segoe UI"/>
          <w:color w:val="D13438"/>
          <w:u w:val="single"/>
          <w:lang w:val="en-GB"/>
        </w:rPr>
        <w:t>includes a calculation of the percentage of each city that is considered blue space</w:t>
      </w:r>
      <w:r>
        <w:rPr>
          <w:rStyle w:val="normaltextrun"/>
          <w:rFonts w:ascii="Aptos" w:eastAsiaTheme="majorEastAsia" w:hAnsi="Aptos" w:cs="Segoe UI"/>
          <w:color w:val="0078D4"/>
          <w:u w:val="single"/>
          <w:lang w:val="en-GB"/>
        </w:rPr>
        <w:t xml:space="preserve"> using satellite-derived landcover data</w:t>
      </w:r>
      <w:r>
        <w:rPr>
          <w:rStyle w:val="normaltextrun"/>
          <w:rFonts w:ascii="Aptos" w:eastAsiaTheme="majorEastAsia" w:hAnsi="Aptos" w:cs="Segoe UI"/>
          <w:color w:val="D13438"/>
          <w:u w:val="single"/>
          <w:lang w:val="en-GB"/>
        </w:rPr>
        <w:t xml:space="preserve">. </w:t>
      </w:r>
      <w:r>
        <w:rPr>
          <w:rStyle w:val="normaltextrun"/>
          <w:rFonts w:ascii="Aptos" w:eastAsiaTheme="majorEastAsia" w:hAnsi="Aptos" w:cs="Segoe UI"/>
          <w:lang w:val="en-GB"/>
        </w:rPr>
        <w:t xml:space="preserve">While substantial changes were recorded in </w:t>
      </w:r>
      <w:r>
        <w:rPr>
          <w:rStyle w:val="normaltextrun"/>
          <w:rFonts w:ascii="Aptos" w:eastAsiaTheme="majorEastAsia" w:hAnsi="Aptos" w:cs="Segoe UI"/>
          <w:color w:val="D13438"/>
          <w:u w:val="single"/>
          <w:lang w:val="en-GB"/>
        </w:rPr>
        <w:t xml:space="preserve">green space exposure in </w:t>
      </w:r>
      <w:r>
        <w:rPr>
          <w:rStyle w:val="normaltextrun"/>
          <w:rFonts w:ascii="Aptos" w:eastAsiaTheme="majorEastAsia" w:hAnsi="Aptos" w:cs="Segoe UI"/>
          <w:lang w:val="en-GB"/>
        </w:rPr>
        <w:t xml:space="preserve">individual cities (from 69% increase to 34% decrease), global and regional population-weighted peak-season NDVI has remained largely unchanged since 2015. On average, cities with Very High and High HDI experienced slight increases in NDVI in 2024 (+1.6%), while those with Medium and Low HDI experienced slight decreases (-2.1% and -1.7%, respectively). </w:t>
      </w:r>
      <w:r>
        <w:rPr>
          <w:rStyle w:val="normaltextrun"/>
          <w:rFonts w:ascii="Aptos" w:eastAsiaTheme="majorEastAsia" w:hAnsi="Aptos" w:cs="Segoe UI"/>
          <w:strike/>
          <w:color w:val="D13438"/>
          <w:lang w:val="en-GB"/>
        </w:rPr>
        <w:t>Given the potential health benefits of urban green spaces, increasing access, while preventing gentrification and managing risk of infectious disease transmission, could represent a key adaptation tool.</w:t>
      </w:r>
      <w:r>
        <w:rPr>
          <w:rStyle w:val="normaltextrun"/>
          <w:rFonts w:ascii="Aptos" w:eastAsiaTheme="majorEastAsia" w:hAnsi="Aptos" w:cs="Segoe UI"/>
          <w:strike/>
          <w:color w:val="D13438"/>
          <w:u w:val="single"/>
          <w:lang w:val="en-GB"/>
        </w:rPr>
        <w:t xml:space="preserve"> Urban blue spaces (rivers, lakes, and coastlines) are also linked to improved mental and physical health (ref). We calculated the percentage of each city that is considered blue space (Figure 6B, see Appendix for methods).</w:t>
      </w:r>
      <w:r>
        <w:rPr>
          <w:rStyle w:val="normaltextrun"/>
          <w:rFonts w:ascii="Aptos" w:eastAsiaTheme="majorEastAsia" w:hAnsi="Aptos" w:cs="Segoe UI"/>
          <w:u w:val="single"/>
          <w:lang w:val="en-GB"/>
        </w:rPr>
        <w:t> </w:t>
      </w:r>
      <w:r>
        <w:rPr>
          <w:rStyle w:val="eop"/>
          <w:rFonts w:ascii="Aptos" w:eastAsiaTheme="majorEastAsia" w:hAnsi="Aptos" w:cs="Segoe UI"/>
          <w:color w:val="0078D4"/>
        </w:rPr>
        <w:t> </w:t>
      </w:r>
    </w:p>
    <w:p w14:paraId="0139164A" w14:textId="77777777" w:rsidR="00E9282E" w:rsidRDefault="00E9282E" w:rsidP="00E9282E">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color w:val="0078D4"/>
          <w:u w:val="single"/>
          <w:lang w:val="en-GB"/>
        </w:rPr>
        <w:t xml:space="preserve">On average across the 1,041 cities, blue spaces made up 2.9% of the urban area. Blue spaces were more abundant in more developed cities, accounting for 4.2% of the urban area in “Very High”, 3.1% in “High”, 1.8% in “Medium” and 1.8% in “Low” </w:t>
      </w:r>
      <w:proofErr w:type="gramStart"/>
      <w:r>
        <w:rPr>
          <w:rStyle w:val="normaltextrun"/>
          <w:rFonts w:ascii="Aptos" w:eastAsiaTheme="majorEastAsia" w:hAnsi="Aptos" w:cs="Segoe UI"/>
          <w:color w:val="0078D4"/>
          <w:u w:val="single"/>
          <w:lang w:val="en-GB"/>
        </w:rPr>
        <w:t>HDI  cities</w:t>
      </w:r>
      <w:proofErr w:type="gramEnd"/>
      <w:r>
        <w:rPr>
          <w:rStyle w:val="normaltextrun"/>
          <w:rFonts w:ascii="Aptos" w:eastAsiaTheme="majorEastAsia" w:hAnsi="Aptos" w:cs="Segoe UI"/>
          <w:color w:val="0078D4"/>
          <w:u w:val="single"/>
          <w:lang w:val="en-GB"/>
        </w:rPr>
        <w:t>.</w:t>
      </w:r>
      <w:r>
        <w:rPr>
          <w:rStyle w:val="eop"/>
          <w:rFonts w:ascii="Aptos" w:eastAsiaTheme="majorEastAsia" w:hAnsi="Aptos" w:cs="Segoe UI"/>
          <w:color w:val="0078D4"/>
        </w:rPr>
        <w:t> </w:t>
      </w:r>
    </w:p>
    <w:p w14:paraId="0618BCC0" w14:textId="77777777" w:rsidR="00E9282E" w:rsidRDefault="00E9282E" w:rsidP="00E9282E">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color w:val="D13438"/>
          <w:u w:val="single"/>
          <w:lang w:val="en-GB"/>
        </w:rPr>
        <w:t xml:space="preserve">FINDING ABOUT BLUE SPACES ON THEIR OWN. </w:t>
      </w:r>
      <w:r>
        <w:rPr>
          <w:rStyle w:val="eop"/>
          <w:rFonts w:ascii="Aptos" w:eastAsiaTheme="majorEastAsia" w:hAnsi="Aptos" w:cs="Segoe UI"/>
          <w:color w:val="D13438"/>
        </w:rPr>
        <w:t> </w:t>
      </w:r>
    </w:p>
    <w:p w14:paraId="7E0DB723" w14:textId="77777777" w:rsidR="00E9282E" w:rsidRDefault="00E9282E" w:rsidP="00E9282E">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u w:val="single"/>
          <w:lang w:val="en-GB"/>
        </w:rPr>
        <w:t xml:space="preserve">Using combined green and blue space </w:t>
      </w:r>
      <w:r>
        <w:rPr>
          <w:rStyle w:val="normaltextrun"/>
          <w:rFonts w:ascii="Aptos" w:eastAsiaTheme="majorEastAsia" w:hAnsi="Aptos" w:cs="Segoe UI"/>
          <w:color w:val="0078D4"/>
          <w:u w:val="single"/>
          <w:lang w:val="en-GB"/>
        </w:rPr>
        <w:t xml:space="preserve">landcover </w:t>
      </w:r>
      <w:r>
        <w:rPr>
          <w:rStyle w:val="normaltextrun"/>
          <w:rFonts w:ascii="Aptos" w:eastAsiaTheme="majorEastAsia" w:hAnsi="Aptos" w:cs="Segoe UI"/>
          <w:u w:val="single"/>
          <w:lang w:val="en-GB"/>
        </w:rPr>
        <w:t>percentages, low HDI cities had a higher proportion of combined green space and blue space (0.42) than cities classified as “High” (0.29) or “Very High” (0.20, Figure 6B).</w:t>
      </w:r>
      <w:r>
        <w:rPr>
          <w:rStyle w:val="eop"/>
          <w:rFonts w:ascii="Aptos" w:eastAsiaTheme="majorEastAsia" w:hAnsi="Aptos" w:cs="Segoe UI"/>
          <w:color w:val="D13438"/>
        </w:rPr>
        <w:t> </w:t>
      </w:r>
    </w:p>
    <w:p w14:paraId="6F37B78E" w14:textId="77777777" w:rsidR="00E9282E" w:rsidRDefault="00E9282E" w:rsidP="00E9282E">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color w:val="D13438"/>
          <w:u w:val="single"/>
          <w:lang w:val="en-GB"/>
        </w:rPr>
        <w:t>Given the potential health benefits of urban green spaces, increasing access, while preventing gentrification and managing risk of infectious disease transmission, could represent a key adaptation tool.</w:t>
      </w:r>
      <w:r>
        <w:rPr>
          <w:rStyle w:val="eop"/>
          <w:rFonts w:ascii="Aptos" w:eastAsiaTheme="majorEastAsia" w:hAnsi="Aptos" w:cs="Segoe UI"/>
        </w:rPr>
        <w:t> </w:t>
      </w:r>
    </w:p>
    <w:p w14:paraId="18D5AB1A" w14:textId="77777777" w:rsidR="00C351E5" w:rsidRDefault="00C351E5"/>
    <w:sectPr w:rsidR="00C351E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Martin, Greta Katherine" w:date="2025-05-09T12:12:00Z" w:initials="GM">
    <w:p w14:paraId="19218A24" w14:textId="77777777" w:rsidR="004E7F2E" w:rsidRDefault="004E7F2E" w:rsidP="004E7F2E">
      <w:r>
        <w:rPr>
          <w:rStyle w:val="CommentReference"/>
        </w:rPr>
        <w:annotationRef/>
      </w:r>
      <w:r>
        <w:rPr>
          <w:color w:val="000000"/>
          <w:sz w:val="20"/>
          <w:szCs w:val="20"/>
        </w:rPr>
        <w:t>Smith N, Georgiou M, King AC, Tieges Z, Webb S, Chastin S. Urban blue spaces and human health: A systematic review and meta-analysis of quantitative studies. Cities. 2021;119:103413. doi:10.1016/j.cities.2021.103413</w:t>
      </w:r>
    </w:p>
    <w:p w14:paraId="64C90B5C" w14:textId="77777777" w:rsidR="004E7F2E" w:rsidRDefault="004E7F2E" w:rsidP="004E7F2E"/>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4C90B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A9B2035" w16cex:dateUtc="2025-05-09T16: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4C90B5C" w16cid:durableId="0A9B203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rtin, Greta Katherine">
    <w15:presenceInfo w15:providerId="AD" w15:userId="S::gretam@gwu.edu::693602ef-7d81-41bb-a23e-17f4d14524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82E"/>
    <w:rsid w:val="00061B68"/>
    <w:rsid w:val="0017376A"/>
    <w:rsid w:val="0020576C"/>
    <w:rsid w:val="002B7878"/>
    <w:rsid w:val="004E7F2E"/>
    <w:rsid w:val="007A6445"/>
    <w:rsid w:val="00C351E5"/>
    <w:rsid w:val="00E92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260B99"/>
  <w15:chartTrackingRefBased/>
  <w15:docId w15:val="{05248E35-874A-7C4F-A9A8-8107883AC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28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28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28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28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28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28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28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28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28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8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28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28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28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28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28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28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28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282E"/>
    <w:rPr>
      <w:rFonts w:eastAsiaTheme="majorEastAsia" w:cstheme="majorBidi"/>
      <w:color w:val="272727" w:themeColor="text1" w:themeTint="D8"/>
    </w:rPr>
  </w:style>
  <w:style w:type="paragraph" w:styleId="Title">
    <w:name w:val="Title"/>
    <w:basedOn w:val="Normal"/>
    <w:next w:val="Normal"/>
    <w:link w:val="TitleChar"/>
    <w:uiPriority w:val="10"/>
    <w:qFormat/>
    <w:rsid w:val="00E928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28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28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28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282E"/>
    <w:pPr>
      <w:spacing w:before="160"/>
      <w:jc w:val="center"/>
    </w:pPr>
    <w:rPr>
      <w:i/>
      <w:iCs/>
      <w:color w:val="404040" w:themeColor="text1" w:themeTint="BF"/>
    </w:rPr>
  </w:style>
  <w:style w:type="character" w:customStyle="1" w:styleId="QuoteChar">
    <w:name w:val="Quote Char"/>
    <w:basedOn w:val="DefaultParagraphFont"/>
    <w:link w:val="Quote"/>
    <w:uiPriority w:val="29"/>
    <w:rsid w:val="00E9282E"/>
    <w:rPr>
      <w:i/>
      <w:iCs/>
      <w:color w:val="404040" w:themeColor="text1" w:themeTint="BF"/>
    </w:rPr>
  </w:style>
  <w:style w:type="paragraph" w:styleId="ListParagraph">
    <w:name w:val="List Paragraph"/>
    <w:basedOn w:val="Normal"/>
    <w:uiPriority w:val="34"/>
    <w:qFormat/>
    <w:rsid w:val="00E9282E"/>
    <w:pPr>
      <w:ind w:left="720"/>
      <w:contextualSpacing/>
    </w:pPr>
  </w:style>
  <w:style w:type="character" w:styleId="IntenseEmphasis">
    <w:name w:val="Intense Emphasis"/>
    <w:basedOn w:val="DefaultParagraphFont"/>
    <w:uiPriority w:val="21"/>
    <w:qFormat/>
    <w:rsid w:val="00E9282E"/>
    <w:rPr>
      <w:i/>
      <w:iCs/>
      <w:color w:val="0F4761" w:themeColor="accent1" w:themeShade="BF"/>
    </w:rPr>
  </w:style>
  <w:style w:type="paragraph" w:styleId="IntenseQuote">
    <w:name w:val="Intense Quote"/>
    <w:basedOn w:val="Normal"/>
    <w:next w:val="Normal"/>
    <w:link w:val="IntenseQuoteChar"/>
    <w:uiPriority w:val="30"/>
    <w:qFormat/>
    <w:rsid w:val="00E928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282E"/>
    <w:rPr>
      <w:i/>
      <w:iCs/>
      <w:color w:val="0F4761" w:themeColor="accent1" w:themeShade="BF"/>
    </w:rPr>
  </w:style>
  <w:style w:type="character" w:styleId="IntenseReference">
    <w:name w:val="Intense Reference"/>
    <w:basedOn w:val="DefaultParagraphFont"/>
    <w:uiPriority w:val="32"/>
    <w:qFormat/>
    <w:rsid w:val="00E9282E"/>
    <w:rPr>
      <w:b/>
      <w:bCs/>
      <w:smallCaps/>
      <w:color w:val="0F4761" w:themeColor="accent1" w:themeShade="BF"/>
      <w:spacing w:val="5"/>
    </w:rPr>
  </w:style>
  <w:style w:type="paragraph" w:customStyle="1" w:styleId="paragraph">
    <w:name w:val="paragraph"/>
    <w:basedOn w:val="Normal"/>
    <w:rsid w:val="00E9282E"/>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ormaltextrun">
    <w:name w:val="normaltextrun"/>
    <w:basedOn w:val="DefaultParagraphFont"/>
    <w:rsid w:val="00E9282E"/>
  </w:style>
  <w:style w:type="character" w:customStyle="1" w:styleId="eop">
    <w:name w:val="eop"/>
    <w:basedOn w:val="DefaultParagraphFont"/>
    <w:rsid w:val="00E9282E"/>
  </w:style>
  <w:style w:type="character" w:customStyle="1" w:styleId="contentcontrolboundarysink">
    <w:name w:val="contentcontrolboundarysink"/>
    <w:basedOn w:val="DefaultParagraphFont"/>
    <w:rsid w:val="00E9282E"/>
  </w:style>
  <w:style w:type="character" w:styleId="CommentReference">
    <w:name w:val="annotation reference"/>
    <w:basedOn w:val="DefaultParagraphFont"/>
    <w:uiPriority w:val="99"/>
    <w:semiHidden/>
    <w:unhideWhenUsed/>
    <w:rsid w:val="004E7F2E"/>
    <w:rPr>
      <w:sz w:val="16"/>
      <w:szCs w:val="16"/>
    </w:rPr>
  </w:style>
  <w:style w:type="paragraph" w:styleId="CommentText">
    <w:name w:val="annotation text"/>
    <w:basedOn w:val="Normal"/>
    <w:link w:val="CommentTextChar"/>
    <w:uiPriority w:val="99"/>
    <w:semiHidden/>
    <w:unhideWhenUsed/>
    <w:rsid w:val="004E7F2E"/>
    <w:pPr>
      <w:spacing w:line="240" w:lineRule="auto"/>
    </w:pPr>
    <w:rPr>
      <w:sz w:val="20"/>
      <w:szCs w:val="20"/>
    </w:rPr>
  </w:style>
  <w:style w:type="character" w:customStyle="1" w:styleId="CommentTextChar">
    <w:name w:val="Comment Text Char"/>
    <w:basedOn w:val="DefaultParagraphFont"/>
    <w:link w:val="CommentText"/>
    <w:uiPriority w:val="99"/>
    <w:semiHidden/>
    <w:rsid w:val="004E7F2E"/>
    <w:rPr>
      <w:sz w:val="20"/>
      <w:szCs w:val="20"/>
    </w:rPr>
  </w:style>
  <w:style w:type="paragraph" w:styleId="CommentSubject">
    <w:name w:val="annotation subject"/>
    <w:basedOn w:val="CommentText"/>
    <w:next w:val="CommentText"/>
    <w:link w:val="CommentSubjectChar"/>
    <w:uiPriority w:val="99"/>
    <w:semiHidden/>
    <w:unhideWhenUsed/>
    <w:rsid w:val="004E7F2E"/>
    <w:rPr>
      <w:b/>
      <w:bCs/>
    </w:rPr>
  </w:style>
  <w:style w:type="character" w:customStyle="1" w:styleId="CommentSubjectChar">
    <w:name w:val="Comment Subject Char"/>
    <w:basedOn w:val="CommentTextChar"/>
    <w:link w:val="CommentSubject"/>
    <w:uiPriority w:val="99"/>
    <w:semiHidden/>
    <w:rsid w:val="004E7F2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2212805">
      <w:bodyDiv w:val="1"/>
      <w:marLeft w:val="0"/>
      <w:marRight w:val="0"/>
      <w:marTop w:val="0"/>
      <w:marBottom w:val="0"/>
      <w:divBdr>
        <w:top w:val="none" w:sz="0" w:space="0" w:color="auto"/>
        <w:left w:val="none" w:sz="0" w:space="0" w:color="auto"/>
        <w:bottom w:val="none" w:sz="0" w:space="0" w:color="auto"/>
        <w:right w:val="none" w:sz="0" w:space="0" w:color="auto"/>
      </w:divBdr>
      <w:divsChild>
        <w:div w:id="229854776">
          <w:marLeft w:val="0"/>
          <w:marRight w:val="0"/>
          <w:marTop w:val="0"/>
          <w:marBottom w:val="0"/>
          <w:divBdr>
            <w:top w:val="none" w:sz="0" w:space="0" w:color="auto"/>
            <w:left w:val="none" w:sz="0" w:space="0" w:color="auto"/>
            <w:bottom w:val="none" w:sz="0" w:space="0" w:color="auto"/>
            <w:right w:val="none" w:sz="0" w:space="0" w:color="auto"/>
          </w:divBdr>
        </w:div>
        <w:div w:id="1486386913">
          <w:marLeft w:val="0"/>
          <w:marRight w:val="0"/>
          <w:marTop w:val="0"/>
          <w:marBottom w:val="0"/>
          <w:divBdr>
            <w:top w:val="none" w:sz="0" w:space="0" w:color="auto"/>
            <w:left w:val="none" w:sz="0" w:space="0" w:color="auto"/>
            <w:bottom w:val="none" w:sz="0" w:space="0" w:color="auto"/>
            <w:right w:val="none" w:sz="0" w:space="0" w:color="auto"/>
          </w:divBdr>
        </w:div>
        <w:div w:id="889652401">
          <w:marLeft w:val="0"/>
          <w:marRight w:val="0"/>
          <w:marTop w:val="0"/>
          <w:marBottom w:val="0"/>
          <w:divBdr>
            <w:top w:val="none" w:sz="0" w:space="0" w:color="auto"/>
            <w:left w:val="none" w:sz="0" w:space="0" w:color="auto"/>
            <w:bottom w:val="none" w:sz="0" w:space="0" w:color="auto"/>
            <w:right w:val="none" w:sz="0" w:space="0" w:color="auto"/>
          </w:divBdr>
        </w:div>
        <w:div w:id="209457897">
          <w:marLeft w:val="0"/>
          <w:marRight w:val="0"/>
          <w:marTop w:val="0"/>
          <w:marBottom w:val="0"/>
          <w:divBdr>
            <w:top w:val="none" w:sz="0" w:space="0" w:color="auto"/>
            <w:left w:val="none" w:sz="0" w:space="0" w:color="auto"/>
            <w:bottom w:val="none" w:sz="0" w:space="0" w:color="auto"/>
            <w:right w:val="none" w:sz="0" w:space="0" w:color="auto"/>
          </w:divBdr>
        </w:div>
        <w:div w:id="1889956667">
          <w:marLeft w:val="0"/>
          <w:marRight w:val="0"/>
          <w:marTop w:val="0"/>
          <w:marBottom w:val="0"/>
          <w:divBdr>
            <w:top w:val="none" w:sz="0" w:space="0" w:color="auto"/>
            <w:left w:val="none" w:sz="0" w:space="0" w:color="auto"/>
            <w:bottom w:val="none" w:sz="0" w:space="0" w:color="auto"/>
            <w:right w:val="none" w:sz="0" w:space="0" w:color="auto"/>
          </w:divBdr>
        </w:div>
        <w:div w:id="11027214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372</Words>
  <Characters>2122</Characters>
  <Application>Microsoft Office Word</Application>
  <DocSecurity>0</DocSecurity>
  <Lines>17</Lines>
  <Paragraphs>4</Paragraphs>
  <ScaleCrop>false</ScaleCrop>
  <Company/>
  <LinksUpToDate>false</LinksUpToDate>
  <CharactersWithSpaces>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Greta Katherine</dc:creator>
  <cp:keywords/>
  <dc:description/>
  <cp:lastModifiedBy>Martin, Greta Katherine</cp:lastModifiedBy>
  <cp:revision>2</cp:revision>
  <dcterms:created xsi:type="dcterms:W3CDTF">2025-05-09T16:10:00Z</dcterms:created>
  <dcterms:modified xsi:type="dcterms:W3CDTF">2025-05-09T16:12:00Z</dcterms:modified>
</cp:coreProperties>
</file>