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12A8C" w14:textId="15697C09"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Target Journal: Environmental Research Letters</w:t>
      </w:r>
    </w:p>
    <w:p w14:paraId="5EDEE47C" w14:textId="78B4E6E7" w:rsidR="00551D54" w:rsidRPr="00E150CA" w:rsidRDefault="00FA2EC9" w:rsidP="00551D54">
      <w:pPr>
        <w:rPr>
          <w:rFonts w:ascii="Times New Roman" w:hAnsi="Times New Roman" w:cs="Times New Roman"/>
          <w:b/>
          <w:bCs/>
        </w:rPr>
      </w:pPr>
      <w:r w:rsidRPr="00E150CA">
        <w:rPr>
          <w:rFonts w:ascii="Times New Roman" w:hAnsi="Times New Roman" w:cs="Times New Roman"/>
          <w:b/>
          <w:bCs/>
        </w:rPr>
        <w:t>Single or double anonymous (author choice)</w:t>
      </w:r>
    </w:p>
    <w:p w14:paraId="7B9FA7E2" w14:textId="77777777" w:rsidR="00FA2EC9" w:rsidRPr="00E150CA" w:rsidRDefault="00FA2EC9" w:rsidP="00551D54">
      <w:pPr>
        <w:rPr>
          <w:rFonts w:ascii="Times New Roman" w:hAnsi="Times New Roman" w:cs="Times New Roman"/>
          <w:b/>
          <w:bCs/>
        </w:rPr>
      </w:pPr>
    </w:p>
    <w:p w14:paraId="27958F92" w14:textId="2DF6F210"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Title</w:t>
      </w:r>
    </w:p>
    <w:p w14:paraId="31B6B276" w14:textId="1BD73DB7" w:rsidR="00C52434" w:rsidRPr="00E150CA" w:rsidRDefault="00107F48" w:rsidP="00C52434">
      <w:pPr>
        <w:rPr>
          <w:rFonts w:ascii="Times New Roman" w:hAnsi="Times New Roman" w:cs="Times New Roman"/>
        </w:rPr>
      </w:pPr>
      <w:r w:rsidRPr="00E150CA">
        <w:rPr>
          <w:rFonts w:ascii="Times New Roman" w:hAnsi="Times New Roman" w:cs="Times New Roman"/>
        </w:rPr>
        <w:t>A quantitative health impact assessment</w:t>
      </w:r>
      <w:r w:rsidR="00C52434" w:rsidRPr="00E150CA">
        <w:rPr>
          <w:rFonts w:ascii="Times New Roman" w:hAnsi="Times New Roman" w:cs="Times New Roman"/>
        </w:rPr>
        <w:t xml:space="preserve"> </w:t>
      </w:r>
      <w:r w:rsidRPr="00E150CA">
        <w:rPr>
          <w:rFonts w:ascii="Times New Roman" w:hAnsi="Times New Roman" w:cs="Times New Roman"/>
        </w:rPr>
        <w:t xml:space="preserve">of urban greenspace and all-cause mortality </w:t>
      </w:r>
      <w:r w:rsidR="00C52434" w:rsidRPr="00E150CA">
        <w:rPr>
          <w:rFonts w:ascii="Times New Roman" w:hAnsi="Times New Roman" w:cs="Times New Roman"/>
        </w:rPr>
        <w:t>across 1,042 global cities</w:t>
      </w:r>
    </w:p>
    <w:p w14:paraId="43EB3756" w14:textId="77777777" w:rsidR="00C52434" w:rsidRPr="00E150CA" w:rsidRDefault="00C52434" w:rsidP="00551D54">
      <w:pPr>
        <w:rPr>
          <w:rFonts w:ascii="Times New Roman" w:hAnsi="Times New Roman" w:cs="Times New Roman"/>
          <w:b/>
          <w:bCs/>
        </w:rPr>
      </w:pPr>
    </w:p>
    <w:p w14:paraId="2FB1A629"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The title should be concise, informative and meaningful to the whole readership of the journal. It should include key terms, to help make it more discoverable when people search online. Please avoid the use of long systemic names and non-standard or obscure abbreviations, acronyms or symbols.</w:t>
      </w:r>
    </w:p>
    <w:p w14:paraId="7753AB88" w14:textId="77777777" w:rsidR="00FA2EC9" w:rsidRPr="00E150CA" w:rsidRDefault="00FA2EC9" w:rsidP="00551D54">
      <w:pPr>
        <w:rPr>
          <w:rFonts w:ascii="Times New Roman" w:hAnsi="Times New Roman" w:cs="Times New Roman"/>
        </w:rPr>
      </w:pPr>
    </w:p>
    <w:p w14:paraId="4D404FBB"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Authors</w:t>
      </w:r>
    </w:p>
    <w:p w14:paraId="1707BEE0" w14:textId="4CE5B387" w:rsidR="00420610" w:rsidRPr="00E150CA" w:rsidRDefault="00420610" w:rsidP="00420610">
      <w:pPr>
        <w:rPr>
          <w:rFonts w:ascii="Times New Roman" w:hAnsi="Times New Roman" w:cs="Times New Roman"/>
          <w:color w:val="000000" w:themeColor="text1"/>
          <w:vertAlign w:val="superscript"/>
        </w:rPr>
      </w:pPr>
      <w:r w:rsidRPr="00E150CA">
        <w:rPr>
          <w:rFonts w:ascii="Times New Roman" w:hAnsi="Times New Roman" w:cs="Times New Roman"/>
          <w:color w:val="000000" w:themeColor="text1"/>
        </w:rPr>
        <w:t>Greta K. Martin</w:t>
      </w:r>
      <w:r w:rsidRPr="00E150CA">
        <w:rPr>
          <w:rFonts w:ascii="Times New Roman" w:hAnsi="Times New Roman" w:cs="Times New Roman"/>
          <w:color w:val="000000" w:themeColor="text1"/>
          <w:vertAlign w:val="superscript"/>
        </w:rPr>
        <w:t>1</w:t>
      </w:r>
      <w:r w:rsidRPr="00E150CA">
        <w:rPr>
          <w:rFonts w:ascii="Times New Roman" w:hAnsi="Times New Roman" w:cs="Times New Roman"/>
          <w:color w:val="000000" w:themeColor="text1"/>
        </w:rPr>
        <w:t>, Patrick L. Kinney</w:t>
      </w: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 Jennifer D. Stowell</w:t>
      </w: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 Susan C. Anenberg</w:t>
      </w:r>
      <w:r w:rsidRPr="00E150CA">
        <w:rPr>
          <w:rFonts w:ascii="Times New Roman" w:hAnsi="Times New Roman" w:cs="Times New Roman"/>
          <w:color w:val="000000" w:themeColor="text1"/>
          <w:vertAlign w:val="superscript"/>
        </w:rPr>
        <w:t>1</w:t>
      </w:r>
    </w:p>
    <w:p w14:paraId="1F324D7A" w14:textId="77777777" w:rsidR="00420610" w:rsidRPr="00E150CA" w:rsidRDefault="00420610" w:rsidP="00420610">
      <w:pPr>
        <w:rPr>
          <w:rFonts w:ascii="Times New Roman" w:hAnsi="Times New Roman" w:cs="Times New Roman"/>
          <w:color w:val="000000" w:themeColor="text1"/>
        </w:rPr>
      </w:pPr>
      <w:r w:rsidRPr="00E150CA">
        <w:rPr>
          <w:rFonts w:ascii="Times New Roman" w:hAnsi="Times New Roman" w:cs="Times New Roman"/>
          <w:color w:val="000000" w:themeColor="text1"/>
          <w:vertAlign w:val="superscript"/>
        </w:rPr>
        <w:t>1</w:t>
      </w:r>
      <w:r w:rsidRPr="00E150CA">
        <w:rPr>
          <w:rFonts w:ascii="Times New Roman" w:hAnsi="Times New Roman" w:cs="Times New Roman"/>
          <w:color w:val="000000" w:themeColor="text1"/>
        </w:rPr>
        <w:t>The George Washington University Milken Institute of Public Health, Washington, DC</w:t>
      </w:r>
    </w:p>
    <w:p w14:paraId="19BFF8F5" w14:textId="53E74294" w:rsidR="00420610" w:rsidRPr="00E150CA" w:rsidRDefault="00420610" w:rsidP="00420610">
      <w:pPr>
        <w:rPr>
          <w:rFonts w:ascii="Times New Roman" w:hAnsi="Times New Roman" w:cs="Times New Roman"/>
          <w:color w:val="000000" w:themeColor="text1"/>
        </w:rPr>
      </w:pP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Boston University School of Public Health, Boston, MA</w:t>
      </w:r>
    </w:p>
    <w:p w14:paraId="3072A076" w14:textId="77777777" w:rsidR="00420610" w:rsidRPr="00E150CA" w:rsidRDefault="00420610" w:rsidP="00551D54">
      <w:pPr>
        <w:rPr>
          <w:rFonts w:ascii="Times New Roman" w:hAnsi="Times New Roman" w:cs="Times New Roman"/>
          <w:b/>
          <w:bCs/>
        </w:rPr>
      </w:pPr>
    </w:p>
    <w:p w14:paraId="373F94CC" w14:textId="7427E306"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Check the </w:t>
      </w:r>
      <w:hyperlink r:id="rId5" w:history="1">
        <w:r w:rsidRPr="00E150CA">
          <w:rPr>
            <w:rStyle w:val="Hyperlink"/>
            <w:rFonts w:ascii="Times New Roman" w:hAnsi="Times New Roman" w:cs="Times New Roman"/>
            <w:i/>
            <w:iCs/>
            <w:color w:val="156082" w:themeColor="accent1"/>
          </w:rPr>
          <w:t>peer review model</w:t>
        </w:r>
      </w:hyperlink>
      <w:r w:rsidRPr="00E150CA">
        <w:rPr>
          <w:rFonts w:ascii="Times New Roman" w:hAnsi="Times New Roman" w:cs="Times New Roman"/>
          <w:i/>
          <w:iCs/>
          <w:color w:val="156082" w:themeColor="accent1"/>
        </w:rPr>
        <w:t> for the journal you are submitting to when preparing the PDF version of your manuscript. If </w:t>
      </w:r>
      <w:r w:rsidRPr="00E150CA">
        <w:rPr>
          <w:rFonts w:ascii="Times New Roman" w:hAnsi="Times New Roman" w:cs="Times New Roman"/>
          <w:b/>
          <w:bCs/>
          <w:i/>
          <w:iCs/>
          <w:color w:val="156082" w:themeColor="accent1"/>
        </w:rPr>
        <w:t>double-anonymous</w:t>
      </w:r>
      <w:r w:rsidRPr="00E150CA">
        <w:rPr>
          <w:rFonts w:ascii="Times New Roman" w:hAnsi="Times New Roman" w:cs="Times New Roman"/>
          <w:i/>
          <w:iCs/>
          <w:color w:val="156082" w:themeColor="accent1"/>
        </w:rPr>
        <w:t> then you will need to </w:t>
      </w:r>
      <w:proofErr w:type="spellStart"/>
      <w:r w:rsidRPr="00E150CA">
        <w:fldChar w:fldCharType="begin"/>
      </w:r>
      <w:r w:rsidRPr="00E150CA">
        <w:rPr>
          <w:rFonts w:ascii="Times New Roman" w:hAnsi="Times New Roman" w:cs="Times New Roman"/>
          <w:i/>
          <w:iCs/>
          <w:color w:val="156082" w:themeColor="accent1"/>
        </w:rPr>
        <w:instrText>HYPERLINK "https://publishingsupport.iopscience.iop.org/questions/checklist-for-anonymising-your-manuscript/"</w:instrText>
      </w:r>
      <w:r w:rsidRPr="00E150CA">
        <w:fldChar w:fldCharType="separate"/>
      </w:r>
      <w:r w:rsidRPr="00E150CA">
        <w:rPr>
          <w:rStyle w:val="Hyperlink"/>
          <w:rFonts w:ascii="Times New Roman" w:hAnsi="Times New Roman" w:cs="Times New Roman"/>
          <w:i/>
          <w:iCs/>
          <w:color w:val="156082" w:themeColor="accent1"/>
        </w:rPr>
        <w:t>anonymise</w:t>
      </w:r>
      <w:proofErr w:type="spellEnd"/>
      <w:r w:rsidRPr="00E150CA">
        <w:rPr>
          <w:rStyle w:val="Hyperlink"/>
          <w:rFonts w:ascii="Times New Roman" w:hAnsi="Times New Roman" w:cs="Times New Roman"/>
          <w:i/>
          <w:iCs/>
          <w:color w:val="156082" w:themeColor="accent1"/>
        </w:rPr>
        <w:t xml:space="preserve"> your manuscript</w:t>
      </w:r>
      <w:r w:rsidRPr="00E150CA">
        <w:rPr>
          <w:rStyle w:val="Hyperlink"/>
          <w:rFonts w:ascii="Times New Roman" w:hAnsi="Times New Roman" w:cs="Times New Roman"/>
          <w:i/>
          <w:iCs/>
          <w:color w:val="156082" w:themeColor="accent1"/>
        </w:rPr>
        <w:fldChar w:fldCharType="end"/>
      </w:r>
      <w:r w:rsidRPr="00E150CA">
        <w:rPr>
          <w:rFonts w:ascii="Times New Roman" w:hAnsi="Times New Roman" w:cs="Times New Roman"/>
          <w:i/>
          <w:iCs/>
          <w:color w:val="156082" w:themeColor="accent1"/>
        </w:rPr>
        <w:t>. If</w:t>
      </w:r>
      <w:r w:rsidRPr="00E150CA">
        <w:rPr>
          <w:rFonts w:ascii="Times New Roman" w:hAnsi="Times New Roman" w:cs="Times New Roman"/>
          <w:b/>
          <w:bCs/>
          <w:i/>
          <w:iCs/>
          <w:color w:val="156082" w:themeColor="accent1"/>
        </w:rPr>
        <w:t> single-anonymous </w:t>
      </w:r>
      <w:r w:rsidRPr="00E150CA">
        <w:rPr>
          <w:rFonts w:ascii="Times New Roman" w:hAnsi="Times New Roman" w:cs="Times New Roman"/>
          <w:i/>
          <w:iCs/>
          <w:color w:val="156082" w:themeColor="accent1"/>
        </w:rPr>
        <w:t>then you need to list all authors’ full names and institutions. During the submission process, we recommend you supply </w:t>
      </w:r>
      <w:hyperlink r:id="rId6" w:history="1">
        <w:r w:rsidRPr="00E150CA">
          <w:rPr>
            <w:rStyle w:val="Hyperlink"/>
            <w:rFonts w:ascii="Times New Roman" w:hAnsi="Times New Roman" w:cs="Times New Roman"/>
            <w:i/>
            <w:iCs/>
            <w:color w:val="156082" w:themeColor="accent1"/>
          </w:rPr>
          <w:t>ORCID</w:t>
        </w:r>
      </w:hyperlink>
      <w:r w:rsidRPr="00E150CA">
        <w:rPr>
          <w:rFonts w:ascii="Times New Roman" w:hAnsi="Times New Roman" w:cs="Times New Roman"/>
          <w:i/>
          <w:iCs/>
          <w:color w:val="156082" w:themeColor="accent1"/>
        </w:rPr>
        <w:t xml:space="preserve"> identifiers for all authors to avoid ambiguity. We encourage authors to make specific attributions of contribution and responsibility in the acknowledgements of the article, otherwise all co-authors will be taken to share full responsibility for </w:t>
      </w:r>
      <w:proofErr w:type="gramStart"/>
      <w:r w:rsidRPr="00E150CA">
        <w:rPr>
          <w:rFonts w:ascii="Times New Roman" w:hAnsi="Times New Roman" w:cs="Times New Roman"/>
          <w:i/>
          <w:iCs/>
          <w:color w:val="156082" w:themeColor="accent1"/>
        </w:rPr>
        <w:t>all of</w:t>
      </w:r>
      <w:proofErr w:type="gramEnd"/>
      <w:r w:rsidRPr="00E150CA">
        <w:rPr>
          <w:rFonts w:ascii="Times New Roman" w:hAnsi="Times New Roman" w:cs="Times New Roman"/>
          <w:i/>
          <w:iCs/>
          <w:color w:val="156082" w:themeColor="accent1"/>
        </w:rPr>
        <w:t xml:space="preserve"> the paper. Authors may wish to use a taxonomy such as </w:t>
      </w:r>
      <w:proofErr w:type="spellStart"/>
      <w:r>
        <w:fldChar w:fldCharType="begin"/>
      </w:r>
      <w:r>
        <w:instrText>HYPERLINK "http://credit.niso.org/"</w:instrText>
      </w:r>
      <w:r>
        <w:fldChar w:fldCharType="separate"/>
      </w:r>
      <w:r w:rsidRPr="00E150CA">
        <w:rPr>
          <w:rStyle w:val="Hyperlink"/>
          <w:rFonts w:ascii="Times New Roman" w:hAnsi="Times New Roman" w:cs="Times New Roman"/>
          <w:i/>
          <w:iCs/>
          <w:color w:val="156082" w:themeColor="accent1"/>
        </w:rPr>
        <w:t>CRediT</w:t>
      </w:r>
      <w:proofErr w:type="spellEnd"/>
      <w:r>
        <w:rPr>
          <w:rStyle w:val="Hyperlink"/>
          <w:rFonts w:ascii="Times New Roman" w:hAnsi="Times New Roman" w:cs="Times New Roman"/>
          <w:i/>
          <w:iCs/>
          <w:color w:val="156082" w:themeColor="accent1"/>
        </w:rPr>
        <w:fldChar w:fldCharType="end"/>
      </w:r>
      <w:r w:rsidRPr="00E150CA">
        <w:rPr>
          <w:rFonts w:ascii="Times New Roman" w:hAnsi="Times New Roman" w:cs="Times New Roman"/>
          <w:i/>
          <w:iCs/>
          <w:color w:val="156082" w:themeColor="accent1"/>
        </w:rPr>
        <w:t> to describe the contributions of each author. More guidance on authorship, including the responsibilities of the corresponding author, can be found </w:t>
      </w:r>
      <w:hyperlink r:id="rId7" w:history="1">
        <w:r w:rsidRPr="00E150CA">
          <w:rPr>
            <w:rStyle w:val="Hyperlink"/>
            <w:rFonts w:ascii="Times New Roman" w:hAnsi="Times New Roman" w:cs="Times New Roman"/>
            <w:i/>
            <w:iCs/>
            <w:color w:val="156082" w:themeColor="accent1"/>
          </w:rPr>
          <w:t>here</w:t>
        </w:r>
      </w:hyperlink>
      <w:r w:rsidRPr="00E150CA">
        <w:rPr>
          <w:rFonts w:ascii="Times New Roman" w:hAnsi="Times New Roman" w:cs="Times New Roman"/>
          <w:i/>
          <w:iCs/>
          <w:color w:val="156082" w:themeColor="accent1"/>
        </w:rPr>
        <w:t>.</w:t>
      </w:r>
    </w:p>
    <w:p w14:paraId="0151347F" w14:textId="77777777" w:rsidR="00FA2EC9" w:rsidRPr="00E150CA" w:rsidRDefault="00FA2EC9" w:rsidP="00551D54">
      <w:pPr>
        <w:rPr>
          <w:rFonts w:ascii="Times New Roman" w:hAnsi="Times New Roman" w:cs="Times New Roman"/>
        </w:rPr>
      </w:pPr>
    </w:p>
    <w:p w14:paraId="1D3C241D"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Keywords</w:t>
      </w:r>
    </w:p>
    <w:p w14:paraId="73C38941" w14:textId="41D35685" w:rsidR="00DA7A83" w:rsidRPr="00E150CA" w:rsidRDefault="00DA7A83" w:rsidP="00551D54">
      <w:pPr>
        <w:rPr>
          <w:rFonts w:ascii="Times New Roman" w:hAnsi="Times New Roman" w:cs="Times New Roman"/>
        </w:rPr>
      </w:pPr>
      <w:r w:rsidRPr="00E150CA">
        <w:rPr>
          <w:rFonts w:ascii="Times New Roman" w:hAnsi="Times New Roman" w:cs="Times New Roman"/>
        </w:rPr>
        <w:t>Health impact assessment, greenspace, blue space, Normalized Difference Vegetation Index, NDVI, urban nature</w:t>
      </w:r>
    </w:p>
    <w:p w14:paraId="30D63833" w14:textId="77777777" w:rsidR="00DA7A83" w:rsidRPr="00E150CA" w:rsidRDefault="00DA7A83" w:rsidP="00551D54">
      <w:pPr>
        <w:rPr>
          <w:rFonts w:ascii="Times New Roman" w:hAnsi="Times New Roman" w:cs="Times New Roman"/>
        </w:rPr>
      </w:pPr>
    </w:p>
    <w:p w14:paraId="27422362"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When you submit an article, you will be asked to supply some keywords relevant to your work. If your article is accepted for publication, we will display these keywords on the published article, and they will be used to index your article, helping to make it more discoverable. When choosing keywords, think about the kinds of terms you would use when searching online for related articles.</w:t>
      </w:r>
    </w:p>
    <w:p w14:paraId="708DDE7F" w14:textId="77777777" w:rsidR="00FA2EC9" w:rsidRPr="00E150CA" w:rsidRDefault="00FA2EC9" w:rsidP="00551D54">
      <w:pPr>
        <w:rPr>
          <w:rFonts w:ascii="Times New Roman" w:hAnsi="Times New Roman" w:cs="Times New Roman"/>
        </w:rPr>
      </w:pPr>
    </w:p>
    <w:p w14:paraId="2F543EF2"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Abstract</w:t>
      </w:r>
    </w:p>
    <w:p w14:paraId="4DFF834F" w14:textId="77777777" w:rsidR="00551D54" w:rsidRPr="00A37A37" w:rsidRDefault="00551D54" w:rsidP="00551D54">
      <w:pPr>
        <w:rPr>
          <w:rFonts w:ascii="Times New Roman" w:hAnsi="Times New Roman" w:cs="Times New Roman"/>
          <w:i/>
          <w:iCs/>
          <w:color w:val="156082" w:themeColor="accent1"/>
        </w:rPr>
      </w:pPr>
      <w:r w:rsidRPr="00A37A37">
        <w:rPr>
          <w:rFonts w:ascii="Times New Roman" w:hAnsi="Times New Roman" w:cs="Times New Roman"/>
          <w:i/>
          <w:iCs/>
          <w:color w:val="156082" w:themeColor="accent1"/>
        </w:rPr>
        <w:t xml:space="preserve">Your abstract should give readers </w:t>
      </w:r>
      <w:proofErr w:type="gramStart"/>
      <w:r w:rsidRPr="00A37A37">
        <w:rPr>
          <w:rFonts w:ascii="Times New Roman" w:hAnsi="Times New Roman" w:cs="Times New Roman"/>
          <w:i/>
          <w:iCs/>
          <w:color w:val="156082" w:themeColor="accent1"/>
        </w:rPr>
        <w:t>a brief summary</w:t>
      </w:r>
      <w:proofErr w:type="gramEnd"/>
      <w:r w:rsidRPr="00A37A37">
        <w:rPr>
          <w:rFonts w:ascii="Times New Roman" w:hAnsi="Times New Roman" w:cs="Times New Roman"/>
          <w:i/>
          <w:iCs/>
          <w:color w:val="156082" w:themeColor="accent1"/>
        </w:rPr>
        <w:t xml:space="preserve"> of your article. It should concisely describe the contents of your </w:t>
      </w:r>
      <w:proofErr w:type="gramStart"/>
      <w:r w:rsidRPr="00A37A37">
        <w:rPr>
          <w:rFonts w:ascii="Times New Roman" w:hAnsi="Times New Roman" w:cs="Times New Roman"/>
          <w:i/>
          <w:iCs/>
          <w:color w:val="156082" w:themeColor="accent1"/>
        </w:rPr>
        <w:t>article, and</w:t>
      </w:r>
      <w:proofErr w:type="gramEnd"/>
      <w:r w:rsidRPr="00A37A37">
        <w:rPr>
          <w:rFonts w:ascii="Times New Roman" w:hAnsi="Times New Roman" w:cs="Times New Roman"/>
          <w:i/>
          <w:iCs/>
          <w:color w:val="156082" w:themeColor="accent1"/>
        </w:rPr>
        <w:t xml:space="preserve"> include key terms (especially in the first two sentences, to increase search engine discoverability). It should be informative, accessible and not only indicate the general aims and scope of the article, but also state the methodology used, main results </w:t>
      </w:r>
      <w:proofErr w:type="gramStart"/>
      <w:r w:rsidRPr="00A37A37">
        <w:rPr>
          <w:rFonts w:ascii="Times New Roman" w:hAnsi="Times New Roman" w:cs="Times New Roman"/>
          <w:i/>
          <w:iCs/>
          <w:color w:val="156082" w:themeColor="accent1"/>
        </w:rPr>
        <w:t>obtained</w:t>
      </w:r>
      <w:proofErr w:type="gramEnd"/>
      <w:r w:rsidRPr="00A37A37">
        <w:rPr>
          <w:rFonts w:ascii="Times New Roman" w:hAnsi="Times New Roman" w:cs="Times New Roman"/>
          <w:i/>
          <w:iCs/>
          <w:color w:val="156082" w:themeColor="accent1"/>
        </w:rPr>
        <w:t xml:space="preserve"> and conclusions drawn. The abstract should be complete in itself; it should not contain undefined acronyms/abbreviations and no table numbers, figure numbers, references or equations should be referred to. Articles relying on clinical trials should quote the trial registration number at the end of the abstract. The abstract should be suitable for direct </w:t>
      </w:r>
      <w:r w:rsidRPr="00A37A37">
        <w:rPr>
          <w:rFonts w:ascii="Times New Roman" w:hAnsi="Times New Roman" w:cs="Times New Roman"/>
          <w:i/>
          <w:iCs/>
          <w:color w:val="156082" w:themeColor="accent1"/>
        </w:rPr>
        <w:lastRenderedPageBreak/>
        <w:t>inclusion in abstracting services and should not normally be more than 300 words. If you submit an article with an abstract longer than 300 words, we may rescind the manuscript and ask you to re-write it. Some journals ask for abstracts to follow a particular structure. Check the </w:t>
      </w:r>
      <w:hyperlink r:id="rId8" w:history="1">
        <w:r w:rsidRPr="00A37A37">
          <w:rPr>
            <w:rStyle w:val="Hyperlink"/>
            <w:rFonts w:ascii="Times New Roman" w:hAnsi="Times New Roman" w:cs="Times New Roman"/>
            <w:i/>
            <w:iCs/>
            <w:color w:val="156082" w:themeColor="accent1"/>
          </w:rPr>
          <w:t>instructions for specific journals</w:t>
        </w:r>
      </w:hyperlink>
      <w:r w:rsidRPr="00A37A37">
        <w:rPr>
          <w:rFonts w:ascii="Times New Roman" w:hAnsi="Times New Roman" w:cs="Times New Roman"/>
          <w:i/>
          <w:iCs/>
          <w:color w:val="156082" w:themeColor="accent1"/>
        </w:rPr>
        <w:t> to see if you need to submit a structured abstract.</w:t>
      </w:r>
    </w:p>
    <w:p w14:paraId="7085F74E" w14:textId="77777777" w:rsidR="00FA2EC9" w:rsidRPr="00E150CA" w:rsidRDefault="00FA2EC9" w:rsidP="00551D54">
      <w:pPr>
        <w:rPr>
          <w:rFonts w:ascii="Times New Roman" w:hAnsi="Times New Roman" w:cs="Times New Roman"/>
        </w:rPr>
      </w:pPr>
    </w:p>
    <w:p w14:paraId="5E5D4CC8"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Introduction</w:t>
      </w:r>
    </w:p>
    <w:p w14:paraId="3C5781C1"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 xml:space="preserve">This should be concise and describe the nature of the problem under investigation and its background. It should also set your work in the context of previous research, citing relevant references. Introductions should expand on highly </w:t>
      </w:r>
      <w:proofErr w:type="spellStart"/>
      <w:r w:rsidRPr="00E150CA">
        <w:rPr>
          <w:rFonts w:ascii="Times New Roman" w:hAnsi="Times New Roman" w:cs="Times New Roman"/>
          <w:i/>
          <w:iCs/>
          <w:color w:val="156082" w:themeColor="accent1"/>
        </w:rPr>
        <w:t>specialised</w:t>
      </w:r>
      <w:proofErr w:type="spellEnd"/>
      <w:r w:rsidRPr="00E150CA">
        <w:rPr>
          <w:rFonts w:ascii="Times New Roman" w:hAnsi="Times New Roman" w:cs="Times New Roman"/>
          <w:i/>
          <w:iCs/>
          <w:color w:val="156082" w:themeColor="accent1"/>
        </w:rPr>
        <w:t xml:space="preserve"> terms and abbreviations used in the article to make it accessible for readers.</w:t>
      </w:r>
    </w:p>
    <w:p w14:paraId="7A313FEB" w14:textId="77777777" w:rsidR="00751D10" w:rsidRPr="00E150CA" w:rsidRDefault="00751D10" w:rsidP="00551D54">
      <w:pPr>
        <w:rPr>
          <w:rFonts w:ascii="Times New Roman" w:hAnsi="Times New Roman" w:cs="Times New Roman"/>
        </w:rPr>
      </w:pPr>
    </w:p>
    <w:p w14:paraId="3818731C" w14:textId="4B6ACEC1" w:rsidR="006B51CC" w:rsidRPr="00E150CA" w:rsidRDefault="00377F9E" w:rsidP="007B6224">
      <w:pPr>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Over</w:t>
      </w:r>
      <w:r w:rsidR="00751D10" w:rsidRPr="00E150CA">
        <w:rPr>
          <w:rFonts w:ascii="Times New Roman" w:hAnsi="Times New Roman" w:cs="Times New Roman"/>
          <w:color w:val="000000"/>
          <w:shd w:val="clear" w:color="auto" w:fill="FFFFFF"/>
        </w:rPr>
        <w:t xml:space="preserve"> half of the world’s population </w:t>
      </w:r>
      <w:r w:rsidRPr="00E150CA">
        <w:rPr>
          <w:rFonts w:ascii="Times New Roman" w:hAnsi="Times New Roman" w:cs="Times New Roman"/>
          <w:color w:val="000000"/>
          <w:shd w:val="clear" w:color="auto" w:fill="FFFFFF"/>
        </w:rPr>
        <w:t>lives</w:t>
      </w:r>
      <w:r w:rsidR="00751D10" w:rsidRPr="00E150CA">
        <w:rPr>
          <w:rFonts w:ascii="Times New Roman" w:hAnsi="Times New Roman" w:cs="Times New Roman"/>
          <w:color w:val="000000"/>
          <w:shd w:val="clear" w:color="auto" w:fill="FFFFFF"/>
        </w:rPr>
        <w:t xml:space="preserve"> in cities </w:t>
      </w:r>
      <w:r w:rsidRPr="00E150CA">
        <w:rPr>
          <w:rFonts w:ascii="Times New Roman" w:hAnsi="Times New Roman" w:cs="Times New Roman"/>
          <w:color w:val="000000"/>
          <w:shd w:val="clear" w:color="auto" w:fill="FFFFFF"/>
        </w:rPr>
        <w:t xml:space="preserve">and this </w:t>
      </w:r>
      <w:r w:rsidR="00751D10" w:rsidRPr="00E150CA">
        <w:rPr>
          <w:rFonts w:ascii="Times New Roman" w:hAnsi="Times New Roman" w:cs="Times New Roman"/>
          <w:color w:val="000000"/>
          <w:shd w:val="clear" w:color="auto" w:fill="FFFFFF"/>
        </w:rPr>
        <w:t xml:space="preserve">share is predicted to grow to two-thirds by 2050 </w:t>
      </w:r>
      <w:r w:rsidR="00751D10" w:rsidRPr="00E150CA">
        <w:rPr>
          <w:rFonts w:ascii="Times New Roman" w:hAnsi="Times New Roman" w:cs="Times New Roman"/>
          <w:color w:val="000000"/>
          <w:shd w:val="clear" w:color="auto" w:fill="FFFFFF"/>
        </w:rPr>
        <w:fldChar w:fldCharType="begin"/>
      </w:r>
      <w:r w:rsidR="006E54D2" w:rsidRPr="00E150CA">
        <w:rPr>
          <w:rFonts w:ascii="Times New Roman" w:hAnsi="Times New Roman" w:cs="Times New Roman"/>
          <w:color w:val="000000"/>
          <w:shd w:val="clear" w:color="auto" w:fill="FFFFFF"/>
        </w:rPr>
        <w:instrText xml:space="preserve"> ADDIN ZOTERO_ITEM CSL_CITATION {"citationID":"GKQw4mq9","properties":{"formattedCitation":"\\super 1\\nosupersub{}","plainCitation":"1","noteIndex":0},"citationItems":[{"id":193,"uris":["http://zotero.org/users/10202395/items/RYEUYJAT"],"itemData":{"id":193,"type":"report","event-place":"Washington, DC","publisher":"World Bank","publisher-place":"Washington, DC","title":"Demographic Trends and Urbanization","author":[{"literal":"Alex Baeumler"},{"literal":"Olivia D’Aoust"},{"literal":"Maitreyi Das"},{"literal":"Annie Gapihan"},{"literal":"Soraya Goga"},{"literal":"Carina Lakovits"},{"literal":"Paula Restrepo Cavadid"},{"literal":"Gayatri Singh"},{"literal":"Horacio Terraza"}],"issued":{"date-parts":[["2021"]]}}}],"schema":"https://github.com/citation-style-language/schema/raw/master/csl-citation.json"} </w:instrText>
      </w:r>
      <w:r w:rsidR="00751D10" w:rsidRPr="00E150CA">
        <w:rPr>
          <w:rFonts w:ascii="Times New Roman" w:hAnsi="Times New Roman" w:cs="Times New Roman"/>
          <w:color w:val="000000"/>
          <w:shd w:val="clear" w:color="auto" w:fill="FFFFFF"/>
        </w:rPr>
        <w:fldChar w:fldCharType="separate"/>
      </w:r>
      <w:r w:rsidR="006E54D2" w:rsidRPr="00E150CA">
        <w:rPr>
          <w:rFonts w:ascii="Times New Roman" w:hAnsi="Times New Roman" w:cs="Times New Roman"/>
          <w:color w:val="000000"/>
          <w:vertAlign w:val="superscript"/>
        </w:rPr>
        <w:t>1</w:t>
      </w:r>
      <w:r w:rsidR="00751D10" w:rsidRPr="00E150CA">
        <w:rPr>
          <w:rFonts w:ascii="Times New Roman" w:hAnsi="Times New Roman" w:cs="Times New Roman"/>
          <w:color w:val="000000"/>
          <w:shd w:val="clear" w:color="auto" w:fill="FFFFFF"/>
        </w:rPr>
        <w:fldChar w:fldCharType="end"/>
      </w:r>
      <w:r w:rsidR="00751D10" w:rsidRPr="00E150CA">
        <w:rPr>
          <w:rFonts w:ascii="Times New Roman" w:hAnsi="Times New Roman" w:cs="Times New Roman"/>
          <w:color w:val="000000"/>
          <w:shd w:val="clear" w:color="auto" w:fill="FFFFFF"/>
        </w:rPr>
        <w:t>.</w:t>
      </w:r>
      <w:r w:rsidR="00751D10" w:rsidRPr="00E150CA">
        <w:rPr>
          <w:rFonts w:ascii="Times New Roman" w:hAnsi="Times New Roman" w:cs="Times New Roman"/>
          <w:color w:val="000000"/>
          <w:shd w:val="clear" w:color="auto" w:fill="FFFFFF"/>
          <w:vertAlign w:val="superscript"/>
        </w:rPr>
        <w:t xml:space="preserve"> </w:t>
      </w:r>
      <w:r w:rsidRPr="00E150CA">
        <w:rPr>
          <w:rFonts w:ascii="Times New Roman" w:hAnsi="Times New Roman" w:cs="Times New Roman"/>
          <w:color w:val="000000"/>
          <w:shd w:val="clear" w:color="auto" w:fill="FFFFFF"/>
        </w:rPr>
        <w:t>U</w:t>
      </w:r>
      <w:r w:rsidR="00751D10" w:rsidRPr="00E150CA">
        <w:rPr>
          <w:rFonts w:ascii="Times New Roman" w:hAnsi="Times New Roman" w:cs="Times New Roman"/>
          <w:color w:val="000000"/>
          <w:shd w:val="clear" w:color="auto" w:fill="FFFFFF"/>
        </w:rPr>
        <w:t xml:space="preserve">rbanization </w:t>
      </w:r>
      <w:r w:rsidRPr="00E150CA">
        <w:rPr>
          <w:rFonts w:ascii="Times New Roman" w:hAnsi="Times New Roman" w:cs="Times New Roman"/>
          <w:color w:val="000000"/>
          <w:shd w:val="clear" w:color="auto" w:fill="FFFFFF"/>
        </w:rPr>
        <w:t xml:space="preserve">has been accompanied by the </w:t>
      </w:r>
      <w:r w:rsidR="00751D10" w:rsidRPr="00E150CA">
        <w:rPr>
          <w:rFonts w:ascii="Times New Roman" w:hAnsi="Times New Roman" w:cs="Times New Roman"/>
          <w:color w:val="000000"/>
          <w:shd w:val="clear" w:color="auto" w:fill="FFFFFF"/>
        </w:rPr>
        <w:t xml:space="preserve">pollution of natural resources and destruction of natural environments. It is estimated that cities are responsible for over 80% of global greenhouse gas emissions </w:t>
      </w:r>
      <w:r w:rsidR="00751D10" w:rsidRPr="00E150CA">
        <w:rPr>
          <w:rFonts w:ascii="Times New Roman" w:hAnsi="Times New Roman" w:cs="Times New Roman"/>
          <w:color w:val="000000"/>
          <w:shd w:val="clear" w:color="auto" w:fill="FFFFFF"/>
        </w:rPr>
        <w:fldChar w:fldCharType="begin"/>
      </w:r>
      <w:r w:rsidR="006E54D2" w:rsidRPr="00E150CA">
        <w:rPr>
          <w:rFonts w:ascii="Times New Roman" w:hAnsi="Times New Roman" w:cs="Times New Roman"/>
          <w:color w:val="000000"/>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00751D10" w:rsidRPr="00E150CA">
        <w:rPr>
          <w:rFonts w:ascii="Times New Roman" w:hAnsi="Times New Roman" w:cs="Times New Roman"/>
          <w:color w:val="000000"/>
          <w:shd w:val="clear" w:color="auto" w:fill="FFFFFF"/>
        </w:rPr>
        <w:fldChar w:fldCharType="separate"/>
      </w:r>
      <w:r w:rsidR="006E54D2" w:rsidRPr="00E150CA">
        <w:rPr>
          <w:rFonts w:ascii="Times New Roman" w:hAnsi="Times New Roman" w:cs="Times New Roman"/>
          <w:color w:val="000000"/>
          <w:vertAlign w:val="superscript"/>
        </w:rPr>
        <w:t>2</w:t>
      </w:r>
      <w:r w:rsidR="00751D10" w:rsidRPr="00E150CA">
        <w:rPr>
          <w:rFonts w:ascii="Times New Roman" w:hAnsi="Times New Roman" w:cs="Times New Roman"/>
          <w:color w:val="000000"/>
          <w:shd w:val="clear" w:color="auto" w:fill="FFFFFF"/>
        </w:rPr>
        <w:fldChar w:fldCharType="end"/>
      </w:r>
      <w:r w:rsidR="00751D10" w:rsidRPr="00E150CA">
        <w:rPr>
          <w:rFonts w:ascii="Times New Roman" w:hAnsi="Times New Roman" w:cs="Times New Roman"/>
          <w:color w:val="000000"/>
          <w:shd w:val="clear" w:color="auto" w:fill="FFFFFF"/>
        </w:rPr>
        <w:t xml:space="preserve">. Although cities are the biggest contributors to climate change, they can also be effective entities of change. </w:t>
      </w:r>
      <w:r w:rsidR="0088371A" w:rsidRPr="00E150CA">
        <w:rPr>
          <w:rFonts w:ascii="Times New Roman" w:hAnsi="Times New Roman" w:cs="Times New Roman"/>
          <w:color w:val="000000"/>
          <w:shd w:val="clear" w:color="auto" w:fill="FFFFFF"/>
        </w:rPr>
        <w:t>Cities</w:t>
      </w:r>
      <w:r w:rsidR="00751D10" w:rsidRPr="00E150CA">
        <w:rPr>
          <w:rFonts w:ascii="Times New Roman" w:hAnsi="Times New Roman" w:cs="Times New Roman"/>
          <w:color w:val="000000"/>
          <w:shd w:val="clear" w:color="auto" w:fill="FFFFFF"/>
        </w:rPr>
        <w:t xml:space="preserve"> </w:t>
      </w:r>
      <w:r w:rsidR="0088371A" w:rsidRPr="00E150CA">
        <w:rPr>
          <w:rFonts w:ascii="Times New Roman" w:hAnsi="Times New Roman" w:cs="Times New Roman"/>
          <w:color w:val="000000"/>
          <w:shd w:val="clear" w:color="auto" w:fill="FFFFFF"/>
        </w:rPr>
        <w:t xml:space="preserve">can </w:t>
      </w:r>
      <w:r w:rsidR="00751D10" w:rsidRPr="00E150CA">
        <w:rPr>
          <w:rFonts w:ascii="Times New Roman" w:hAnsi="Times New Roman" w:cs="Times New Roman"/>
          <w:color w:val="000000"/>
          <w:shd w:val="clear" w:color="auto" w:fill="FFFFFF"/>
        </w:rPr>
        <w:t xml:space="preserve">provide a large enough scale to create </w:t>
      </w:r>
      <w:r w:rsidR="0088371A" w:rsidRPr="00E150CA">
        <w:rPr>
          <w:rFonts w:ascii="Times New Roman" w:hAnsi="Times New Roman" w:cs="Times New Roman"/>
          <w:color w:val="000000"/>
          <w:shd w:val="clear" w:color="auto" w:fill="FFFFFF"/>
        </w:rPr>
        <w:t>meaningful</w:t>
      </w:r>
      <w:r w:rsidR="00751D10" w:rsidRPr="00E150CA">
        <w:rPr>
          <w:rFonts w:ascii="Times New Roman" w:hAnsi="Times New Roman" w:cs="Times New Roman"/>
          <w:color w:val="000000"/>
          <w:shd w:val="clear" w:color="auto" w:fill="FFFFFF"/>
        </w:rPr>
        <w:t xml:space="preserve"> change while remaining small enough to test policies that might not be feasible at a national scale. </w:t>
      </w:r>
      <w:r w:rsidR="009E573D" w:rsidRPr="00E150CA">
        <w:rPr>
          <w:rFonts w:ascii="Times New Roman" w:hAnsi="Times New Roman" w:cs="Times New Roman"/>
          <w:color w:val="000000" w:themeColor="text1"/>
        </w:rPr>
        <w:t xml:space="preserve">City-level interventions to increase urban nature offer a climate adaptation strategy with health advantages.  </w:t>
      </w:r>
    </w:p>
    <w:p w14:paraId="5E845BB9" w14:textId="77777777" w:rsidR="006B51CC" w:rsidRPr="00E150CA" w:rsidRDefault="006B51CC" w:rsidP="006B51CC">
      <w:pPr>
        <w:ind w:firstLine="720"/>
        <w:rPr>
          <w:rFonts w:ascii="Times New Roman" w:hAnsi="Times New Roman" w:cs="Times New Roman"/>
          <w:color w:val="000000"/>
          <w:shd w:val="clear" w:color="auto" w:fill="FFFFFF"/>
        </w:rPr>
      </w:pPr>
    </w:p>
    <w:p w14:paraId="7A9F05E9" w14:textId="5FFD1D72" w:rsidR="006E54D2" w:rsidRPr="00E150CA" w:rsidRDefault="006B51CC" w:rsidP="007B6224">
      <w:pPr>
        <w:rPr>
          <w:rFonts w:ascii="Times New Roman" w:hAnsi="Times New Roman" w:cs="Times New Roman"/>
          <w:color w:val="000000" w:themeColor="text1"/>
        </w:rPr>
      </w:pPr>
      <w:r w:rsidRPr="00E150CA">
        <w:rPr>
          <w:rFonts w:ascii="Times New Roman" w:hAnsi="Times New Roman" w:cs="Times New Roman"/>
          <w:color w:val="000000"/>
          <w:shd w:val="clear" w:color="auto" w:fill="FFFFFF"/>
        </w:rPr>
        <w:t>U</w:t>
      </w:r>
      <w:r w:rsidR="000C6488" w:rsidRPr="00E150CA">
        <w:rPr>
          <w:rFonts w:ascii="Times New Roman" w:hAnsi="Times New Roman" w:cs="Times New Roman"/>
          <w:color w:val="000000"/>
          <w:shd w:val="clear" w:color="auto" w:fill="FFFFFF"/>
        </w:rPr>
        <w:t>rban nature</w:t>
      </w:r>
      <w:r w:rsidR="00DB4DCA" w:rsidRPr="00E150CA">
        <w:rPr>
          <w:rFonts w:ascii="Times New Roman" w:hAnsi="Times New Roman" w:cs="Times New Roman"/>
          <w:color w:val="000000"/>
          <w:shd w:val="clear" w:color="auto" w:fill="FFFFFF"/>
        </w:rPr>
        <w:t>, including green</w:t>
      </w:r>
      <w:r w:rsidR="004D4795" w:rsidRPr="00E150CA">
        <w:rPr>
          <w:rFonts w:ascii="Times New Roman" w:hAnsi="Times New Roman" w:cs="Times New Roman"/>
          <w:color w:val="000000"/>
          <w:shd w:val="clear" w:color="auto" w:fill="FFFFFF"/>
        </w:rPr>
        <w:t xml:space="preserve"> (e.g. parks, tree-lined streets)</w:t>
      </w:r>
      <w:r w:rsidR="00DB4DCA" w:rsidRPr="00E150CA">
        <w:rPr>
          <w:rFonts w:ascii="Times New Roman" w:hAnsi="Times New Roman" w:cs="Times New Roman"/>
          <w:color w:val="000000"/>
          <w:shd w:val="clear" w:color="auto" w:fill="FFFFFF"/>
        </w:rPr>
        <w:t xml:space="preserve"> and blue</w:t>
      </w:r>
      <w:r w:rsidR="004D4795" w:rsidRPr="00E150CA">
        <w:rPr>
          <w:rFonts w:ascii="Times New Roman" w:hAnsi="Times New Roman" w:cs="Times New Roman"/>
          <w:color w:val="000000"/>
          <w:shd w:val="clear" w:color="auto" w:fill="FFFFFF"/>
        </w:rPr>
        <w:t xml:space="preserve"> (e.g. coasts, rivers)</w:t>
      </w:r>
      <w:r w:rsidR="00DB4DCA" w:rsidRPr="00E150CA">
        <w:rPr>
          <w:rFonts w:ascii="Times New Roman" w:hAnsi="Times New Roman" w:cs="Times New Roman"/>
          <w:color w:val="000000"/>
          <w:shd w:val="clear" w:color="auto" w:fill="FFFFFF"/>
        </w:rPr>
        <w:t xml:space="preserve"> space,</w:t>
      </w:r>
      <w:r w:rsidR="000C6488" w:rsidRPr="00E150CA">
        <w:rPr>
          <w:rFonts w:ascii="Times New Roman" w:hAnsi="Times New Roman" w:cs="Times New Roman"/>
          <w:color w:val="000000"/>
          <w:shd w:val="clear" w:color="auto" w:fill="FFFFFF"/>
        </w:rPr>
        <w:t xml:space="preserve"> </w:t>
      </w:r>
      <w:r w:rsidR="007A26CC" w:rsidRPr="00E150CA">
        <w:rPr>
          <w:rFonts w:ascii="Times New Roman" w:hAnsi="Times New Roman" w:cs="Times New Roman"/>
          <w:color w:val="000000"/>
          <w:shd w:val="clear" w:color="auto" w:fill="FFFFFF"/>
        </w:rPr>
        <w:t>has been</w:t>
      </w:r>
      <w:r w:rsidR="000C6488" w:rsidRPr="00E150CA">
        <w:rPr>
          <w:rFonts w:ascii="Times New Roman" w:hAnsi="Times New Roman" w:cs="Times New Roman"/>
          <w:color w:val="000000"/>
          <w:shd w:val="clear" w:color="auto" w:fill="FFFFFF"/>
        </w:rPr>
        <w:t xml:space="preserve"> linked to </w:t>
      </w:r>
      <w:r w:rsidR="004B4DE1" w:rsidRPr="00E150CA">
        <w:rPr>
          <w:rFonts w:ascii="Times New Roman" w:hAnsi="Times New Roman" w:cs="Times New Roman"/>
          <w:color w:val="000000"/>
          <w:shd w:val="clear" w:color="auto" w:fill="FFFFFF"/>
        </w:rPr>
        <w:t xml:space="preserve">both </w:t>
      </w:r>
      <w:r w:rsidR="00EA130A" w:rsidRPr="00E150CA">
        <w:rPr>
          <w:rFonts w:ascii="Times New Roman" w:hAnsi="Times New Roman" w:cs="Times New Roman"/>
          <w:color w:val="000000"/>
          <w:shd w:val="clear" w:color="auto" w:fill="FFFFFF"/>
        </w:rPr>
        <w:t xml:space="preserve">improvements in </w:t>
      </w:r>
      <w:r w:rsidR="000C6488" w:rsidRPr="00E150CA">
        <w:rPr>
          <w:rFonts w:ascii="Times New Roman" w:hAnsi="Times New Roman" w:cs="Times New Roman"/>
          <w:color w:val="000000"/>
          <w:shd w:val="clear" w:color="auto" w:fill="FFFFFF"/>
        </w:rPr>
        <w:t xml:space="preserve">health </w:t>
      </w:r>
      <w:r w:rsidR="004B4DE1" w:rsidRPr="00E150CA">
        <w:rPr>
          <w:rFonts w:ascii="Times New Roman" w:hAnsi="Times New Roman" w:cs="Times New Roman"/>
          <w:color w:val="000000"/>
          <w:shd w:val="clear" w:color="auto" w:fill="FFFFFF"/>
        </w:rPr>
        <w:t>and</w:t>
      </w:r>
      <w:r w:rsidR="000C6488" w:rsidRPr="00E150CA">
        <w:rPr>
          <w:rFonts w:ascii="Times New Roman" w:hAnsi="Times New Roman" w:cs="Times New Roman"/>
          <w:color w:val="000000"/>
          <w:shd w:val="clear" w:color="auto" w:fill="FFFFFF"/>
        </w:rPr>
        <w:t xml:space="preserve"> climate resilience.</w:t>
      </w:r>
      <w:r w:rsidR="007A26CC" w:rsidRPr="00E150CA">
        <w:rPr>
          <w:rFonts w:ascii="Times New Roman" w:hAnsi="Times New Roman" w:cs="Times New Roman"/>
          <w:color w:val="000000"/>
          <w:shd w:val="clear" w:color="auto" w:fill="FFFFFF"/>
        </w:rPr>
        <w:t xml:space="preserve"> </w:t>
      </w:r>
      <w:r w:rsidR="006E54D2" w:rsidRPr="00E150CA">
        <w:rPr>
          <w:rFonts w:ascii="Times New Roman" w:hAnsi="Times New Roman" w:cs="Times New Roman"/>
          <w:color w:val="000000" w:themeColor="text1"/>
        </w:rPr>
        <w:t xml:space="preserve">Greenspace is associated with improved mental and physical health, including reduced all-cause mortality </w:t>
      </w:r>
      <w:r w:rsidR="006E54D2" w:rsidRPr="00E150CA">
        <w:rPr>
          <w:rFonts w:ascii="Times New Roman" w:hAnsi="Times New Roman" w:cs="Times New Roman"/>
          <w:color w:val="000000" w:themeColor="text1"/>
        </w:rPr>
        <w:fldChar w:fldCharType="begin"/>
      </w:r>
      <w:r w:rsidR="006E54D2" w:rsidRPr="00E150CA">
        <w:rPr>
          <w:rFonts w:ascii="Times New Roman" w:hAnsi="Times New Roman" w:cs="Times New Roman"/>
          <w:color w:val="000000" w:themeColor="text1"/>
        </w:rPr>
        <w:instrText xml:space="preserve"> ADDIN ZOTERO_ITEM CSL_CITATION {"citationID":"V8TDklpW","properties":{"formattedCitation":"\\super 3\\nosupersub{}","plainCitation":"3","noteIndex":0},"citationItems":[{"id":444,"uris":["http://zotero.org/users/10202395/items/569PGLBM"],"itemData":{"id":444,"type":"article-journal","container-title":"The Innovation","DOI":"10.1016/j.xinn.2021.100164","ISSN":"26666758","issue":"4","journalAbbreviation":"The Innovation","language":"en","page":"100164","source":"DOI.org (Crossref)","title":"Greenspace and human health: An umbrella review","title-short":"Greenspace and human health","volume":"2","author":[{"family":"Yang","given":"Bo-Yi"},{"family":"Zhao","given":"Tianyu"},{"family":"Hu","given":"Li-Xin"},{"family":"Browning","given":"Matthew H.E.M."},{"family":"Heinrich","given":"Joachim"},{"family":"Dharmage","given":"Shyamali C."},{"family":"Jalaludin","given":"Bin"},{"family":"Knibbs","given":"Luke D."},{"family":"Liu","given":"Xiao-Xuan"},{"family":"Luo","given":"Ya-Na"},{"family":"James","given":"Peter"},{"family":"Li","given":"Shanshan"},{"family":"Huang","given":"Wen-Zhong"},{"family":"Chen","given":"Gongbo"},{"family":"Zeng","given":"Xiao-Wen"},{"family":"Hu","given":"Li-Wen"},{"family":"Yu","given":"Yunjiang"},{"family":"Dong","given":"Guang-Hui"}],"issued":{"date-parts":[["2021",11]]}}}],"schema":"https://github.com/citation-style-language/schema/raw/master/csl-citation.json"} </w:instrText>
      </w:r>
      <w:r w:rsidR="006E54D2" w:rsidRPr="00E150CA">
        <w:rPr>
          <w:rFonts w:ascii="Times New Roman" w:hAnsi="Times New Roman" w:cs="Times New Roman"/>
          <w:color w:val="000000" w:themeColor="text1"/>
        </w:rPr>
        <w:fldChar w:fldCharType="separate"/>
      </w:r>
      <w:r w:rsidR="006E54D2" w:rsidRPr="00E150CA">
        <w:rPr>
          <w:rFonts w:ascii="Times New Roman" w:hAnsi="Times New Roman" w:cs="Times New Roman"/>
          <w:color w:val="000000"/>
          <w:vertAlign w:val="superscript"/>
        </w:rPr>
        <w:t>3</w:t>
      </w:r>
      <w:r w:rsidR="006E54D2"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While </w:t>
      </w:r>
      <w:r w:rsidR="00DB4DCA" w:rsidRPr="00E150CA">
        <w:rPr>
          <w:rFonts w:ascii="Times New Roman" w:hAnsi="Times New Roman" w:cs="Times New Roman"/>
          <w:color w:val="000000" w:themeColor="text1"/>
        </w:rPr>
        <w:t>less studied</w:t>
      </w:r>
      <w:r w:rsidR="006E54D2" w:rsidRPr="00E150CA">
        <w:rPr>
          <w:rFonts w:ascii="Times New Roman" w:hAnsi="Times New Roman" w:cs="Times New Roman"/>
          <w:color w:val="000000" w:themeColor="text1"/>
        </w:rPr>
        <w:t xml:space="preserve">, </w:t>
      </w:r>
      <w:r w:rsidR="00DB4DCA" w:rsidRPr="00E150CA">
        <w:rPr>
          <w:rFonts w:ascii="Times New Roman" w:hAnsi="Times New Roman" w:cs="Times New Roman"/>
          <w:color w:val="000000" w:themeColor="text1"/>
        </w:rPr>
        <w:t xml:space="preserve">blue space </w:t>
      </w:r>
      <w:r w:rsidR="00482BCF" w:rsidRPr="00E150CA">
        <w:rPr>
          <w:rFonts w:ascii="Times New Roman" w:hAnsi="Times New Roman" w:cs="Times New Roman"/>
          <w:color w:val="000000" w:themeColor="text1"/>
        </w:rPr>
        <w:t>has also been linked to</w:t>
      </w:r>
      <w:r w:rsidR="006E54D2" w:rsidRPr="00E150CA">
        <w:rPr>
          <w:rFonts w:ascii="Times New Roman" w:hAnsi="Times New Roman" w:cs="Times New Roman"/>
          <w:color w:val="000000" w:themeColor="text1"/>
        </w:rPr>
        <w:t xml:space="preserve"> improved health</w:t>
      </w:r>
      <w:r w:rsidR="00752FF8" w:rsidRPr="00E150CA">
        <w:rPr>
          <w:rFonts w:ascii="Times New Roman" w:hAnsi="Times New Roman" w:cs="Times New Roman"/>
          <w:color w:val="000000" w:themeColor="text1"/>
        </w:rPr>
        <w:fldChar w:fldCharType="begin"/>
      </w:r>
      <w:r w:rsidR="00752FF8" w:rsidRPr="00E150CA">
        <w:rPr>
          <w:rFonts w:ascii="Times New Roman" w:hAnsi="Times New Roman" w:cs="Times New Roman"/>
          <w:color w:val="000000" w:themeColor="text1"/>
        </w:rPr>
        <w:instrText xml:space="preserve"> ADDIN ZOTERO_ITEM CSL_CITATION {"citationID":"mYo2d5Lp","properties":{"formattedCitation":"\\super 4\\nosupersub{}","plainCitation":"4","noteIndex":0},"citationItems":[{"id":74,"uris":["http://zotero.org/users/10202395/items/4TYTJGWL"],"itemData":{"id":74,"type":"article-journal","abstract":"Blue spaces, defined as all forms of natural and manmade surface water, are an integral part of cities. This is the first quantitative synthesis of the health impacts of urban blue spaces. Research exploring the health benefits of blue spaces in urban contexts is emergent and, thus, a systematic review and meta-analysis of the evidence is deemed timely. We searched seven databases from inception to August 2019. From 4493 screened citations, 25 eligible studies were identified. Fourteen of these were included in a quantitative synthesis. We found a bene­ ficial association between urban blue space and obesity (β = -0.34, 95% CI [-0.19, -0.09], p &lt; 0.001), all-cause mortality (HR = 0.99, 95% CI [0.97, 1.00], p = 0.038), general health (Cohen’s d = -0.09, 95% CI [-0.10, -0.08], p &lt; 0.001) and self-reported mental health and wellbeing (Cohen’s d = -0.25, 95% CI [-0.44, -0.07], p &lt; 0.001). Effect sizes were small but statistically significant and the overall quality of evidence was good. Evidence for all other health outcomes was incommensurable, and so we provide a narrative description of study results for those outcomes. Although evidence is growing within the field of urban blue space and health, the body of evidence remains small and heterogeneous. More research is required to further understand and harness the benefits of urban blue spaces for public health and guide urban blue space management and development.","container-title":"Cities","DOI":"10.1016/j.cities.2021.103413","ISSN":"02642751","journalAbbreviation":"Cities","language":"en","page":"103413","source":"DOI.org (Crossref)","title":"Urban blue spaces and human health: A systematic review and meta-analysis of quantitative studies","title-short":"Urban blue spaces and human health","volume":"119","author":[{"family":"Smith","given":"Niamh"},{"family":"Georgiou","given":"Michail"},{"family":"King","given":"Abby C."},{"family":"Tieges","given":"Zoë"},{"family":"Webb","given":"Stephen"},{"family":"Chastin","given":"Sebastien"}],"issued":{"date-parts":[["2021",12]]}}}],"schema":"https://github.com/citation-style-language/schema/raw/master/csl-citation.json"} </w:instrText>
      </w:r>
      <w:r w:rsidR="00752FF8" w:rsidRPr="00E150CA">
        <w:rPr>
          <w:rFonts w:ascii="Times New Roman" w:hAnsi="Times New Roman" w:cs="Times New Roman"/>
          <w:color w:val="000000" w:themeColor="text1"/>
        </w:rPr>
        <w:fldChar w:fldCharType="separate"/>
      </w:r>
      <w:r w:rsidR="00752FF8" w:rsidRPr="00E150CA">
        <w:rPr>
          <w:rFonts w:ascii="Times New Roman" w:hAnsi="Times New Roman" w:cs="Times New Roman"/>
          <w:color w:val="000000"/>
          <w:vertAlign w:val="superscript"/>
        </w:rPr>
        <w:t>4</w:t>
      </w:r>
      <w:r w:rsidR="00752FF8"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 xml:space="preserve">Urban </w:t>
      </w:r>
      <w:r w:rsidR="006E54D2" w:rsidRPr="00E150CA">
        <w:rPr>
          <w:rFonts w:ascii="Times New Roman" w:hAnsi="Times New Roman" w:cs="Times New Roman"/>
          <w:color w:val="000000" w:themeColor="text1"/>
        </w:rPr>
        <w:t xml:space="preserve">nature </w:t>
      </w:r>
      <w:r w:rsidR="00712FD7" w:rsidRPr="00E150CA">
        <w:rPr>
          <w:rFonts w:ascii="Times New Roman" w:hAnsi="Times New Roman" w:cs="Times New Roman"/>
          <w:color w:val="000000" w:themeColor="text1"/>
        </w:rPr>
        <w:t>is also associated with</w:t>
      </w:r>
      <w:r w:rsidR="006E54D2" w:rsidRPr="00E150CA">
        <w:rPr>
          <w:rFonts w:ascii="Times New Roman" w:hAnsi="Times New Roman" w:cs="Times New Roman"/>
          <w:color w:val="000000" w:themeColor="text1"/>
        </w:rPr>
        <w:t xml:space="preserve"> beneficial environmental outcomes </w:t>
      </w:r>
      <w:r w:rsidR="00712FD7" w:rsidRPr="00E150CA">
        <w:rPr>
          <w:rFonts w:ascii="Times New Roman" w:hAnsi="Times New Roman" w:cs="Times New Roman"/>
          <w:color w:val="000000" w:themeColor="text1"/>
        </w:rPr>
        <w:t>such as</w:t>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better</w:t>
      </w:r>
      <w:r w:rsidR="006E54D2" w:rsidRPr="00E150CA">
        <w:rPr>
          <w:rFonts w:ascii="Times New Roman" w:hAnsi="Times New Roman" w:cs="Times New Roman"/>
          <w:color w:val="000000" w:themeColor="text1"/>
        </w:rPr>
        <w:t xml:space="preserve"> storm water management</w:t>
      </w:r>
      <w:r w:rsidR="00712FD7" w:rsidRPr="00E150CA">
        <w:rPr>
          <w:rFonts w:ascii="Times New Roman" w:hAnsi="Times New Roman" w:cs="Times New Roman"/>
          <w:color w:val="000000" w:themeColor="text1"/>
        </w:rPr>
        <w:t xml:space="preserve"> and heat regulation</w:t>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 xml:space="preserve">increased </w:t>
      </w:r>
      <w:r w:rsidR="006E54D2" w:rsidRPr="00E150CA">
        <w:rPr>
          <w:rFonts w:ascii="Times New Roman" w:hAnsi="Times New Roman" w:cs="Times New Roman"/>
          <w:color w:val="000000" w:themeColor="text1"/>
        </w:rPr>
        <w:t xml:space="preserve">biodiversity, </w:t>
      </w:r>
      <w:r w:rsidR="00712FD7" w:rsidRPr="00E150CA">
        <w:rPr>
          <w:rFonts w:ascii="Times New Roman" w:hAnsi="Times New Roman" w:cs="Times New Roman"/>
          <w:color w:val="000000" w:themeColor="text1"/>
        </w:rPr>
        <w:t>and</w:t>
      </w:r>
      <w:r w:rsidR="006E54D2" w:rsidRPr="00E150CA">
        <w:rPr>
          <w:rFonts w:ascii="Times New Roman" w:hAnsi="Times New Roman" w:cs="Times New Roman"/>
          <w:color w:val="000000" w:themeColor="text1"/>
        </w:rPr>
        <w:t xml:space="preserve"> reductions in air pollution and ultraviolet radiation </w:t>
      </w:r>
      <w:r w:rsidR="006E54D2" w:rsidRPr="00E150CA">
        <w:rPr>
          <w:rFonts w:ascii="Times New Roman" w:hAnsi="Times New Roman" w:cs="Times New Roman"/>
          <w:color w:val="000000" w:themeColor="text1"/>
        </w:rPr>
        <w:fldChar w:fldCharType="begin"/>
      </w:r>
      <w:r w:rsidR="00752FF8" w:rsidRPr="00E150CA">
        <w:rPr>
          <w:rFonts w:ascii="Times New Roman" w:hAnsi="Times New Roman" w:cs="Times New Roman"/>
          <w:color w:val="000000" w:themeColor="text1"/>
        </w:rPr>
        <w:instrText xml:space="preserve"> ADDIN ZOTERO_ITEM CSL_CITATION {"citationID":"8Gjz6iNG","properties":{"formattedCitation":"\\super 5\\uc0\\u8211{}8\\nosupersub{}","plainCitation":"5–8","noteIndex":0},"citationItems":[{"id":725,"uris":["http://zotero.org/users/10202395/items/S87ZWPVR"],"itemData":{"id":725,"type":"article-journal","abstract":"Background: As populations become increasingly urbanised, the preservation of urban green space (UGS) becomes paramount. UGS is not just dedicated recreational space such as public parks, but other types of informal green space are important, for example, street trees and roof gardens. Despite the potential from cross-sectional evidence, we know little about how to design new, or improve or promote existing UGS for health, wellbeing, social and environmental benefits, or known influencing factors such as physical activity.","container-title":"Environment International","DOI":"10.1016/j.envint.2019.104923","ISSN":"01604120","journalAbbreviation":"Environment International","language":"en","page":"104923","source":"DOI.org (Crossref)","title":"Environmental, health, wellbeing, social and equity effects of urban green space interventions: A meta-narrative evidence synthesis","title-short":"Environmental, health, wellbeing, social and equity effects of urban green space interventions","volume":"130","author":[{"family":"Hunter","given":"R.F."},{"family":"Cleland","given":"C."},{"family":"Cleary","given":"A."},{"family":"Droomers","given":"M."},{"family":"Wheeler","given":"B.W."},{"family":"Sinnett","given":"D."},{"family":"Nieuwenhuijsen","given":"M.J."},{"family":"Braubach","given":"M."}],"issued":{"date-parts":[["2019",9]]}}},{"id":723,"uris":["http://zotero.org/users/10202395/items/WGRRFG2J"],"itemData":{"id":723,"type":"article-journal","abstract":"The urban forest is a green infrastructure system that delivers multiple environmental, economic, social and health services, and functions in cities. Environmental beneﬁts of urban trees are well understood, but no review to date has examined how urban trees aﬀect human health. This review provides a comprehensive summary of existing literature on the health impacts of urban trees that can inform future research, policy, and nature-based public health interventions. A systematic search used keywords representing human health, environmental health, and urban forestry. Following screening and appraisal of several thousand articles, 201 studies were conceptually sorted into a three-part framework. Reducing Harm, representing 41% of studies, includes topics such as air pollution, ultraviolet radiation, heat exposure, and pollen. Restoring Capacities, at 31%, includes attention restoration, mental health, stress reduction, and clinical outcomes. Building Capacities, at 28%, includes topics such as birth outcomes, active living, and weight status. The studies that were reviewed show substantial heterogeneity in purpose and method yet indicate important health outcomes associated with people’s exposure to trees. This review will help inform future research and practice, and demonstrates why urban forest planning and management should strategically promote trees as a social determinant of public health.","container-title":"International Journal of Environmental Research and Public Health","DOI":"10.3390/ijerph17124371","ISSN":"1660-4601","issue":"12","journalAbbreviation":"IJERPH","language":"en","page":"4371","source":"DOI.org (Crossref)","title":"Urban Trees and Human Health: A Scoping Review","title-short":"Urban Trees and Human Health","volume":"17","author":[{"family":"Wolf","given":"Kathleen L."},{"family":"Lam","given":"Sharon T."},{"family":"McKeen","given":"Jennifer K."},{"family":"Richardson","given":"Gregory R.A."},{"family":"Van Den Bosch","given":"Matilda"},{"family":"Bardekjian","given":"Adrina C."}],"issued":{"date-parts":[["2020",6,18]]}}},{"id":637,"uris":["http://zotero.org/users/10202395/items/5MR68GMP"],"itemData":{"id":637,"type":"article-journal","abstract":"A growing body of literature recognises the importance of nature-based solutions in providing resilience to the effects of climate change by mitigating urban heat islands. However, a knowledge gap exists regarding the contribution of blue spaces to the urban environment. Recent evidence suggests that blue spaces within urban canyons can promote pollutant removal via the vertical transport of air under certain conditions, but this is inconclusive. Using a numerical solver that accounts for evaporation effects, we investigate the inﬂuence of blue space size and shape on the in-canyon ﬂow structure, temperature and water vapour distribution. Simulations were performed for water bodies of varying size and shape at different temperatures compared to the surrounding air. Results suggest that inadequately sized warmer water bodies are unable to promote sufﬁcient vertical transport for pollutant removal, leading to overturning and increased temperature and humidity levels at the pedestrian level, thereby worsening environmental conditions and increasing the risk of heat-related illness and mortality. Hence, larger water bodies are better suited to nocturnal transport of pollutants and accumulated warm air away from the urban surface, while smaller water bodies are better suited to providing localised evaporative cooling. Lastly, irregular water bodies may have a greater cooling effect across a larger area.","container-title":"Climate","DOI":"10.3390/cli11020028","ISSN":"2225-1154","issue":"2","journalAbbreviation":"Climate","language":"en","page":"28","source":"DOI.org (Crossref)","title":"Impact of Blue Space Geometry on Urban Heat Island Mitigation","volume":"11","author":[{"family":"Ampatzidis","given":"Petros"},{"family":"Cintolesi","given":"Carlo"},{"family":"Kershaw","given":"Tristan"}],"issued":{"date-parts":[["2023",1,19]]}}},{"id":728,"uris":["http://zotero.org/users/10202395/items/XD3LPKLF"],"itemData":{"id":728,"type":"article-journal","abstract":"Research in recent years has demonstrated that urban surface waters (“urban blue spaces”) can provide beneﬁcial effects on human health and wellbeing. Despite blue spaces prevailing on urban development agendas across the world, little investigation has been done whether and how the regeneration of such spaces is used as a (community-based) public health intervention. Therefore, a review was conducted to analyze urban blue space regeneration projects in terms of their signiﬁcance for public health. Results show that the regeneration of urban blue spaces displays a diversity of intervention types and follows certain development trends seen in general urban regeneration: Similarities mainly arise in relation to objectives (multi-dimensional goals with increasing focus on environmental sustainability and economic interests), stakeholders (shift to multi-actor governance with a rise of partnerships and community participation), and funding (prevalence of mixed ﬁnancial schemes and increasing reliance on external funding sources). Although threefold public health effects have been noted across the projects (i. behavioral changes toward healthier lifestyles, ii. healthier urban environments, iii. health policy changes), results of this review indicate that the potential to use urban blue regeneration as a community-based health intervention has yet to be realized.","container-title":"Frontiers in Public Health","DOI":"10.3389/fpubh.2021.782101","ISSN":"2296-2565","journalAbbreviation":"Front. Public Health","language":"en","page":"782101","source":"DOI.org (Crossref)","title":"The Regeneration of Urban Blue Spaces: A Public Health Intervention? Reviewing the Evidence","title-short":"The Regeneration of Urban Blue Spaces","volume":"9","author":[{"family":"Brückner","given":"Anna"},{"family":"Falkenberg","given":"Timo"},{"family":"Heinzel","given":"Christine"},{"family":"Kistemann","given":"Thomas"}],"issued":{"date-parts":[["2022",1,13]]}}}],"schema":"https://github.com/citation-style-language/schema/raw/master/csl-citation.json"} </w:instrText>
      </w:r>
      <w:r w:rsidR="006E54D2" w:rsidRPr="00E150CA">
        <w:rPr>
          <w:rFonts w:ascii="Times New Roman" w:hAnsi="Times New Roman" w:cs="Times New Roman"/>
          <w:color w:val="000000" w:themeColor="text1"/>
        </w:rPr>
        <w:fldChar w:fldCharType="separate"/>
      </w:r>
      <w:r w:rsidR="00752FF8" w:rsidRPr="00E150CA">
        <w:rPr>
          <w:rFonts w:ascii="Times New Roman" w:hAnsi="Times New Roman" w:cs="Times New Roman"/>
          <w:color w:val="000000"/>
          <w:vertAlign w:val="superscript"/>
        </w:rPr>
        <w:t>5–8</w:t>
      </w:r>
      <w:r w:rsidR="006E54D2"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t>
      </w:r>
      <w:r w:rsidR="009B7FB9" w:rsidRPr="00E150CA">
        <w:rPr>
          <w:rFonts w:ascii="Times New Roman" w:hAnsi="Times New Roman" w:cs="Times New Roman"/>
          <w:color w:val="000000" w:themeColor="text1"/>
        </w:rPr>
        <w:t>G</w:t>
      </w:r>
      <w:r w:rsidR="00435203" w:rsidRPr="00E150CA">
        <w:rPr>
          <w:rFonts w:ascii="Times New Roman" w:hAnsi="Times New Roman" w:cs="Times New Roman"/>
          <w:color w:val="000000" w:themeColor="text1"/>
        </w:rPr>
        <w:t xml:space="preserve">reenspace </w:t>
      </w:r>
      <w:r w:rsidR="00F8735D" w:rsidRPr="00E150CA">
        <w:rPr>
          <w:rFonts w:ascii="Times New Roman" w:hAnsi="Times New Roman" w:cs="Times New Roman"/>
          <w:color w:val="000000" w:themeColor="text1"/>
        </w:rPr>
        <w:t>has generally been the focus of urban nature policies</w:t>
      </w:r>
      <w:r w:rsidR="009B7FB9" w:rsidRPr="00E150CA">
        <w:rPr>
          <w:rFonts w:ascii="Times New Roman" w:hAnsi="Times New Roman" w:cs="Times New Roman"/>
          <w:color w:val="000000" w:themeColor="text1"/>
        </w:rPr>
        <w:t xml:space="preserve"> and interventions,</w:t>
      </w:r>
      <w:r w:rsidR="00F8735D" w:rsidRPr="00E150CA">
        <w:rPr>
          <w:rFonts w:ascii="Times New Roman" w:hAnsi="Times New Roman" w:cs="Times New Roman"/>
          <w:color w:val="000000" w:themeColor="text1"/>
        </w:rPr>
        <w:t xml:space="preserve"> as </w:t>
      </w:r>
      <w:r w:rsidR="009B7FB9" w:rsidRPr="00E150CA">
        <w:rPr>
          <w:rFonts w:ascii="Times New Roman" w:hAnsi="Times New Roman" w:cs="Times New Roman"/>
          <w:color w:val="000000" w:themeColor="text1"/>
        </w:rPr>
        <w:t xml:space="preserve">it is more feasible to add than </w:t>
      </w:r>
      <w:r w:rsidR="00435203" w:rsidRPr="00E150CA">
        <w:rPr>
          <w:rFonts w:ascii="Times New Roman" w:hAnsi="Times New Roman" w:cs="Times New Roman"/>
          <w:color w:val="000000" w:themeColor="text1"/>
        </w:rPr>
        <w:t>blue space</w:t>
      </w:r>
      <w:r w:rsidR="00F8735D" w:rsidRPr="00E150CA">
        <w:rPr>
          <w:rFonts w:ascii="Times New Roman" w:hAnsi="Times New Roman" w:cs="Times New Roman"/>
          <w:color w:val="000000" w:themeColor="text1"/>
        </w:rPr>
        <w:t>.</w:t>
      </w:r>
    </w:p>
    <w:p w14:paraId="60123FBF" w14:textId="77777777" w:rsidR="00EF5AD7" w:rsidRPr="00E150CA" w:rsidRDefault="00EF5AD7" w:rsidP="00F9161A">
      <w:pPr>
        <w:rPr>
          <w:rFonts w:ascii="Times New Roman" w:hAnsi="Times New Roman" w:cs="Times New Roman"/>
          <w:color w:val="000000"/>
          <w:shd w:val="clear" w:color="auto" w:fill="FFFFFF"/>
        </w:rPr>
      </w:pPr>
    </w:p>
    <w:p w14:paraId="609E4BC8" w14:textId="290FB4E1" w:rsidR="00855772" w:rsidRPr="00E150CA" w:rsidRDefault="00EF5AD7" w:rsidP="007B6224">
      <w:pPr>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The most common metric</w:t>
      </w:r>
      <w:r w:rsidR="00F9161A" w:rsidRPr="00E150CA">
        <w:rPr>
          <w:rFonts w:ascii="Times New Roman" w:hAnsi="Times New Roman" w:cs="Times New Roman"/>
          <w:color w:val="000000"/>
          <w:shd w:val="clear" w:color="auto" w:fill="FFFFFF"/>
        </w:rPr>
        <w:t xml:space="preserve"> </w:t>
      </w:r>
      <w:r w:rsidRPr="00E150CA">
        <w:rPr>
          <w:rFonts w:ascii="Times New Roman" w:hAnsi="Times New Roman" w:cs="Times New Roman"/>
          <w:color w:val="000000"/>
          <w:shd w:val="clear" w:color="auto" w:fill="FFFFFF"/>
        </w:rPr>
        <w:t xml:space="preserve">used to quantify greenspace in the </w:t>
      </w:r>
      <w:r w:rsidR="00F9161A" w:rsidRPr="00E150CA">
        <w:rPr>
          <w:rFonts w:ascii="Times New Roman" w:hAnsi="Times New Roman" w:cs="Times New Roman"/>
          <w:color w:val="000000"/>
          <w:shd w:val="clear" w:color="auto" w:fill="FFFFFF"/>
        </w:rPr>
        <w:t>health</w:t>
      </w:r>
      <w:r w:rsidRPr="00E150CA">
        <w:rPr>
          <w:rFonts w:ascii="Times New Roman" w:hAnsi="Times New Roman" w:cs="Times New Roman"/>
          <w:color w:val="000000"/>
          <w:shd w:val="clear" w:color="auto" w:fill="FFFFFF"/>
        </w:rPr>
        <w:t xml:space="preserve"> literature </w:t>
      </w:r>
      <w:r w:rsidR="00F9161A" w:rsidRPr="00E150CA">
        <w:rPr>
          <w:rFonts w:ascii="Times New Roman" w:hAnsi="Times New Roman" w:cs="Times New Roman"/>
          <w:color w:val="000000"/>
          <w:shd w:val="clear" w:color="auto" w:fill="FFFFFF"/>
        </w:rPr>
        <w:t>is</w:t>
      </w:r>
      <w:r w:rsidRPr="00E150CA">
        <w:rPr>
          <w:rFonts w:ascii="Times New Roman" w:hAnsi="Times New Roman" w:cs="Times New Roman"/>
          <w:color w:val="000000"/>
          <w:shd w:val="clear" w:color="auto" w:fill="FFFFFF"/>
        </w:rPr>
        <w:t xml:space="preserve"> the normalized difference vegetation index (NDVI)</w:t>
      </w:r>
      <w:r w:rsidR="00F9161A"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{"citationID":"gopPpE6h","properties":{"formattedCitation":"\\super 9\\nosupersub{}","plainCitation":"9","noteIndex":0},"citationItems":[{"id":410,"uris":["http://zotero.org/users/10202395/items/Q2YAVJ8R"],"itemData":{"id":410,"type":"article-journal","abstract":"BACKGROUND: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00F9161A"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9</w:t>
      </w:r>
      <w:r w:rsidR="00F9161A"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NDVI is a satellite-derived measure that uses visible and near infrared light to quantify the density of vegetation.</w:t>
      </w:r>
      <w:r w:rsidR="003C3846" w:rsidRPr="00E150CA">
        <w:rPr>
          <w:rFonts w:ascii="Times New Roman" w:hAnsi="Times New Roman" w:cs="Times New Roman"/>
          <w:color w:val="000000"/>
          <w:shd w:val="clear" w:color="auto" w:fill="FFFFFF"/>
        </w:rPr>
        <w:t xml:space="preserve"> NDVI ranges from -1 to 1, with negative values indicating water, snow, and ice, values near zero representing limited vegetation (e.g. urban areas, barren land), and positive values signifying vegetation.</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{"citationID":"22ZFXWTl","properties":{"formattedCitation":"\\super 10\\nosupersub{}","plainCitation":"10","noteIndex":0},"citationItems":[{"id":407,"uris":["http://zotero.org/users/10202395/items/UE833UPK"],"itemData":{"id":407,"type":"post-weblog","container-title":"Measuring Vegetation: Normalized Difference Vegetation Index (NDVI)","title":"NASA Earth Observatory","URL":"https://earthobservatory.nasa.gov/features/MeasuringVegetation/measuring_vegetation_2.php","accessed":{"date-parts":[["2022",10,6]]},"issued":{"date-parts":[["2000",8,30]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10</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w:t>
      </w:r>
      <w:r w:rsidR="003C3846" w:rsidRPr="00E150CA">
        <w:rPr>
          <w:rFonts w:ascii="Times New Roman" w:hAnsi="Times New Roman" w:cs="Times New Roman"/>
          <w:color w:val="000000"/>
          <w:shd w:val="clear" w:color="auto" w:fill="FFFFFF"/>
        </w:rPr>
        <w:t xml:space="preserve">Two large-scale health impact assessments have estimated the number of deaths associated with hypothetical changes in greenspace. </w:t>
      </w:r>
      <w:r w:rsidRPr="00E150CA">
        <w:rPr>
          <w:rFonts w:ascii="Times New Roman" w:hAnsi="Times New Roman" w:cs="Times New Roman"/>
          <w:color w:val="000000"/>
          <w:shd w:val="clear" w:color="auto" w:fill="FFFFFF"/>
        </w:rPr>
        <w:t xml:space="preserve">A 2021 </w:t>
      </w:r>
      <w:r w:rsidR="00D3001E" w:rsidRPr="00E150CA">
        <w:rPr>
          <w:rFonts w:ascii="Times New Roman" w:hAnsi="Times New Roman" w:cs="Times New Roman"/>
          <w:color w:val="000000"/>
          <w:shd w:val="clear" w:color="auto" w:fill="FFFFFF"/>
        </w:rPr>
        <w:t>study of</w:t>
      </w:r>
      <w:r w:rsidRPr="00E150CA">
        <w:rPr>
          <w:rFonts w:ascii="Times New Roman" w:hAnsi="Times New Roman" w:cs="Times New Roman"/>
          <w:color w:val="000000"/>
          <w:shd w:val="clear" w:color="auto" w:fill="FFFFFF"/>
        </w:rPr>
        <w:t xml:space="preserve"> 978 cities in 31 European countries</w:t>
      </w:r>
      <w:r w:rsidR="00D3001E" w:rsidRPr="00E150CA">
        <w:rPr>
          <w:rFonts w:ascii="Times New Roman" w:hAnsi="Times New Roman" w:cs="Times New Roman"/>
          <w:color w:val="000000"/>
          <w:shd w:val="clear" w:color="auto" w:fill="FFFFFF"/>
        </w:rPr>
        <w:t xml:space="preserve"> found that if cities were to increase their NDVI to a level equivalent with the World Health Organization’s recommendation of universal access to greenspace, 42,968 natural deaths could be avoided annually (95% CI: 32,296, 64,177) among adults </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{"citationID":"EA1Brj9c","properties":{"formattedCitation":"\\super 11\\nosupersub{}","plainCitation":"11","noteIndex":0},"citationItems":[{"id":191,"uris":["http://zotero.org/users/10202395/items/DXI3UYCR"],"itemData":{"id":191,"type":"article-journal","container-title":"The Lancet Planetary Health","DOI":"10.1016/S2542-5196(21)00229-1","ISSN":"25425196","issue":"10","journalAbbreviation":"The Lancet Planetary Health","language":"en","page":"e718-e730","source":"DOI.org (Crossref)","title":"Green space and mortality in European cities: a health impact assessment study","title-short":"Green space and mortality in European cities","volume":"5","author":[{"family":"Barboza","given":"Evelise Pereira"},{"family":"Cirach","given":"Marta"},{"family":"Khomenko","given":"Sasha"},{"family":"Iungman","given":"Tamara"},{"family":"Mueller","given":"Natalie"},{"family":"Barrera-Gómez","given":"Jose"},{"family":"Rojas-Rueda","given":"David"},{"family":"Kondo","given":"Michelle"},{"family":"Nieuwenhuijsen","given":"Mark"}],"issued":{"date-parts":[["2021",10]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11</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A </w:t>
      </w:r>
      <w:r w:rsidR="002D77F9" w:rsidRPr="00E150CA">
        <w:rPr>
          <w:rFonts w:ascii="Times New Roman" w:hAnsi="Times New Roman" w:cs="Times New Roman"/>
          <w:color w:val="000000"/>
          <w:shd w:val="clear" w:color="auto" w:fill="FFFFFF"/>
        </w:rPr>
        <w:t>2022 study of the 35 most populous</w:t>
      </w:r>
      <w:r w:rsidRPr="00E150CA">
        <w:rPr>
          <w:rFonts w:ascii="Times New Roman" w:hAnsi="Times New Roman" w:cs="Times New Roman"/>
          <w:color w:val="000000"/>
          <w:shd w:val="clear" w:color="auto" w:fill="FFFFFF"/>
        </w:rPr>
        <w:t xml:space="preserve"> American cities found that </w:t>
      </w:r>
      <w:r w:rsidR="00D3799D" w:rsidRPr="00E150CA">
        <w:rPr>
          <w:rFonts w:ascii="Times New Roman" w:hAnsi="Times New Roman" w:cs="Times New Roman"/>
          <w:color w:val="000000"/>
          <w:shd w:val="clear" w:color="auto" w:fill="FFFFFF"/>
        </w:rPr>
        <w:t xml:space="preserve">if NDVI was increased by 0.1, </w:t>
      </w:r>
      <w:r w:rsidRPr="00E150CA">
        <w:rPr>
          <w:rFonts w:ascii="Times New Roman" w:hAnsi="Times New Roman" w:cs="Times New Roman"/>
          <w:color w:val="000000"/>
          <w:shd w:val="clear" w:color="auto" w:fill="FFFFFF"/>
        </w:rPr>
        <w:t xml:space="preserve">38,000 deaths (95% CI: 28,640-57,281) could have been avoided in 2019 </w:t>
      </w:r>
      <w:r w:rsidR="002D77F9" w:rsidRPr="00E150CA">
        <w:rPr>
          <w:rFonts w:ascii="Times New Roman" w:hAnsi="Times New Roman" w:cs="Times New Roman"/>
          <w:color w:val="000000"/>
          <w:shd w:val="clear" w:color="auto" w:fill="FFFFFF"/>
        </w:rPr>
        <w:t xml:space="preserve">among those 65 and older </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{"citationID":"2IFhD644","properties":{"formattedCitation":"\\super 12\\nosupersub{}","plainCitation":"12","noteIndex":0},"citationItems":[{"id":259,"uris":["http://zotero.org/users/10202395/items/AXXINCTS"],"itemData":{"id":259,"type":"article-journal","abstract":"Across the United States, cities are creating sustainability and climate action plans (CAPs) that call to increase local vegetation. These greening initiatives have the potential to not only beneﬁt the environment but also human health. In epidemiologic literature, greenness has a protective effect on mortality through various direct and indirect pathways. We aimed to assess how an increase in greenness could decrease mortality in the largest urban areas in the United States. We conducted a nationwide quantitative health impact assessment to estimate the predicted reduction in mortality associated with an increase in greenness across two decades (2000, 2010, and 2019). Using a recently published exposure-response function, Landsat 30 m 16-day satellite imagery from April to September, and publicly available county-level mortality data from the CDC, we calculated the age-adjusted reduction in all-cause mortality for those 65 years and older within 35 of the most populated metropolitan areas. We estimated that between 34,000 and 38,000 all-cause deaths could have been reduced in 2000, 2010, and 2019 with a local increase in green vegetation by 0.1 unit across the most populated metropolitan areas. We found that overall greenness increased across time with a 2.86% increase from 2000 to 2010 to 11.11% from 2010 to 2019. These results can be used to support CAPs by providing a quantitative assessment to the impact local greening initiatives can have on mortality. Urban planners and local governments can use these ﬁndings to calculate the co-beneﬁts of local CAPs through a public health lens and support policy development.","container-title":"Frontiers in Public Health","DOI":"10.3389/fpubh.2022.841936","ISSN":"2296-2565","journalAbbreviation":"Front. Public Health","language":"en","page":"841936","source":"DOI.org (Crossref)","title":"Benefits of Increasing Greenness on All-Cause Mortality in the Largest Metropolitan Areas of the United States Within the Past Two Decades","volume":"10","author":[{"family":"Brochu","given":"Paige"},{"family":"Jimenez","given":"Marcia P."},{"family":"James","given":"Peter"},{"family":"Kinney","given":"Patrick L."},{"family":"Lane","given":"Kevin"}],"issued":{"date-parts":[["2022",5,10]]}}}],"schema":"https://github.com/citation-style-language/schema/raw/master/csl-citation.json"}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12</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w:t>
      </w:r>
      <w:r w:rsidR="00FB004F" w:rsidRPr="00E150CA">
        <w:rPr>
          <w:rFonts w:ascii="Times New Roman" w:hAnsi="Times New Roman" w:cs="Times New Roman"/>
          <w:color w:val="000000"/>
          <w:shd w:val="clear" w:color="auto" w:fill="FFFFFF"/>
        </w:rPr>
        <w:t xml:space="preserve">These studies provide a </w:t>
      </w:r>
      <w:r w:rsidR="00EA100A" w:rsidRPr="00E150CA">
        <w:rPr>
          <w:rFonts w:ascii="Times New Roman" w:hAnsi="Times New Roman" w:cs="Times New Roman"/>
          <w:color w:val="000000"/>
          <w:shd w:val="clear" w:color="auto" w:fill="FFFFFF"/>
        </w:rPr>
        <w:t xml:space="preserve">useful quantification of the potential health benefits of increasing urban </w:t>
      </w:r>
      <w:r w:rsidR="009F72FF" w:rsidRPr="00E150CA">
        <w:rPr>
          <w:rFonts w:ascii="Times New Roman" w:hAnsi="Times New Roman" w:cs="Times New Roman"/>
          <w:color w:val="000000"/>
          <w:shd w:val="clear" w:color="auto" w:fill="FFFFFF"/>
        </w:rPr>
        <w:t>nature but</w:t>
      </w:r>
      <w:r w:rsidR="00EA100A" w:rsidRPr="00E150CA">
        <w:rPr>
          <w:rFonts w:ascii="Times New Roman" w:hAnsi="Times New Roman" w:cs="Times New Roman"/>
          <w:color w:val="000000"/>
          <w:shd w:val="clear" w:color="auto" w:fill="FFFFFF"/>
        </w:rPr>
        <w:t xml:space="preserve"> are limited to European and American contexts.</w:t>
      </w:r>
    </w:p>
    <w:p w14:paraId="0330F9EC" w14:textId="77777777" w:rsidR="006F5CBD" w:rsidRPr="00E150CA" w:rsidRDefault="006F5CBD" w:rsidP="006F5CBD">
      <w:pPr>
        <w:ind w:firstLine="720"/>
        <w:rPr>
          <w:rFonts w:ascii="Times New Roman" w:hAnsi="Times New Roman" w:cs="Times New Roman"/>
          <w:color w:val="000000"/>
          <w:shd w:val="clear" w:color="auto" w:fill="FFFFFF"/>
        </w:rPr>
      </w:pPr>
    </w:p>
    <w:p w14:paraId="31515BAA" w14:textId="4554D48C" w:rsidR="00751D10" w:rsidRDefault="006036D8" w:rsidP="007B6224">
      <w:pPr>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In 2020, The Lancet Countdown began tracking u</w:t>
      </w:r>
      <w:r w:rsidR="007A26CC" w:rsidRPr="00E150CA">
        <w:rPr>
          <w:rFonts w:ascii="Times New Roman" w:hAnsi="Times New Roman" w:cs="Times New Roman"/>
          <w:color w:val="000000"/>
          <w:shd w:val="clear" w:color="auto" w:fill="FFFFFF"/>
        </w:rPr>
        <w:t>rban greenspace</w:t>
      </w:r>
      <w:r w:rsidR="00717770" w:rsidRPr="00E150CA">
        <w:rPr>
          <w:rFonts w:ascii="Times New Roman" w:hAnsi="Times New Roman" w:cs="Times New Roman"/>
          <w:color w:val="000000"/>
          <w:shd w:val="clear" w:color="auto" w:fill="FFFFFF"/>
        </w:rPr>
        <w:t xml:space="preserve"> across a global set of cities</w:t>
      </w:r>
      <w:r w:rsidR="007A26CC" w:rsidRPr="00E150CA">
        <w:rPr>
          <w:rFonts w:ascii="Times New Roman" w:hAnsi="Times New Roman" w:cs="Times New Roman"/>
          <w:color w:val="000000"/>
          <w:shd w:val="clear" w:color="auto" w:fill="FFFFFF"/>
        </w:rPr>
        <w:t xml:space="preserve">. </w:t>
      </w:r>
      <w:r w:rsidR="00855772" w:rsidRPr="00E150CA">
        <w:rPr>
          <w:rFonts w:ascii="Times New Roman" w:hAnsi="Times New Roman" w:cs="Times New Roman"/>
          <w:color w:val="000000"/>
          <w:shd w:val="clear" w:color="auto" w:fill="FFFFFF"/>
        </w:rPr>
        <w:t xml:space="preserve">The Lancet Countdown is an annual publication dedicated to tracking progress towards the goals </w:t>
      </w:r>
      <w:r w:rsidR="00855772" w:rsidRPr="00E150CA">
        <w:rPr>
          <w:rFonts w:ascii="Times New Roman" w:hAnsi="Times New Roman" w:cs="Times New Roman"/>
          <w:color w:val="000000"/>
          <w:shd w:val="clear" w:color="auto" w:fill="FFFFFF"/>
        </w:rPr>
        <w:lastRenderedPageBreak/>
        <w:t>of the Paris Agreement and documenting the health implications of climate change.</w:t>
      </w:r>
      <w:r w:rsidR="00712FD7"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{"citationID":"DAlaYyHt","properties":{"formattedCitation":"\\super 13\\nosupersub{}","plainCitation":"13","noteIndex":0},"citationItems":[{"id":754,"uris":["http://zotero.org/users/10202395/items/5RX5BIJN"],"itemData":{"id":754,"type":"article-journal","container-title":"The Lancet","DOI":"10.1016/S0140-6736(23)01859-7","ISSN":"0140-6736","issue":"10419","note":"publisher: Elsevier","page":"2346-2394","title":"The 2023 report of the Lancet Countdown on health and climate change: the imperative for a health-centred response in a world facing irreversible harms","volume":"402","author":[{"family":"Romanello","given":"Marina"},{"family":"Napoli","given":"Claudia","dropping-particle":"di"},{"family":"Green","given":"Carole"},{"family":"Kennard","given":"Harry"},{"family":"Lampard","given":"Pete"},{"family":"Scamman","given":"Daniel"},{"family":"Walawender","given":"Maria"},{"family":"Ali","given":"Zakari"},{"family":"Ameli","given":"Nadia"},{"family":"Ayeb-Karlsson","given":"Sonja"},{"family":"Beggs","given":"Paul J"},{"family":"Belesova","given":"Kristine"},{"family":"Berrang Ford","given":"Lea"},{"family":"Bowen","given":"Kathryn"},{"family":"Cai","given":"Wenjia"},{"family":"Callaghan","given":"Max"},{"family":"Campbell-Lendrum","given":"Diarmid"},{"family":"Chambers","given":"Jonathan"},{"family":"Cross","given":"Troy J"},{"family":"Daalen","given":"Kim R","non-dropping-particle":"van"},{"family":"Dalin","given":"Carole"},{"family":"Dasandi","given":"Niheer"},{"family":"Dasgupta","given":"Shouro"},{"family":"Davies","given":"Michael"},{"family":"Dominguez-Salas","given":"Paula"},{"family":"Dubrow","given":"Robert"},{"family":"Ebi","given":"Kristie L"},{"family":"Eckelman","given":"Matthew"},{"family":"Ekins","given":"Paul"},{"family":"Freyberg","given":"Chris"},{"family":"Gasparyan","given":"Olga"},{"family":"Gordon-Strachan","given":"Georgiana"},{"family":"Graham","given":"Hilary"},{"family":"Gunther","given":"Samuel H"},{"family":"Hamilton","given":"Ian"},{"family":"Hang","given":"Yun"},{"family":"Hänninen","given":"Risto"},{"family":"Hartinger","given":"Stella"},{"family":"He","given":"Kehan"},{"family":"Heidecke","given":"Julian"},{"family":"Hess","given":"Jeremy J"},{"family":"Hsu","given":"Shih-Che"},{"family":"Jamart","given":"Louis"},{"family":"Jankin","given":"Slava"},{"family":"Jay","given":"Ollie"},{"family":"Kelman","given":"Ilan"},{"family":"Kiesewetter","given":"Gregor"},{"family":"Kinney","given":"Patrick"},{"family":"Kniveton","given":"Dominic"},{"family":"Kouznetsov","given":"Rostislav"},{"family":"Larosa","given":"Francesca"},{"family":"Lee","given":"Jason K W"},{"family":"Lemke","given":"Bruno"},{"family":"Liu","given":"Yang"},{"family":"Liu","given":"Zhao"},{"family":"Lott","given":"Melissa"},{"family":"Lotto Batista","given":"Martín"},{"family":"Lowe","given":"Rachel"},{"family":"Odhiambo Sewe","given":"Maquins"},{"family":"Martinez-Urtaza","given":"Jaime"},{"family":"Maslin","given":"Mark"},{"family":"McAllister","given":"Lucy"},{"family":"McMichael","given":"Celia"},{"family":"Mi","given":"Zhifu"},{"family":"Milner","given":"James"},{"family":"Minor","given":"Kelton"},{"family":"Minx","given":"Jan C"},{"family":"Mohajeri","given":"Nahid"},{"family":"Momen","given":"Natalie C"},{"family":"Moradi-Lakeh","given":"Maziar"},{"family":"Morrissey","given":"Karyn"},{"family":"Munzert","given":"Simon"},{"family":"Murray","given":"Kris A"},{"family":"Neville","given":"Tara"},{"family":"Nilsson","given":"Maria"},{"family":"Obradovich","given":"Nick"},{"family":"O'Hare","given":"Megan B"},{"family":"Oliveira","given":"Camile"},{"family":"Oreszczyn","given":"Tadj"},{"family":"Otto","given":"Matthias"},{"family":"Owfi","given":"Fereidoon"},{"family":"Pearman","given":"Olivia"},{"family":"Pega","given":"Frank"},{"family":"Pershing","given":"Andrew"},{"family":"Rabbaniha","given":"Mahnaz"},{"family":"Rickman","given":"Jamie"},{"family":"Robinson","given":"Elizabeth J Z"},{"family":"Rocklöv","given":"Joacim"},{"family":"Salas","given":"Renee N"},{"family":"Semenza","given":"Jan C"},{"family":"Sherman","given":"Jodi D"},{"family":"Shumake-Guillemot","given":"Joy"},{"family":"Silbert","given":"Grant"},{"family":"Sofiev","given":"Mikhail"},{"family":"Springmann","given":"Marco"},{"family":"Stowell","given":"Jennifer D"},{"family":"Tabatabaei","given":"Meisam"},{"family":"Taylor","given":"Jonathon"},{"family":"Thompson","given":"Ross"},{"family":"Tonne","given":"Cathryn"},{"family":"Treskova","given":"Marina"},{"family":"Trinanes","given":"Joaquin A"},{"family":"Wagner","given":"Fabian"},{"family":"Warnecke","given":"Laura"},{"family":"Whitcombe","given":"Hannah"},{"family":"Winning","given":"Matthew"},{"family":"Wyns","given":"Arthur"},{"family":"Yglesias-González","given":"Marisol"},{"family":"Zhang","given":"Shihui"},{"family":"Zhang","given":"Ying"},{"family":"Zhu","given":"Qiao"},{"family":"Gong","given":"Peng"},{"family":"Montgomery","given":"Hugh"},{"family":"Costello","given":"Anthony"}],"issued":{"date-parts":[["2023",12,16]]}}}],"schema":"https://github.com/citation-style-language/schema/raw/master/csl-citation.json"} </w:instrText>
      </w:r>
      <w:r w:rsidR="00712FD7"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13</w:t>
      </w:r>
      <w:r w:rsidR="00712FD7" w:rsidRPr="00E150CA">
        <w:rPr>
          <w:rFonts w:ascii="Times New Roman" w:hAnsi="Times New Roman" w:cs="Times New Roman"/>
          <w:color w:val="000000"/>
          <w:shd w:val="clear" w:color="auto" w:fill="FFFFFF"/>
        </w:rPr>
        <w:fldChar w:fldCharType="end"/>
      </w:r>
      <w:r w:rsidR="00DD7A83" w:rsidRPr="00E150CA">
        <w:rPr>
          <w:rFonts w:ascii="Times New Roman" w:hAnsi="Times New Roman" w:cs="Times New Roman"/>
          <w:color w:val="000000"/>
          <w:shd w:val="clear" w:color="auto" w:fill="FFFFFF"/>
        </w:rPr>
        <w:t xml:space="preserve"> </w:t>
      </w:r>
      <w:r w:rsidR="00BE6189" w:rsidRPr="00E150CA">
        <w:rPr>
          <w:rFonts w:ascii="Times New Roman" w:hAnsi="Times New Roman" w:cs="Times New Roman"/>
          <w:color w:val="000000"/>
          <w:shd w:val="clear" w:color="auto" w:fill="FFFFFF"/>
        </w:rPr>
        <w:t>We use the Lancet Countdown’s estimates of urban greenspace to conduct a health impact assessment of the excess or avoided deaths associated with changes in greenspace over time across 1,042 global cities.</w:t>
      </w:r>
      <w:r w:rsidR="00531C5E" w:rsidRPr="00E150CA">
        <w:rPr>
          <w:rFonts w:ascii="Times New Roman" w:hAnsi="Times New Roman" w:cs="Times New Roman"/>
          <w:color w:val="000000"/>
          <w:shd w:val="clear" w:color="auto" w:fill="FFFFFF"/>
        </w:rPr>
        <w:t xml:space="preserve"> </w:t>
      </w:r>
      <w:r w:rsidR="00751D10" w:rsidRPr="00E150CA">
        <w:rPr>
          <w:rFonts w:ascii="Times New Roman" w:hAnsi="Times New Roman" w:cs="Times New Roman"/>
          <w:color w:val="000000"/>
          <w:shd w:val="clear" w:color="auto" w:fill="FFFFFF"/>
        </w:rPr>
        <w:t xml:space="preserve">While the climate </w:t>
      </w:r>
      <w:r w:rsidR="00531C5E" w:rsidRPr="00E150CA">
        <w:rPr>
          <w:rFonts w:ascii="Times New Roman" w:hAnsi="Times New Roman" w:cs="Times New Roman"/>
          <w:color w:val="000000"/>
          <w:shd w:val="clear" w:color="auto" w:fill="FFFFFF"/>
        </w:rPr>
        <w:t xml:space="preserve">resiliency </w:t>
      </w:r>
      <w:r w:rsidR="00751D10" w:rsidRPr="00E150CA">
        <w:rPr>
          <w:rFonts w:ascii="Times New Roman" w:hAnsi="Times New Roman" w:cs="Times New Roman"/>
          <w:color w:val="000000"/>
          <w:shd w:val="clear" w:color="auto" w:fill="FFFFFF"/>
        </w:rPr>
        <w:t xml:space="preserve">benefits of </w:t>
      </w:r>
      <w:r w:rsidR="00531C5E" w:rsidRPr="00E150CA">
        <w:rPr>
          <w:rFonts w:ascii="Times New Roman" w:hAnsi="Times New Roman" w:cs="Times New Roman"/>
          <w:color w:val="000000"/>
          <w:shd w:val="clear" w:color="auto" w:fill="FFFFFF"/>
        </w:rPr>
        <w:t xml:space="preserve">increasing urban greenspace are dependent on extreme weather event, the health benefits of such policies are more </w:t>
      </w:r>
      <w:r w:rsidR="000A3562" w:rsidRPr="00E150CA">
        <w:rPr>
          <w:rFonts w:ascii="Times New Roman" w:hAnsi="Times New Roman" w:cs="Times New Roman"/>
          <w:color w:val="000000"/>
          <w:shd w:val="clear" w:color="auto" w:fill="FFFFFF"/>
        </w:rPr>
        <w:t>fixed</w:t>
      </w:r>
      <w:r w:rsidR="00531C5E" w:rsidRPr="00E150CA">
        <w:rPr>
          <w:rFonts w:ascii="Times New Roman" w:hAnsi="Times New Roman" w:cs="Times New Roman"/>
          <w:color w:val="000000"/>
          <w:shd w:val="clear" w:color="auto" w:fill="FFFFFF"/>
        </w:rPr>
        <w:t xml:space="preserve">. </w:t>
      </w:r>
      <w:r w:rsidR="00751D10" w:rsidRPr="00E150CA">
        <w:rPr>
          <w:rFonts w:ascii="Times New Roman" w:hAnsi="Times New Roman" w:cs="Times New Roman"/>
          <w:color w:val="000000"/>
          <w:shd w:val="clear" w:color="auto" w:fill="FFFFFF"/>
        </w:rPr>
        <w:t xml:space="preserve">Quantifying </w:t>
      </w:r>
      <w:r w:rsidR="00531C5E" w:rsidRPr="00E150CA">
        <w:rPr>
          <w:rFonts w:ascii="Times New Roman" w:hAnsi="Times New Roman" w:cs="Times New Roman"/>
          <w:color w:val="000000"/>
          <w:shd w:val="clear" w:color="auto" w:fill="FFFFFF"/>
        </w:rPr>
        <w:t>the health benefits</w:t>
      </w:r>
      <w:r w:rsidR="00751D10" w:rsidRPr="00E150CA">
        <w:rPr>
          <w:rFonts w:ascii="Times New Roman" w:hAnsi="Times New Roman" w:cs="Times New Roman"/>
          <w:color w:val="000000"/>
          <w:shd w:val="clear" w:color="auto" w:fill="FFFFFF"/>
        </w:rPr>
        <w:t xml:space="preserve"> can therefore serve as an impetus to </w:t>
      </w:r>
      <w:r w:rsidR="00531C5E" w:rsidRPr="00E150CA">
        <w:rPr>
          <w:rFonts w:ascii="Times New Roman" w:hAnsi="Times New Roman" w:cs="Times New Roman"/>
          <w:color w:val="000000"/>
          <w:shd w:val="clear" w:color="auto" w:fill="FFFFFF"/>
        </w:rPr>
        <w:t>increase greenspace</w:t>
      </w:r>
      <w:r w:rsidR="00751D10" w:rsidRPr="00E150CA">
        <w:rPr>
          <w:rFonts w:ascii="Times New Roman" w:hAnsi="Times New Roman" w:cs="Times New Roman"/>
          <w:color w:val="000000"/>
          <w:shd w:val="clear" w:color="auto" w:fill="FFFFFF"/>
        </w:rPr>
        <w:t xml:space="preserve">, as </w:t>
      </w:r>
      <w:r w:rsidR="00531C5E" w:rsidRPr="00E150CA">
        <w:rPr>
          <w:rFonts w:ascii="Times New Roman" w:hAnsi="Times New Roman" w:cs="Times New Roman"/>
          <w:color w:val="000000"/>
          <w:shd w:val="clear" w:color="auto" w:fill="FFFFFF"/>
        </w:rPr>
        <w:t xml:space="preserve">these advantages have a </w:t>
      </w:r>
      <w:r w:rsidR="000A3562" w:rsidRPr="00E150CA">
        <w:rPr>
          <w:rFonts w:ascii="Times New Roman" w:hAnsi="Times New Roman" w:cs="Times New Roman"/>
          <w:color w:val="000000"/>
          <w:shd w:val="clear" w:color="auto" w:fill="FFFFFF"/>
        </w:rPr>
        <w:t>more immediate and certain</w:t>
      </w:r>
      <w:r w:rsidR="00531C5E" w:rsidRPr="00E150CA">
        <w:rPr>
          <w:rFonts w:ascii="Times New Roman" w:hAnsi="Times New Roman" w:cs="Times New Roman"/>
          <w:color w:val="000000"/>
          <w:shd w:val="clear" w:color="auto" w:fill="FFFFFF"/>
        </w:rPr>
        <w:t xml:space="preserve"> pay-off.</w:t>
      </w:r>
    </w:p>
    <w:p w14:paraId="1D6E99A4" w14:textId="77777777" w:rsidR="00952099" w:rsidRDefault="00952099" w:rsidP="007B6224">
      <w:pPr>
        <w:rPr>
          <w:rFonts w:ascii="Times New Roman" w:hAnsi="Times New Roman" w:cs="Times New Roman"/>
          <w:color w:val="000000"/>
          <w:shd w:val="clear" w:color="auto" w:fill="FFFFFF"/>
        </w:rPr>
      </w:pPr>
    </w:p>
    <w:p w14:paraId="6C029ED5" w14:textId="7B592C95" w:rsidR="00952099" w:rsidRPr="00E150CA" w:rsidRDefault="00952099" w:rsidP="007B622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City leaders have limited resources and must make decisions about how best to allocate them to improve the health and well-being of their constituents. We compare the health burden </w:t>
      </w:r>
      <w:r w:rsidR="004F24B5">
        <w:rPr>
          <w:rFonts w:ascii="Times New Roman" w:hAnsi="Times New Roman" w:cs="Times New Roman"/>
          <w:color w:val="000000"/>
          <w:shd w:val="clear" w:color="auto" w:fill="FFFFFF"/>
        </w:rPr>
        <w:t>associated with a</w:t>
      </w:r>
      <w:r>
        <w:rPr>
          <w:rFonts w:ascii="Times New Roman" w:hAnsi="Times New Roman" w:cs="Times New Roman"/>
          <w:color w:val="000000"/>
          <w:shd w:val="clear" w:color="auto" w:fill="FFFFFF"/>
        </w:rPr>
        <w:t xml:space="preserve"> lack of urban greenspace to that of air pollution from particulate matter, ozone, and nitro</w:t>
      </w:r>
      <w:r w:rsidR="004F24B5">
        <w:rPr>
          <w:rFonts w:ascii="Times New Roman" w:hAnsi="Times New Roman" w:cs="Times New Roman"/>
          <w:color w:val="000000"/>
          <w:shd w:val="clear" w:color="auto" w:fill="FFFFFF"/>
        </w:rPr>
        <w:t>gen</w:t>
      </w:r>
      <w:r>
        <w:rPr>
          <w:rFonts w:ascii="Times New Roman" w:hAnsi="Times New Roman" w:cs="Times New Roman"/>
          <w:color w:val="000000"/>
          <w:shd w:val="clear" w:color="auto" w:fill="FFFFFF"/>
        </w:rPr>
        <w:t xml:space="preserve"> </w:t>
      </w:r>
      <w:r w:rsidR="004F24B5">
        <w:rPr>
          <w:rFonts w:ascii="Times New Roman" w:hAnsi="Times New Roman" w:cs="Times New Roman"/>
          <w:color w:val="000000"/>
          <w:shd w:val="clear" w:color="auto" w:fill="FFFFFF"/>
        </w:rPr>
        <w:t>di</w:t>
      </w:r>
      <w:r>
        <w:rPr>
          <w:rFonts w:ascii="Times New Roman" w:hAnsi="Times New Roman" w:cs="Times New Roman"/>
          <w:color w:val="000000"/>
          <w:shd w:val="clear" w:color="auto" w:fill="FFFFFF"/>
        </w:rPr>
        <w:t xml:space="preserve">oxide </w:t>
      </w:r>
      <w:r w:rsidR="004F24B5">
        <w:rPr>
          <w:rFonts w:ascii="Times New Roman" w:hAnsi="Times New Roman" w:cs="Times New Roman"/>
          <w:color w:val="000000"/>
          <w:shd w:val="clear" w:color="auto" w:fill="FFFFFF"/>
        </w:rPr>
        <w:t>to add context to the relative importance of greenspace as an environmental health risk factor.</w:t>
      </w:r>
      <w:r w:rsidR="001D6941">
        <w:rPr>
          <w:rFonts w:ascii="Times New Roman" w:hAnsi="Times New Roman" w:cs="Times New Roman"/>
          <w:color w:val="000000"/>
          <w:shd w:val="clear" w:color="auto" w:fill="FFFFFF"/>
        </w:rPr>
        <w:t xml:space="preserve"> Our analysis quantifies changes in urban greenspace over time across a global set of cities. The results of this study can be used to compare greenspace across cities and over time as well as to make health-centered decisions about how to allocate resources</w:t>
      </w:r>
      <w:r w:rsidR="00A3377F">
        <w:rPr>
          <w:rFonts w:ascii="Times New Roman" w:hAnsi="Times New Roman" w:cs="Times New Roman"/>
          <w:color w:val="000000"/>
          <w:shd w:val="clear" w:color="auto" w:fill="FFFFFF"/>
        </w:rPr>
        <w:t xml:space="preserve"> to mitigate urban environmental hazards</w:t>
      </w:r>
      <w:r w:rsidR="001D6941">
        <w:rPr>
          <w:rFonts w:ascii="Times New Roman" w:hAnsi="Times New Roman" w:cs="Times New Roman"/>
          <w:color w:val="000000"/>
          <w:shd w:val="clear" w:color="auto" w:fill="FFFFFF"/>
        </w:rPr>
        <w:t xml:space="preserve">. </w:t>
      </w:r>
    </w:p>
    <w:p w14:paraId="26590397" w14:textId="77777777" w:rsidR="00FA2EC9" w:rsidRPr="00E150CA" w:rsidRDefault="00FA2EC9" w:rsidP="00551D54">
      <w:pPr>
        <w:rPr>
          <w:rFonts w:ascii="Times New Roman" w:hAnsi="Times New Roman" w:cs="Times New Roman"/>
        </w:rPr>
      </w:pPr>
    </w:p>
    <w:p w14:paraId="04198E93" w14:textId="70594980"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Method</w:t>
      </w:r>
      <w:r w:rsidR="002C67A4" w:rsidRPr="00E150CA">
        <w:rPr>
          <w:rFonts w:ascii="Times New Roman" w:hAnsi="Times New Roman" w:cs="Times New Roman"/>
          <w:b/>
          <w:bCs/>
        </w:rPr>
        <w:t>s</w:t>
      </w:r>
    </w:p>
    <w:p w14:paraId="637F5F7D" w14:textId="77777777" w:rsidR="00551D54"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provide sufficient details of the experiment, simulation, statistical test or analysis carried out to generate the results such that the method can be repeated by another researcher and the results reproduced.</w:t>
      </w:r>
    </w:p>
    <w:p w14:paraId="6103DD8C" w14:textId="77777777" w:rsidR="000736DF" w:rsidRDefault="000736DF" w:rsidP="00551D54">
      <w:pPr>
        <w:rPr>
          <w:rFonts w:ascii="Times New Roman" w:hAnsi="Times New Roman" w:cs="Times New Roman"/>
        </w:rPr>
      </w:pPr>
    </w:p>
    <w:p w14:paraId="5C1B45D6" w14:textId="0028A83F" w:rsidR="00595315" w:rsidRDefault="00595315" w:rsidP="00551D54">
      <w:pPr>
        <w:rPr>
          <w:rFonts w:ascii="Times New Roman" w:hAnsi="Times New Roman" w:cs="Times New Roman"/>
        </w:rPr>
      </w:pPr>
      <w:r>
        <w:rPr>
          <w:rFonts w:ascii="Times New Roman" w:hAnsi="Times New Roman" w:cs="Times New Roman"/>
        </w:rPr>
        <w:t xml:space="preserve">We estimated urban greenspace in terms of NDVI and the percentage of green and green </w:t>
      </w:r>
      <w:r w:rsidR="0060540D">
        <w:rPr>
          <w:rFonts w:ascii="Times New Roman" w:hAnsi="Times New Roman" w:cs="Times New Roman"/>
        </w:rPr>
        <w:t>or</w:t>
      </w:r>
      <w:r>
        <w:rPr>
          <w:rFonts w:ascii="Times New Roman" w:hAnsi="Times New Roman" w:cs="Times New Roman"/>
        </w:rPr>
        <w:t xml:space="preserve"> blue </w:t>
      </w:r>
      <w:r w:rsidR="0060540D">
        <w:rPr>
          <w:rFonts w:ascii="Times New Roman" w:hAnsi="Times New Roman" w:cs="Times New Roman"/>
        </w:rPr>
        <w:t>space</w:t>
      </w:r>
      <w:r>
        <w:rPr>
          <w:rFonts w:ascii="Times New Roman" w:hAnsi="Times New Roman" w:cs="Times New Roman"/>
        </w:rPr>
        <w:t xml:space="preserve"> in 1,042 cities across 174 countries. We then conducted a quantitative health impact </w:t>
      </w:r>
      <w:r w:rsidRPr="007C220F">
        <w:rPr>
          <w:rFonts w:ascii="Times New Roman" w:hAnsi="Times New Roman" w:cs="Times New Roman"/>
        </w:rPr>
        <w:t xml:space="preserve">assessment of the change in mortality in each of these cities associated with changes in NDVI from 2015 to 2020 and 2015 to 2023. </w:t>
      </w:r>
      <w:r w:rsidR="00EA3427" w:rsidRPr="007C220F">
        <w:rPr>
          <w:rFonts w:ascii="Times New Roman" w:hAnsi="Times New Roman" w:cs="Times New Roman"/>
        </w:rPr>
        <w:t xml:space="preserve">We used the </w:t>
      </w:r>
      <w:r w:rsidR="007C220F" w:rsidRPr="007C220F">
        <w:rPr>
          <w:rFonts w:ascii="Times New Roman" w:hAnsi="Times New Roman" w:cs="Times New Roman"/>
        </w:rPr>
        <w:t xml:space="preserve">Global Human Settlement Urban Centre Database (GHS-UCDB) </w:t>
      </w:r>
      <w:r w:rsidR="00EA3427" w:rsidRPr="007C220F">
        <w:rPr>
          <w:rFonts w:ascii="Times New Roman" w:hAnsi="Times New Roman" w:cs="Times New Roman"/>
        </w:rPr>
        <w:t>to define urban extents. These spatial bounds are determined using a consistent methodology based on</w:t>
      </w:r>
      <w:r w:rsidR="00432318" w:rsidRPr="007C220F">
        <w:rPr>
          <w:rFonts w:ascii="Times New Roman" w:hAnsi="Times New Roman" w:cs="Times New Roman"/>
        </w:rPr>
        <w:t xml:space="preserve"> population and</w:t>
      </w:r>
      <w:r w:rsidR="00EA3427" w:rsidRPr="007C220F">
        <w:rPr>
          <w:rFonts w:ascii="Times New Roman" w:hAnsi="Times New Roman" w:cs="Times New Roman"/>
        </w:rPr>
        <w:t xml:space="preserve"> </w:t>
      </w:r>
      <w:r w:rsidR="00432318" w:rsidRPr="007C220F">
        <w:rPr>
          <w:rFonts w:ascii="Times New Roman" w:hAnsi="Times New Roman" w:cs="Times New Roman"/>
        </w:rPr>
        <w:t>remote sensing data.</w:t>
      </w:r>
      <w:r w:rsidR="00CE7C15" w:rsidRPr="007C220F">
        <w:rPr>
          <w:rFonts w:ascii="Times New Roman" w:hAnsi="Times New Roman" w:cs="Times New Roman"/>
        </w:rPr>
        <w:fldChar w:fldCharType="begin"/>
      </w:r>
      <w:r w:rsidR="00CE7C15" w:rsidRPr="007C220F">
        <w:rPr>
          <w:rFonts w:ascii="Times New Roman" w:hAnsi="Times New Roman" w:cs="Times New Roman"/>
        </w:rPr>
        <w:instrText xml:space="preserve"> ADDIN ZOTERO_ITEM CSL_CITATION {"citationID":"rAD9MYvP","properties":{"formattedCitation":"\\super 14\\nosupersub{}","plainCitation":"14","noteIndex":0},"citationItems":[{"id":757,"uris":["http://zotero.org/users/10202395/items/FBYZPBIZ"],"itemData":{"id":757,"type":"dataset","abstract":"The Global Human Settlement Layer (GHSL) produces new global spatial information, evidence-based analytics, and knowledge describing the human presence in the planet. The Joint Research Centre (JRC) and the Directorate General for Regional Development (DG REGIO) of the European Commission support the GHSL activities. The GHSL contributes to the international partnership “GEO Human Planet Initiative”. The GHSL methods rely on automatic spatial data mining technologies allowing the extraction of analytics and knowledge from large amount of heterogeneous data including global, fine-scale satellite-image data streams, census data, and crowd sources or volunteering geographic information sources. Spatial data reporting objectively and systematically about the presence of population and built-up infrastructures are necessary for any evidence-based modelling or assessing of i) human and physical exposure to threats as environmental contamination and degradation, natural disasters and conflicts, ii) impact of human activities on ecosystems, and iii) access to resources. The GHS Urban Centre Database (GHS- UCDB) describes spatial entities called “urban centres” accordingly to a set of multi-temporal thematic attributes gathered from the GHSL sources integrated with other sources available in the open scientific domain. The Urban Centres are defined by specific cut-off values on resident population and built-up surface share in a 1x1 km global uniform grid. The input data it is generated by the GHSL, and the operating parameters are set in the frame of the “degree of urbanization” (DEGURBA) methodology. The DEGURBA is a methodology for delineation of urban and rural areas made for international statistical comparison purposes that is developed by the European Commission, the Organization for Economic Co-operation and Development (OECD), the Food and Agriculture Organization of the United Nations (FAO), UN-Habitat and the World Bank. The reference GHSL input data used to delineate the Urban Centres are included in the Community pre-Release of GHS Data Package (GHS CR2018) in support to the GEO Human Planet Initiative. The parameter set used to delineate the Urban Centres from the input data are included in the GHSL settlement classification model SMODv9s10E 2018. The reference epoch for the spatial delineation of the Urban Centres is 2015. The attributes of the GHS-UCDB have different time depth for a maximum of 40 years, depending on availability of the input sources.","DOI":"10.2905/53473144-B88C-44BC-B4A3-4583ED1F547E","publisher":"European Commission, Joint Research Centre (JRC)","source":"DOI.org (Datacite)","title":"GHS-UCDB R2019A - GHS Urban Centre Database 2015, multitemporal and multidimensional attributes","URL":"http://data.europa.eu/89h/53473144-b88c-44bc-b4a3-4583ed1f547e","author":[{"family":"Freire","given":"Sergio"},{"family":"Schiavina","given":"Marcello"},{"family":"Corbane","given":"Christina"},{"family":"Pesaresi","given":"Martino"},{"family":"Sabo","given":"Filip"},{"family":"Tommasi","given":"Pierpaolo"},{"family":"Airaghi","given":"Donato"},{"family":"Ehrlich","given":"Daniele"},{"family":"Melchiorri","given":"Michele"},{"family":"Politis","given":"Panagiotis"},{"family":"Kemper","given":"Thomas"},{"family":"Zanchetta","given":"Luigi"},{"family":"Florczyk","given":"Aneta"},{"family":"Maffenini","given":"Luca"}],"accessed":{"date-parts":[["2024",9,25]]},"issued":{"date-parts":[["2019",1,28]]}}}],"schema":"https://github.com/citation-style-language/schema/raw/master/csl-citation.json"} </w:instrText>
      </w:r>
      <w:r w:rsidR="00CE7C15" w:rsidRPr="007C220F">
        <w:rPr>
          <w:rFonts w:ascii="Times New Roman" w:hAnsi="Times New Roman" w:cs="Times New Roman"/>
        </w:rPr>
        <w:fldChar w:fldCharType="separate"/>
      </w:r>
      <w:r w:rsidR="00CE7C15" w:rsidRPr="007C220F">
        <w:rPr>
          <w:rFonts w:ascii="Times New Roman" w:hAnsi="Times New Roman" w:cs="Times New Roman"/>
          <w:vertAlign w:val="superscript"/>
        </w:rPr>
        <w:t>14</w:t>
      </w:r>
      <w:r w:rsidR="00CE7C15" w:rsidRPr="007C220F">
        <w:rPr>
          <w:rFonts w:ascii="Times New Roman" w:hAnsi="Times New Roman" w:cs="Times New Roman"/>
        </w:rPr>
        <w:fldChar w:fldCharType="end"/>
      </w:r>
      <w:r w:rsidR="00B723B6" w:rsidRPr="007C220F">
        <w:rPr>
          <w:rFonts w:ascii="Times New Roman" w:hAnsi="Times New Roman" w:cs="Times New Roman"/>
        </w:rPr>
        <w:t xml:space="preserve"> Cities were included if they were the most populous in their country or had over 500,000 inhabitants. Due to missing data in the </w:t>
      </w:r>
      <w:r w:rsidR="007C220F" w:rsidRPr="007C220F">
        <w:rPr>
          <w:rFonts w:ascii="Times New Roman" w:hAnsi="Times New Roman" w:cs="Times New Roman"/>
        </w:rPr>
        <w:t>GHS-</w:t>
      </w:r>
      <w:r w:rsidR="00B723B6" w:rsidRPr="007C220F">
        <w:rPr>
          <w:rFonts w:ascii="Times New Roman" w:hAnsi="Times New Roman" w:cs="Times New Roman"/>
        </w:rPr>
        <w:t>UCDB or NDVI datasets, 22 countries were</w:t>
      </w:r>
      <w:r w:rsidR="00B723B6">
        <w:rPr>
          <w:rFonts w:ascii="Times New Roman" w:hAnsi="Times New Roman" w:cs="Times New Roman"/>
        </w:rPr>
        <w:t xml:space="preserve"> not represented in the analysis.  </w:t>
      </w:r>
    </w:p>
    <w:p w14:paraId="10C33AE5" w14:textId="77777777" w:rsidR="00EA3427" w:rsidRPr="00E150CA" w:rsidRDefault="00EA3427" w:rsidP="00551D54">
      <w:pPr>
        <w:rPr>
          <w:rFonts w:ascii="Times New Roman" w:hAnsi="Times New Roman" w:cs="Times New Roman"/>
        </w:rPr>
      </w:pPr>
    </w:p>
    <w:p w14:paraId="0F8F828B" w14:textId="13B8D047" w:rsidR="00A06A27" w:rsidRDefault="00A06A27" w:rsidP="00551D54">
      <w:pPr>
        <w:rPr>
          <w:rFonts w:ascii="Times New Roman" w:hAnsi="Times New Roman" w:cs="Times New Roman"/>
          <w:i/>
          <w:iCs/>
        </w:rPr>
      </w:pPr>
      <w:r w:rsidRPr="00E150CA">
        <w:rPr>
          <w:rFonts w:ascii="Times New Roman" w:hAnsi="Times New Roman" w:cs="Times New Roman"/>
          <w:i/>
          <w:iCs/>
        </w:rPr>
        <w:t>Greenspace Exposure</w:t>
      </w:r>
    </w:p>
    <w:p w14:paraId="68105A45" w14:textId="77777777" w:rsidR="00D05F03" w:rsidRDefault="00D05F03" w:rsidP="00551D54">
      <w:pPr>
        <w:rPr>
          <w:rFonts w:ascii="Times New Roman" w:hAnsi="Times New Roman" w:cs="Times New Roman"/>
          <w:i/>
          <w:iCs/>
        </w:rPr>
      </w:pPr>
    </w:p>
    <w:p w14:paraId="53D34F9F" w14:textId="6EE26AE8" w:rsidR="00D05F03" w:rsidRDefault="00D05F03" w:rsidP="00551D54">
      <w:pPr>
        <w:rPr>
          <w:rFonts w:ascii="Times New Roman" w:hAnsi="Times New Roman" w:cs="Times New Roman"/>
          <w:i/>
          <w:iCs/>
        </w:rPr>
      </w:pPr>
      <w:r>
        <w:rPr>
          <w:rFonts w:ascii="Times New Roman" w:hAnsi="Times New Roman" w:cs="Times New Roman"/>
        </w:rPr>
        <w:t xml:space="preserve">The </w:t>
      </w:r>
      <w:r w:rsidR="0083426C">
        <w:rPr>
          <w:rFonts w:ascii="Times New Roman" w:hAnsi="Times New Roman" w:cs="Times New Roman"/>
        </w:rPr>
        <w:t xml:space="preserve">2023 </w:t>
      </w:r>
      <w:r>
        <w:rPr>
          <w:rFonts w:ascii="Times New Roman" w:hAnsi="Times New Roman" w:cs="Times New Roman"/>
        </w:rPr>
        <w:t>Lancet Countdown report</w:t>
      </w:r>
      <w:r w:rsidR="0083426C">
        <w:rPr>
          <w:rFonts w:ascii="Times New Roman" w:hAnsi="Times New Roman" w:cs="Times New Roman"/>
        </w:rPr>
        <w:t>ed</w:t>
      </w:r>
      <w:r>
        <w:rPr>
          <w:rFonts w:ascii="Times New Roman" w:hAnsi="Times New Roman" w:cs="Times New Roman"/>
        </w:rPr>
        <w:t xml:space="preserve"> four greenspace exposure metrics for 2015 and each subsequent year since 2020. These metrics include</w:t>
      </w:r>
      <w:r w:rsidR="008902D6">
        <w:rPr>
          <w:rFonts w:ascii="Times New Roman" w:hAnsi="Times New Roman" w:cs="Times New Roman"/>
        </w:rPr>
        <w:t>d</w:t>
      </w:r>
      <w:r>
        <w:rPr>
          <w:rFonts w:ascii="Times New Roman" w:hAnsi="Times New Roman" w:cs="Times New Roman"/>
        </w:rPr>
        <w:t xml:space="preserve">: the maximum seasonal NDVI value (peak NDVI), the four-season average NDVI value, the population-weighted </w:t>
      </w:r>
      <w:r w:rsidR="0003208C">
        <w:rPr>
          <w:rFonts w:ascii="Times New Roman" w:hAnsi="Times New Roman" w:cs="Times New Roman"/>
        </w:rPr>
        <w:t>peak</w:t>
      </w:r>
      <w:r>
        <w:rPr>
          <w:rFonts w:ascii="Times New Roman" w:hAnsi="Times New Roman" w:cs="Times New Roman"/>
        </w:rPr>
        <w:t xml:space="preserve"> NDVI value, and the population-weighted four-season average NDVI. Additionally, we </w:t>
      </w:r>
      <w:r w:rsidR="008902D6">
        <w:rPr>
          <w:rFonts w:ascii="Times New Roman" w:hAnsi="Times New Roman" w:cs="Times New Roman"/>
        </w:rPr>
        <w:t>estimated the percent greenspace and percent green or blue space in</w:t>
      </w:r>
      <w:r>
        <w:rPr>
          <w:rFonts w:ascii="Times New Roman" w:hAnsi="Times New Roman" w:cs="Times New Roman"/>
        </w:rPr>
        <w:t xml:space="preserve"> 2015 and 2020 for each of the included cities.</w:t>
      </w:r>
    </w:p>
    <w:p w14:paraId="0089DEA3" w14:textId="77777777" w:rsidR="00D51E22" w:rsidRPr="00E150CA" w:rsidRDefault="00D51E22" w:rsidP="00551D54">
      <w:pPr>
        <w:rPr>
          <w:rFonts w:ascii="Times New Roman" w:hAnsi="Times New Roman" w:cs="Times New Roman"/>
          <w:i/>
          <w:iCs/>
        </w:rPr>
      </w:pPr>
    </w:p>
    <w:p w14:paraId="10591313" w14:textId="0E2E37D4" w:rsidR="00C31F42" w:rsidRDefault="0093536B" w:rsidP="00551D54">
      <w:pPr>
        <w:rPr>
          <w:rFonts w:ascii="Times New Roman" w:hAnsi="Times New Roman" w:cs="Times New Roman"/>
        </w:rPr>
      </w:pPr>
      <w:r>
        <w:rPr>
          <w:rFonts w:ascii="Times New Roman" w:hAnsi="Times New Roman" w:cs="Times New Roman"/>
        </w:rPr>
        <w:t>NDVI</w:t>
      </w:r>
      <w:r w:rsidR="0060540D">
        <w:rPr>
          <w:rFonts w:ascii="Times New Roman" w:hAnsi="Times New Roman" w:cs="Times New Roman"/>
        </w:rPr>
        <w:t xml:space="preserve"> estimates were</w:t>
      </w:r>
      <w:r>
        <w:rPr>
          <w:rFonts w:ascii="Times New Roman" w:hAnsi="Times New Roman" w:cs="Times New Roman"/>
        </w:rPr>
        <w:t xml:space="preserve"> derived from</w:t>
      </w:r>
      <w:r w:rsidR="00D51E22">
        <w:rPr>
          <w:rFonts w:ascii="Times New Roman" w:hAnsi="Times New Roman" w:cs="Times New Roman"/>
        </w:rPr>
        <w:t xml:space="preserve"> Landsat</w:t>
      </w:r>
      <w:r w:rsidR="008E053E">
        <w:rPr>
          <w:rFonts w:ascii="Times New Roman" w:hAnsi="Times New Roman" w:cs="Times New Roman"/>
        </w:rPr>
        <w:t xml:space="preserve"> 8 satellite</w:t>
      </w:r>
      <w:r>
        <w:rPr>
          <w:rFonts w:ascii="Times New Roman" w:hAnsi="Times New Roman" w:cs="Times New Roman"/>
        </w:rPr>
        <w:t xml:space="preserve"> imagery</w:t>
      </w:r>
      <w:r w:rsidR="0060540D">
        <w:rPr>
          <w:rFonts w:ascii="Times New Roman" w:hAnsi="Times New Roman" w:cs="Times New Roman"/>
        </w:rPr>
        <w:t xml:space="preserve">, which we accessed through </w:t>
      </w:r>
      <w:r w:rsidR="00354BDF">
        <w:rPr>
          <w:rFonts w:ascii="Times New Roman" w:hAnsi="Times New Roman" w:cs="Times New Roman"/>
        </w:rPr>
        <w:t>Google Earth Engine (GEE)</w:t>
      </w:r>
      <w:r w:rsidR="0060540D">
        <w:rPr>
          <w:rFonts w:ascii="Times New Roman" w:hAnsi="Times New Roman" w:cs="Times New Roman"/>
        </w:rPr>
        <w:t>. Landsat is a joint mission of the National Aeronautics and Space Administration (NASA) and the United States Geological Survey (USGS) and is available</w:t>
      </w:r>
      <w:r w:rsidR="00354BDF">
        <w:rPr>
          <w:rFonts w:ascii="Times New Roman" w:hAnsi="Times New Roman" w:cs="Times New Roman"/>
        </w:rPr>
        <w:t xml:space="preserve"> </w:t>
      </w:r>
      <w:r w:rsidR="00484172">
        <w:rPr>
          <w:rFonts w:ascii="Times New Roman" w:hAnsi="Times New Roman" w:cs="Times New Roman"/>
        </w:rPr>
        <w:t xml:space="preserve">at the 30m resolution </w:t>
      </w:r>
      <w:r w:rsidR="0060540D">
        <w:rPr>
          <w:rFonts w:ascii="Times New Roman" w:hAnsi="Times New Roman" w:cs="Times New Roman"/>
        </w:rPr>
        <w:t xml:space="preserve">with new images </w:t>
      </w:r>
      <w:r w:rsidR="00484172">
        <w:rPr>
          <w:rFonts w:ascii="Times New Roman" w:hAnsi="Times New Roman" w:cs="Times New Roman"/>
        </w:rPr>
        <w:t xml:space="preserve">approximately every 16 days. </w:t>
      </w:r>
      <w:r w:rsidR="0060540D">
        <w:rPr>
          <w:rFonts w:ascii="Times New Roman" w:hAnsi="Times New Roman" w:cs="Times New Roman"/>
        </w:rPr>
        <w:t>We first removed cloudy images using the “</w:t>
      </w:r>
      <w:proofErr w:type="spellStart"/>
      <w:r w:rsidR="0060540D">
        <w:rPr>
          <w:rFonts w:ascii="Times New Roman" w:hAnsi="Times New Roman" w:cs="Times New Roman"/>
        </w:rPr>
        <w:t>Landsat.simpleComposite</w:t>
      </w:r>
      <w:proofErr w:type="spellEnd"/>
      <w:r w:rsidR="0060540D">
        <w:rPr>
          <w:rFonts w:ascii="Times New Roman" w:hAnsi="Times New Roman" w:cs="Times New Roman"/>
        </w:rPr>
        <w:t xml:space="preserve">” algorithm from GEE. </w:t>
      </w:r>
      <w:r w:rsidR="00D05F03">
        <w:rPr>
          <w:rFonts w:ascii="Times New Roman" w:hAnsi="Times New Roman" w:cs="Times New Roman"/>
        </w:rPr>
        <w:t xml:space="preserve">In </w:t>
      </w:r>
      <w:r w:rsidR="00230F0F">
        <w:rPr>
          <w:rFonts w:ascii="Times New Roman" w:hAnsi="Times New Roman" w:cs="Times New Roman"/>
        </w:rPr>
        <w:t>an update to the</w:t>
      </w:r>
      <w:r w:rsidR="00D05F03">
        <w:rPr>
          <w:rFonts w:ascii="Times New Roman" w:hAnsi="Times New Roman" w:cs="Times New Roman"/>
        </w:rPr>
        <w:t xml:space="preserve"> Lancet Countdown’s methodology, w</w:t>
      </w:r>
      <w:r w:rsidR="0060540D">
        <w:rPr>
          <w:rFonts w:ascii="Times New Roman" w:hAnsi="Times New Roman" w:cs="Times New Roman"/>
        </w:rPr>
        <w:t xml:space="preserve">e then used the Joint Research </w:t>
      </w:r>
      <w:r w:rsidR="00827425">
        <w:rPr>
          <w:rFonts w:ascii="Times New Roman" w:hAnsi="Times New Roman" w:cs="Times New Roman"/>
        </w:rPr>
        <w:t>Commission</w:t>
      </w:r>
      <w:r w:rsidR="006E45F4">
        <w:rPr>
          <w:rFonts w:ascii="Times New Roman" w:hAnsi="Times New Roman" w:cs="Times New Roman"/>
        </w:rPr>
        <w:t xml:space="preserve"> (JRC)</w:t>
      </w:r>
      <w:r w:rsidR="00827425">
        <w:rPr>
          <w:rFonts w:ascii="Times New Roman" w:hAnsi="Times New Roman" w:cs="Times New Roman"/>
        </w:rPr>
        <w:t>’s</w:t>
      </w:r>
      <w:r w:rsidR="0060540D">
        <w:rPr>
          <w:rFonts w:ascii="Times New Roman" w:hAnsi="Times New Roman" w:cs="Times New Roman"/>
        </w:rPr>
        <w:t xml:space="preserve"> </w:t>
      </w:r>
      <w:r w:rsidR="0078361F">
        <w:rPr>
          <w:rFonts w:ascii="Times New Roman" w:hAnsi="Times New Roman" w:cs="Times New Roman"/>
        </w:rPr>
        <w:t xml:space="preserve">dataset </w:t>
      </w:r>
      <w:r w:rsidR="00827425">
        <w:rPr>
          <w:rFonts w:ascii="Times New Roman" w:hAnsi="Times New Roman" w:cs="Times New Roman"/>
        </w:rPr>
        <w:t xml:space="preserve">to mask pixels that were </w:t>
      </w:r>
      <w:r w:rsidR="0078361F">
        <w:rPr>
          <w:rFonts w:ascii="Times New Roman" w:hAnsi="Times New Roman" w:cs="Times New Roman"/>
        </w:rPr>
        <w:t>classified as</w:t>
      </w:r>
      <w:r w:rsidR="00827425">
        <w:rPr>
          <w:rFonts w:ascii="Times New Roman" w:hAnsi="Times New Roman" w:cs="Times New Roman"/>
        </w:rPr>
        <w:t xml:space="preserve"> permanent water. This dataset </w:t>
      </w:r>
      <w:r w:rsidR="0078361F">
        <w:rPr>
          <w:rFonts w:ascii="Times New Roman" w:hAnsi="Times New Roman" w:cs="Times New Roman"/>
        </w:rPr>
        <w:t xml:space="preserve">aligns spatially with our urban </w:t>
      </w:r>
      <w:r w:rsidR="0078361F">
        <w:rPr>
          <w:rFonts w:ascii="Times New Roman" w:hAnsi="Times New Roman" w:cs="Times New Roman"/>
        </w:rPr>
        <w:lastRenderedPageBreak/>
        <w:t xml:space="preserve">greenspace estimates, as it </w:t>
      </w:r>
      <w:r w:rsidR="00827425">
        <w:rPr>
          <w:rFonts w:ascii="Times New Roman" w:hAnsi="Times New Roman" w:cs="Times New Roman"/>
        </w:rPr>
        <w:t xml:space="preserve">is a Landsat-derived product. We used the 2015 </w:t>
      </w:r>
      <w:r w:rsidR="0078361F">
        <w:rPr>
          <w:rFonts w:ascii="Times New Roman" w:hAnsi="Times New Roman" w:cs="Times New Roman"/>
        </w:rPr>
        <w:t xml:space="preserve">dataset to </w:t>
      </w:r>
      <w:r w:rsidR="00827425">
        <w:rPr>
          <w:rFonts w:ascii="Times New Roman" w:hAnsi="Times New Roman" w:cs="Times New Roman"/>
        </w:rPr>
        <w:t xml:space="preserve">mask water pixels in our 2015 greenspace estimates and the 2020 dataset to mask water pixels in our 2020 and 2023 estimates. </w:t>
      </w:r>
      <w:r w:rsidR="00230F0F">
        <w:rPr>
          <w:rFonts w:ascii="Times New Roman" w:hAnsi="Times New Roman" w:cs="Times New Roman"/>
        </w:rPr>
        <w:t xml:space="preserve">Previously, all NDVI pixels with negative values had been set to 0, which affected in a mix of water and urban areas. </w:t>
      </w:r>
      <w:r w:rsidR="00827425">
        <w:rPr>
          <w:rFonts w:ascii="Times New Roman" w:hAnsi="Times New Roman" w:cs="Times New Roman"/>
        </w:rPr>
        <w:t>We then</w:t>
      </w:r>
      <w:r w:rsidR="00C31F42">
        <w:rPr>
          <w:rFonts w:ascii="Times New Roman" w:hAnsi="Times New Roman" w:cs="Times New Roman"/>
        </w:rPr>
        <w:t xml:space="preserve"> calculated seasonal-NDVI </w:t>
      </w:r>
      <w:r w:rsidR="00827425">
        <w:rPr>
          <w:rFonts w:ascii="Times New Roman" w:hAnsi="Times New Roman" w:cs="Times New Roman"/>
        </w:rPr>
        <w:t xml:space="preserve">averages </w:t>
      </w:r>
      <w:r w:rsidR="00C31F42">
        <w:rPr>
          <w:rFonts w:ascii="Times New Roman" w:hAnsi="Times New Roman" w:cs="Times New Roman"/>
        </w:rPr>
        <w:t>for the following time periods (with labels based on the northern hemisphere):</w:t>
      </w:r>
    </w:p>
    <w:p w14:paraId="5A457DE0" w14:textId="77777777" w:rsidR="00CA2062" w:rsidRDefault="00CA2062" w:rsidP="00551D54">
      <w:pPr>
        <w:rPr>
          <w:rFonts w:ascii="Times New Roman" w:hAnsi="Times New Roman" w:cs="Times New Roman"/>
        </w:rPr>
      </w:pPr>
    </w:p>
    <w:p w14:paraId="68EAC8D7" w14:textId="1E307A61"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Winter- December 1 of the previous year through February 28</w:t>
      </w:r>
    </w:p>
    <w:p w14:paraId="0704E6E4" w14:textId="2257AD63"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Spring- March 1 through May 31</w:t>
      </w:r>
    </w:p>
    <w:p w14:paraId="511B02AB" w14:textId="6FF94891"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Summer- June 1 through August 31</w:t>
      </w:r>
    </w:p>
    <w:p w14:paraId="4A7D8C98" w14:textId="1A53CC93" w:rsidR="00A6681F" w:rsidRDefault="00A6681F" w:rsidP="00A6681F">
      <w:pPr>
        <w:pStyle w:val="ListParagraph"/>
        <w:numPr>
          <w:ilvl w:val="0"/>
          <w:numId w:val="7"/>
        </w:numPr>
        <w:rPr>
          <w:rFonts w:ascii="Times New Roman" w:hAnsi="Times New Roman" w:cs="Times New Roman"/>
        </w:rPr>
      </w:pPr>
      <w:r>
        <w:rPr>
          <w:rFonts w:ascii="Times New Roman" w:hAnsi="Times New Roman" w:cs="Times New Roman"/>
        </w:rPr>
        <w:t>Fall- September 1 through November 30</w:t>
      </w:r>
      <w:r w:rsidR="0060540D">
        <w:rPr>
          <w:rFonts w:ascii="Times New Roman" w:hAnsi="Times New Roman" w:cs="Times New Roman"/>
        </w:rPr>
        <w:t>.</w:t>
      </w:r>
    </w:p>
    <w:p w14:paraId="5E26EB61" w14:textId="77777777" w:rsidR="000626A4" w:rsidRDefault="000626A4" w:rsidP="000626A4">
      <w:pPr>
        <w:rPr>
          <w:rFonts w:ascii="Times New Roman" w:hAnsi="Times New Roman" w:cs="Times New Roman"/>
        </w:rPr>
      </w:pPr>
    </w:p>
    <w:p w14:paraId="250BE373" w14:textId="1484C685" w:rsidR="00B37183" w:rsidRDefault="008A1B17" w:rsidP="000626A4">
      <w:pPr>
        <w:rPr>
          <w:rFonts w:ascii="Times New Roman" w:hAnsi="Times New Roman" w:cs="Times New Roman"/>
        </w:rPr>
      </w:pPr>
      <w:r>
        <w:rPr>
          <w:rFonts w:ascii="Times New Roman" w:hAnsi="Times New Roman" w:cs="Times New Roman"/>
        </w:rPr>
        <w:t>The</w:t>
      </w:r>
      <w:r w:rsidR="00230F0F">
        <w:rPr>
          <w:rFonts w:ascii="Times New Roman" w:hAnsi="Times New Roman" w:cs="Times New Roman"/>
        </w:rPr>
        <w:t xml:space="preserve"> percent green and green or blue space</w:t>
      </w:r>
      <w:r w:rsidR="00605D6C">
        <w:rPr>
          <w:rFonts w:ascii="Times New Roman" w:hAnsi="Times New Roman" w:cs="Times New Roman"/>
        </w:rPr>
        <w:t xml:space="preserve"> metrics</w:t>
      </w:r>
      <w:r>
        <w:rPr>
          <w:rFonts w:ascii="Times New Roman" w:hAnsi="Times New Roman" w:cs="Times New Roman"/>
        </w:rPr>
        <w:t xml:space="preserve"> </w:t>
      </w:r>
      <w:r w:rsidR="00230F0F">
        <w:rPr>
          <w:rFonts w:ascii="Times New Roman" w:hAnsi="Times New Roman" w:cs="Times New Roman"/>
        </w:rPr>
        <w:t>were</w:t>
      </w:r>
      <w:r>
        <w:rPr>
          <w:rFonts w:ascii="Times New Roman" w:hAnsi="Times New Roman" w:cs="Times New Roman"/>
        </w:rPr>
        <w:t xml:space="preserve"> calculated from NASA’s Modis satellite, which we also accessed through GEE. </w:t>
      </w:r>
      <w:r w:rsidR="00DD0531">
        <w:rPr>
          <w:rFonts w:ascii="Times New Roman" w:hAnsi="Times New Roman" w:cs="Times New Roman"/>
        </w:rPr>
        <w:t>Th</w:t>
      </w:r>
      <w:r w:rsidR="007C1063">
        <w:rPr>
          <w:rFonts w:ascii="Times New Roman" w:hAnsi="Times New Roman" w:cs="Times New Roman"/>
        </w:rPr>
        <w:t>is</w:t>
      </w:r>
      <w:r w:rsidR="00DD0531">
        <w:rPr>
          <w:rFonts w:ascii="Times New Roman" w:hAnsi="Times New Roman" w:cs="Times New Roman"/>
        </w:rPr>
        <w:t xml:space="preserve"> data</w:t>
      </w:r>
      <w:r w:rsidR="007C1063">
        <w:rPr>
          <w:rFonts w:ascii="Times New Roman" w:hAnsi="Times New Roman" w:cs="Times New Roman"/>
        </w:rPr>
        <w:t>set</w:t>
      </w:r>
      <w:r w:rsidR="00DD0531">
        <w:rPr>
          <w:rFonts w:ascii="Times New Roman" w:hAnsi="Times New Roman" w:cs="Times New Roman"/>
        </w:rPr>
        <w:t xml:space="preserve"> </w:t>
      </w:r>
      <w:r w:rsidR="007C1063">
        <w:rPr>
          <w:rFonts w:ascii="Times New Roman" w:hAnsi="Times New Roman" w:cs="Times New Roman"/>
        </w:rPr>
        <w:t>is</w:t>
      </w:r>
      <w:r w:rsidR="00DD0531">
        <w:rPr>
          <w:rFonts w:ascii="Times New Roman" w:hAnsi="Times New Roman" w:cs="Times New Roman"/>
        </w:rPr>
        <w:t xml:space="preserve"> </w:t>
      </w:r>
      <w:r w:rsidR="00D670DD">
        <w:rPr>
          <w:rFonts w:ascii="Times New Roman" w:hAnsi="Times New Roman" w:cs="Times New Roman"/>
        </w:rPr>
        <w:t>available</w:t>
      </w:r>
      <w:r w:rsidR="007C1063">
        <w:rPr>
          <w:rFonts w:ascii="Times New Roman" w:hAnsi="Times New Roman" w:cs="Times New Roman"/>
        </w:rPr>
        <w:t xml:space="preserve"> yearly</w:t>
      </w:r>
      <w:r w:rsidR="00DD0531">
        <w:rPr>
          <w:rFonts w:ascii="Times New Roman" w:hAnsi="Times New Roman" w:cs="Times New Roman"/>
        </w:rPr>
        <w:t xml:space="preserve"> </w:t>
      </w:r>
      <w:r w:rsidR="00337F2F">
        <w:rPr>
          <w:rFonts w:ascii="Times New Roman" w:hAnsi="Times New Roman" w:cs="Times New Roman"/>
        </w:rPr>
        <w:t xml:space="preserve">and provides various landcover classifications for each </w:t>
      </w:r>
      <w:r w:rsidR="00DD0531">
        <w:rPr>
          <w:rFonts w:ascii="Times New Roman" w:hAnsi="Times New Roman" w:cs="Times New Roman"/>
        </w:rPr>
        <w:t xml:space="preserve">500m </w:t>
      </w:r>
      <w:r w:rsidR="00337F2F">
        <w:rPr>
          <w:rFonts w:ascii="Times New Roman" w:hAnsi="Times New Roman" w:cs="Times New Roman"/>
        </w:rPr>
        <w:t xml:space="preserve">pixel. </w:t>
      </w:r>
      <w:r w:rsidR="006E2604">
        <w:rPr>
          <w:rFonts w:ascii="Times New Roman" w:hAnsi="Times New Roman" w:cs="Times New Roman"/>
        </w:rPr>
        <w:t xml:space="preserve">We used the </w:t>
      </w:r>
      <w:r w:rsidR="006E2604" w:rsidRPr="006E2604">
        <w:rPr>
          <w:rFonts w:ascii="Times New Roman" w:hAnsi="Times New Roman" w:cs="Times New Roman"/>
        </w:rPr>
        <w:t>Annual University of Maryland (UMD) classification</w:t>
      </w:r>
      <w:r w:rsidR="006E2604">
        <w:rPr>
          <w:rFonts w:ascii="Times New Roman" w:hAnsi="Times New Roman" w:cs="Times New Roman"/>
        </w:rPr>
        <w:t xml:space="preserve">. We first created binary indicators of greenspace, which included pixels classifies as forests, shrublands, savannas, grasslands, and croplands, and green or blue space, which included these categories as well as waterbodies and permanent wetlands. </w:t>
      </w:r>
      <w:r w:rsidR="00FA738D">
        <w:rPr>
          <w:rFonts w:ascii="Times New Roman" w:hAnsi="Times New Roman" w:cs="Times New Roman"/>
        </w:rPr>
        <w:t xml:space="preserve">We then took the average over the urban </w:t>
      </w:r>
      <w:r w:rsidR="00120B9A">
        <w:rPr>
          <w:rFonts w:ascii="Times New Roman" w:hAnsi="Times New Roman" w:cs="Times New Roman"/>
        </w:rPr>
        <w:t>boundary to arrive at a city-level estimate of percent greenspace and green or blue space</w:t>
      </w:r>
      <w:r w:rsidR="00FA738D">
        <w:rPr>
          <w:rFonts w:ascii="Times New Roman" w:hAnsi="Times New Roman" w:cs="Times New Roman"/>
        </w:rPr>
        <w:t>.</w:t>
      </w:r>
    </w:p>
    <w:p w14:paraId="04A3882F" w14:textId="77777777" w:rsidR="0060540D" w:rsidRDefault="0060540D" w:rsidP="000626A4">
      <w:pPr>
        <w:rPr>
          <w:rFonts w:ascii="Times New Roman" w:hAnsi="Times New Roman" w:cs="Times New Roman"/>
        </w:rPr>
      </w:pPr>
    </w:p>
    <w:p w14:paraId="2F1D9702" w14:textId="77777777" w:rsidR="002F21BE" w:rsidRPr="00E150CA" w:rsidRDefault="002F21BE" w:rsidP="002F21BE">
      <w:pPr>
        <w:rPr>
          <w:rFonts w:ascii="Times New Roman" w:hAnsi="Times New Roman" w:cs="Times New Roman"/>
          <w:i/>
          <w:iCs/>
        </w:rPr>
      </w:pPr>
      <w:r w:rsidRPr="00E150CA">
        <w:rPr>
          <w:rFonts w:ascii="Times New Roman" w:hAnsi="Times New Roman" w:cs="Times New Roman"/>
          <w:i/>
          <w:iCs/>
        </w:rPr>
        <w:t xml:space="preserve">Health Impact Assessment </w:t>
      </w:r>
    </w:p>
    <w:p w14:paraId="5439A3CF" w14:textId="40802B2D" w:rsidR="00435EC8" w:rsidRDefault="00D322C2" w:rsidP="00435EC8">
      <w:pPr>
        <w:pStyle w:val="NormalWeb"/>
        <w:spacing w:before="240" w:beforeAutospacing="0" w:after="240" w:afterAutospacing="0"/>
        <w:rPr>
          <w:color w:val="000000" w:themeColor="text1"/>
          <w:shd w:val="clear" w:color="auto" w:fill="FFFFFF"/>
        </w:rPr>
      </w:pPr>
      <w:r>
        <w:rPr>
          <w:color w:val="000000" w:themeColor="text1"/>
          <w:shd w:val="clear" w:color="auto" w:fill="FFFFFF"/>
        </w:rPr>
        <w:t>We</w:t>
      </w:r>
      <w:r w:rsidR="00435EC8">
        <w:rPr>
          <w:color w:val="000000" w:themeColor="text1"/>
          <w:shd w:val="clear" w:color="auto" w:fill="FFFFFF"/>
        </w:rPr>
        <w:t xml:space="preserve"> estimated the </w:t>
      </w:r>
      <w:r>
        <w:rPr>
          <w:color w:val="000000" w:themeColor="text1"/>
          <w:shd w:val="clear" w:color="auto" w:fill="FFFFFF"/>
        </w:rPr>
        <w:t>annual change</w:t>
      </w:r>
      <w:r w:rsidR="00435EC8">
        <w:rPr>
          <w:color w:val="000000" w:themeColor="text1"/>
          <w:shd w:val="clear" w:color="auto" w:fill="FFFFFF"/>
        </w:rPr>
        <w:t xml:space="preserve"> </w:t>
      </w:r>
      <w:r>
        <w:rPr>
          <w:color w:val="000000" w:themeColor="text1"/>
          <w:shd w:val="clear" w:color="auto" w:fill="FFFFFF"/>
        </w:rPr>
        <w:t xml:space="preserve">in </w:t>
      </w:r>
      <w:r w:rsidR="00435EC8">
        <w:rPr>
          <w:color w:val="000000" w:themeColor="text1"/>
          <w:shd w:val="clear" w:color="auto" w:fill="FFFFFF"/>
        </w:rPr>
        <w:t>premature deaths</w:t>
      </w:r>
      <w:r>
        <w:rPr>
          <w:color w:val="000000" w:themeColor="text1"/>
          <w:shd w:val="clear" w:color="auto" w:fill="FFFFFF"/>
        </w:rPr>
        <w:t xml:space="preserve"> (either excess or avoided)</w:t>
      </w:r>
      <w:r w:rsidR="00435EC8">
        <w:rPr>
          <w:color w:val="000000" w:themeColor="text1"/>
          <w:shd w:val="clear" w:color="auto" w:fill="FFFFFF"/>
        </w:rPr>
        <w:t xml:space="preserve"> associated with </w:t>
      </w:r>
      <w:r w:rsidR="006D07C8">
        <w:rPr>
          <w:color w:val="000000" w:themeColor="text1"/>
          <w:shd w:val="clear" w:color="auto" w:fill="FFFFFF"/>
        </w:rPr>
        <w:t>changes (</w:t>
      </w:r>
      <w:r>
        <w:rPr>
          <w:color w:val="000000" w:themeColor="text1"/>
          <w:shd w:val="clear" w:color="auto" w:fill="FFFFFF"/>
        </w:rPr>
        <w:t>decreases or increases</w:t>
      </w:r>
      <w:r w:rsidR="006D07C8">
        <w:rPr>
          <w:color w:val="000000" w:themeColor="text1"/>
          <w:shd w:val="clear" w:color="auto" w:fill="FFFFFF"/>
        </w:rPr>
        <w:t>)</w:t>
      </w:r>
      <w:r>
        <w:rPr>
          <w:color w:val="000000" w:themeColor="text1"/>
          <w:shd w:val="clear" w:color="auto" w:fill="FFFFFF"/>
        </w:rPr>
        <w:t xml:space="preserve"> in</w:t>
      </w:r>
      <w:r w:rsidR="00435EC8">
        <w:rPr>
          <w:color w:val="000000" w:themeColor="text1"/>
          <w:shd w:val="clear" w:color="auto" w:fill="FFFFFF"/>
        </w:rPr>
        <w:t xml:space="preserve"> </w:t>
      </w:r>
      <w:r w:rsidR="006D07C8">
        <w:rPr>
          <w:color w:val="000000" w:themeColor="text1"/>
          <w:shd w:val="clear" w:color="auto" w:fill="FFFFFF"/>
        </w:rPr>
        <w:t xml:space="preserve">urban </w:t>
      </w:r>
      <w:r w:rsidR="00435EC8">
        <w:rPr>
          <w:color w:val="000000" w:themeColor="text1"/>
          <w:shd w:val="clear" w:color="auto" w:fill="FFFFFF"/>
        </w:rPr>
        <w:t>greenspace using a linear health impact function:</w:t>
      </w:r>
    </w:p>
    <w:p w14:paraId="424E22ED" w14:textId="60B9C216" w:rsidR="00435EC8" w:rsidRDefault="00435EC8" w:rsidP="00435EC8">
      <w:pPr>
        <w:pStyle w:val="NormalWeb"/>
        <w:spacing w:before="240" w:beforeAutospacing="0" w:after="240" w:afterAutospacing="0"/>
        <w:jc w:val="center"/>
        <w:rPr>
          <w:color w:val="000000" w:themeColor="text1"/>
          <w:shd w:val="clear" w:color="auto" w:fill="FFFFFF"/>
        </w:rPr>
      </w:pPr>
      <w:r>
        <w:rPr>
          <w:color w:val="000000" w:themeColor="text1"/>
          <w:shd w:val="clear" w:color="auto" w:fill="FFFFFF"/>
        </w:rPr>
        <w:t xml:space="preserve">Equation 1: </w:t>
      </w:r>
      <m:oMath>
        <m:r>
          <m:rPr>
            <m:sty m:val="p"/>
          </m:rPr>
          <w:rPr>
            <w:rFonts w:ascii="Cambria Math" w:hAnsi="Cambria Math"/>
            <w:color w:val="000000" w:themeColor="text1"/>
            <w:shd w:val="clear" w:color="auto" w:fill="FFFFFF"/>
          </w:rPr>
          <m:t>Δ</m:t>
        </m:r>
        <m:r>
          <w:rPr>
            <w:rFonts w:ascii="Cambria Math" w:hAnsi="Cambria Math"/>
            <w:color w:val="000000" w:themeColor="text1"/>
            <w:shd w:val="clear" w:color="auto" w:fill="FFFFFF"/>
          </w:rPr>
          <m:t>mortality=∑(</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y</m:t>
            </m:r>
          </m:e>
          <m:sub>
            <m:r>
              <w:rPr>
                <w:rFonts w:ascii="Cambria Math" w:hAnsi="Cambria Math"/>
                <w:color w:val="000000" w:themeColor="text1"/>
                <w:shd w:val="clear" w:color="auto" w:fill="FFFFFF"/>
              </w:rPr>
              <m:t>0</m:t>
            </m:r>
          </m:sub>
        </m:sSub>
        <m:r>
          <w:rPr>
            <w:rFonts w:ascii="Cambria Math" w:hAnsi="Cambria Math"/>
            <w:color w:val="000000" w:themeColor="text1"/>
            <w:shd w:val="clear" w:color="auto" w:fill="FFFFFF"/>
          </w:rPr>
          <m:t>*pop*</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1-HR</m:t>
            </m:r>
          </m:e>
        </m:d>
        <m:r>
          <w:rPr>
            <w:rFonts w:ascii="Cambria Math" w:hAnsi="Cambria Math"/>
            <w:color w:val="000000" w:themeColor="text1"/>
            <w:shd w:val="clear" w:color="auto" w:fill="FFFFFF"/>
          </w:rPr>
          <m:t>*</m:t>
        </m:r>
        <m:r>
          <m:rPr>
            <m:sty m:val="p"/>
          </m:rPr>
          <w:rPr>
            <w:rFonts w:ascii="Cambria Math" w:hAnsi="Cambria Math"/>
            <w:color w:val="000000" w:themeColor="text1"/>
            <w:shd w:val="clear" w:color="auto" w:fill="FFFFFF"/>
          </w:rPr>
          <m:t>Δ</m:t>
        </m:r>
        <m:r>
          <w:rPr>
            <w:rFonts w:ascii="Cambria Math" w:hAnsi="Cambria Math"/>
            <w:color w:val="000000" w:themeColor="text1"/>
            <w:shd w:val="clear" w:color="auto" w:fill="FFFFFF"/>
          </w:rPr>
          <m:t>x)</m:t>
        </m:r>
      </m:oMath>
      <w:r>
        <w:rPr>
          <w:color w:val="000000" w:themeColor="text1"/>
          <w:shd w:val="clear" w:color="auto" w:fill="FFFFFF"/>
        </w:rPr>
        <w:t>,</w:t>
      </w:r>
    </w:p>
    <w:p w14:paraId="4A9EB90F" w14:textId="279D4382" w:rsidR="00435EC8" w:rsidRPr="00800D4D" w:rsidRDefault="00435EC8" w:rsidP="00435EC8">
      <w:pPr>
        <w:pStyle w:val="subheader"/>
        <w:rPr>
          <w:i w:val="0"/>
        </w:rPr>
      </w:pPr>
      <w:r w:rsidRPr="000444D7">
        <w:rPr>
          <w:i w:val="0"/>
          <w:iCs w:val="0"/>
        </w:rPr>
        <w:t xml:space="preserve">where </w:t>
      </w:r>
      <m:oMath>
        <m:r>
          <w:rPr>
            <w:rFonts w:ascii="Cambria Math" w:hAnsi="Cambria Math"/>
          </w:rPr>
          <m:t>Δmortality</m:t>
        </m:r>
      </m:oMath>
      <w:r w:rsidRPr="000444D7">
        <w:rPr>
          <w:i w:val="0"/>
          <w:iCs w:val="0"/>
        </w:rPr>
        <w:t xml:space="preserve"> represents the annual change in mortality for a given city</w:t>
      </w:r>
      <w:r w:rsidR="00733950">
        <w:rPr>
          <w:i w:val="0"/>
          <w:iCs w:val="0"/>
        </w:rPr>
        <w:t xml:space="preserve">. We estimated the change in mortality using country-level </w:t>
      </w:r>
      <w:r w:rsidRPr="000444D7">
        <w:rPr>
          <w:i w:val="0"/>
          <w:iCs w:val="0"/>
        </w:rPr>
        <w:t>baseline mortality (</w:t>
      </w:r>
      <m:oMath>
        <m:sSub>
          <m:sSubPr>
            <m:ctrlPr>
              <w:rPr>
                <w:rFonts w:ascii="Cambria Math" w:hAnsi="Cambria Math"/>
                <w:i w:val="0"/>
                <w:iCs w:val="0"/>
              </w:rPr>
            </m:ctrlPr>
          </m:sSubPr>
          <m:e>
            <m:r>
              <w:rPr>
                <w:rFonts w:ascii="Cambria Math" w:hAnsi="Cambria Math"/>
              </w:rPr>
              <m:t>y</m:t>
            </m:r>
          </m:e>
          <m:sub>
            <m:r>
              <w:rPr>
                <w:rFonts w:ascii="Cambria Math" w:hAnsi="Cambria Math"/>
              </w:rPr>
              <m:t>0</m:t>
            </m:r>
          </m:sub>
        </m:sSub>
      </m:oMath>
      <w:r w:rsidRPr="000444D7">
        <w:rPr>
          <w:i w:val="0"/>
          <w:iCs w:val="0"/>
        </w:rPr>
        <w:t xml:space="preserve">), </w:t>
      </w:r>
      <w:r w:rsidR="00733950">
        <w:rPr>
          <w:i w:val="0"/>
          <w:iCs w:val="0"/>
        </w:rPr>
        <w:t>pixel</w:t>
      </w:r>
      <w:r>
        <w:rPr>
          <w:i w:val="0"/>
          <w:iCs w:val="0"/>
        </w:rPr>
        <w:t xml:space="preserve">-level </w:t>
      </w:r>
      <w:r w:rsidRPr="000444D7">
        <w:rPr>
          <w:i w:val="0"/>
          <w:iCs w:val="0"/>
        </w:rPr>
        <w:t>population</w:t>
      </w:r>
      <w:r>
        <w:rPr>
          <w:i w:val="0"/>
          <w:iCs w:val="0"/>
        </w:rPr>
        <w:t xml:space="preserve"> </w:t>
      </w:r>
      <w:r w:rsidRPr="000444D7">
        <w:rPr>
          <w:i w:val="0"/>
          <w:iCs w:val="0"/>
        </w:rPr>
        <w:t>(</w:t>
      </w:r>
      <m:oMath>
        <m:r>
          <w:rPr>
            <w:rFonts w:ascii="Cambria Math" w:hAnsi="Cambria Math"/>
          </w:rPr>
          <m:t>pop),</m:t>
        </m:r>
      </m:oMath>
      <w:r w:rsidRPr="000444D7">
        <w:rPr>
          <w:i w:val="0"/>
          <w:iCs w:val="0"/>
        </w:rPr>
        <w:t xml:space="preserve"> the </w:t>
      </w:r>
      <w:r>
        <w:rPr>
          <w:i w:val="0"/>
          <w:iCs w:val="0"/>
        </w:rPr>
        <w:t>inverse of the hazard ratio (</w:t>
      </w:r>
      <w:r w:rsidRPr="00800D4D">
        <w:t>HR</w:t>
      </w:r>
      <w:r>
        <w:rPr>
          <w:i w:val="0"/>
          <w:iCs w:val="0"/>
        </w:rPr>
        <w:t xml:space="preserve">) of the protective </w:t>
      </w:r>
      <w:r w:rsidRPr="000444D7">
        <w:rPr>
          <w:i w:val="0"/>
          <w:iCs w:val="0"/>
        </w:rPr>
        <w:t xml:space="preserve">association between </w:t>
      </w:r>
      <w:r>
        <w:rPr>
          <w:i w:val="0"/>
          <w:iCs w:val="0"/>
        </w:rPr>
        <w:t>increased NDVI</w:t>
      </w:r>
      <w:r w:rsidRPr="000444D7">
        <w:rPr>
          <w:i w:val="0"/>
          <w:iCs w:val="0"/>
        </w:rPr>
        <w:t xml:space="preserve"> and all-cause mortality (</w:t>
      </w:r>
      <m:oMath>
        <m:r>
          <w:rPr>
            <w:rFonts w:ascii="Cambria Math" w:hAnsi="Cambria Math"/>
          </w:rPr>
          <m:t>1-HR</m:t>
        </m:r>
      </m:oMath>
      <w:r w:rsidRPr="000444D7">
        <w:rPr>
          <w:i w:val="0"/>
          <w:iCs w:val="0"/>
        </w:rPr>
        <w:t>)</w:t>
      </w:r>
      <w:r>
        <w:rPr>
          <w:i w:val="0"/>
          <w:iCs w:val="0"/>
        </w:rPr>
        <w:t>,</w:t>
      </w:r>
      <w:r w:rsidDel="00BA2C0D">
        <w:rPr>
          <w:i w:val="0"/>
          <w:iCs w:val="0"/>
        </w:rPr>
        <w:t xml:space="preserve"> </w:t>
      </w:r>
      <w:r>
        <w:rPr>
          <w:i w:val="0"/>
          <w:iCs w:val="0"/>
        </w:rPr>
        <w:t xml:space="preserve">and grid cell-level </w:t>
      </w:r>
      <w:r w:rsidR="00733950">
        <w:rPr>
          <w:i w:val="0"/>
          <w:iCs w:val="0"/>
        </w:rPr>
        <w:t>changes</w:t>
      </w:r>
      <w:r>
        <w:rPr>
          <w:i w:val="0"/>
          <w:iCs w:val="0"/>
        </w:rPr>
        <w:t xml:space="preserve"> in NDVI</w:t>
      </w:r>
      <w:r w:rsidRPr="000444D7">
        <w:rPr>
          <w:i w:val="0"/>
          <w:iCs w:val="0"/>
        </w:rPr>
        <w:t xml:space="preserve"> (</w:t>
      </w:r>
      <m:oMath>
        <m:r>
          <w:rPr>
            <w:rFonts w:ascii="Cambria Math" w:hAnsi="Cambria Math"/>
          </w:rPr>
          <m:t>Δx</m:t>
        </m:r>
      </m:oMath>
      <w:r w:rsidRPr="000444D7">
        <w:rPr>
          <w:i w:val="0"/>
          <w:iCs w:val="0"/>
        </w:rPr>
        <w:t>).</w:t>
      </w:r>
      <w:r>
        <w:rPr>
          <w:i w:val="0"/>
          <w:iCs w:val="0"/>
        </w:rPr>
        <w:t xml:space="preserve"> </w:t>
      </w:r>
    </w:p>
    <w:p w14:paraId="462E61EB" w14:textId="77777777" w:rsidR="00435EC8" w:rsidRDefault="00435EC8" w:rsidP="00435EC8">
      <w:pPr>
        <w:pStyle w:val="subheader"/>
        <w:rPr>
          <w:i w:val="0"/>
          <w:iCs w:val="0"/>
        </w:rPr>
      </w:pPr>
    </w:p>
    <w:p w14:paraId="63CD8A38" w14:textId="5E80A78E" w:rsidR="00435A59" w:rsidRDefault="00435EC8" w:rsidP="00435A59">
      <w:pPr>
        <w:rPr>
          <w:rFonts w:ascii="Times New Roman" w:hAnsi="Times New Roman" w:cs="Times New Roman"/>
        </w:rPr>
      </w:pPr>
      <w:r w:rsidRPr="00435A59">
        <w:rPr>
          <w:rFonts w:ascii="Times New Roman" w:hAnsi="Times New Roman" w:cs="Times New Roman"/>
        </w:rPr>
        <w:t xml:space="preserve">We used </w:t>
      </w:r>
      <w:r w:rsidR="00C90142" w:rsidRPr="00435A59">
        <w:rPr>
          <w:rFonts w:ascii="Times New Roman" w:hAnsi="Times New Roman" w:cs="Times New Roman"/>
        </w:rPr>
        <w:t xml:space="preserve">country-level </w:t>
      </w:r>
      <w:r w:rsidRPr="00435A59">
        <w:rPr>
          <w:rFonts w:ascii="Times New Roman" w:hAnsi="Times New Roman" w:cs="Times New Roman"/>
        </w:rPr>
        <w:t xml:space="preserve">baseline mortality </w:t>
      </w:r>
      <w:r w:rsidR="00C90142" w:rsidRPr="00435A59">
        <w:rPr>
          <w:rFonts w:ascii="Times New Roman" w:hAnsi="Times New Roman" w:cs="Times New Roman"/>
        </w:rPr>
        <w:t>estimates</w:t>
      </w:r>
      <w:r w:rsidRPr="00435A59">
        <w:rPr>
          <w:rFonts w:ascii="Times New Roman" w:hAnsi="Times New Roman" w:cs="Times New Roman"/>
        </w:rPr>
        <w:t xml:space="preserve"> from the Global Burden of Disease (GBD) 2021 study </w:t>
      </w:r>
      <w:r w:rsidRPr="00435A59">
        <w:rPr>
          <w:rFonts w:ascii="Times New Roman" w:hAnsi="Times New Roman" w:cs="Times New Roman"/>
        </w:rPr>
        <w:fldChar w:fldCharType="begin"/>
      </w:r>
      <w:r w:rsidRPr="00435A59">
        <w:rPr>
          <w:rFonts w:ascii="Times New Roman" w:hAnsi="Times New Roman" w:cs="Times New Roman"/>
        </w:rPr>
        <w:instrText xml:space="preserve"> ADDIN ZOTERO_ITEM CSL_CITATION {"citationID":"hcshdAsl","properties":{"formattedCitation":"\\super 19\\nosupersub{}","plainCitation":"19","noteIndex":0},"citationItems":[{"id":458,"uris":["http://zotero.org/users/10202395/items/SA6HEUQE"],"itemData":{"id":458,"type":"dataset","abstract":"The Global Burden of Disease Study 2019 (GBD 2019), coordinated by the Institute for Health Metrics and Evaluation (IHME), estimated the burden of diseases, injuries, and risk factors for 204 countries and territories and selected subnational locations.\n\nThis reference life table, or theoretical minimum risk life table (TMRLT), is used in GBD to calculate years of life lost (YLLs) due to premature mortality. It was constructed based on the lowest observed age-specific mortality rates by location and sex across all estimation years from all locations with populations over 5 million in 2016. YLLs are computed by multiplying the number of estimated deaths by the reference life table’s life expectancy at age of death. The table includes estimates for life expectancy at age x for ages 0 to 95+ at five-year intervals.","DOI":"10.6069/1D4Y-YQ37","publisher":"Institute for Health Metrics and Evaluation (IHME)","source":"DOI.org (Datacite)","title":"Global Burden of Disease Study 2019 (GBD 2019) Reference Life Table","URL":"http://ghdx.healthdata.org/record/ihme-data/global-burden-disease-study-2019-gbd-2019-reference-life-table","author":[{"family":"Global Burden of Disease Collaborative Network","given":""}],"accessed":{"date-parts":[["2023",3,18]]},"issued":{"date-parts":[["2021"]]}}}],"schema":"https://github.com/citation-style-language/schema/raw/master/csl-citation.json"} </w:instrText>
      </w:r>
      <w:r w:rsidRPr="00435A59">
        <w:rPr>
          <w:rFonts w:ascii="Times New Roman" w:hAnsi="Times New Roman" w:cs="Times New Roman"/>
        </w:rPr>
        <w:fldChar w:fldCharType="separate"/>
      </w:r>
      <w:r w:rsidRPr="00435A59">
        <w:rPr>
          <w:rFonts w:ascii="Times New Roman" w:hAnsi="Times New Roman" w:cs="Times New Roman"/>
          <w:color w:val="000000"/>
          <w:vertAlign w:val="superscript"/>
        </w:rPr>
        <w:t>19</w:t>
      </w:r>
      <w:r w:rsidRPr="00435A59">
        <w:rPr>
          <w:rFonts w:ascii="Times New Roman" w:hAnsi="Times New Roman" w:cs="Times New Roman"/>
        </w:rPr>
        <w:fldChar w:fldCharType="end"/>
      </w:r>
      <w:r w:rsidRPr="00435A59">
        <w:rPr>
          <w:rFonts w:ascii="Times New Roman" w:hAnsi="Times New Roman" w:cs="Times New Roman"/>
        </w:rPr>
        <w:t xml:space="preserve">. </w:t>
      </w:r>
      <w:r w:rsidR="00C90142" w:rsidRPr="00435A59">
        <w:rPr>
          <w:rFonts w:ascii="Times New Roman" w:hAnsi="Times New Roman" w:cs="Times New Roman"/>
        </w:rPr>
        <w:t xml:space="preserve">We used the 2015 estimates for 2015 and the 2020 estimates for 2020 and 2023. </w:t>
      </w:r>
      <w:r w:rsidR="006E45F4" w:rsidRPr="00435A59">
        <w:rPr>
          <w:rFonts w:ascii="Times New Roman" w:hAnsi="Times New Roman" w:cs="Times New Roman"/>
        </w:rPr>
        <w:t>We used 100m p</w:t>
      </w:r>
      <w:r w:rsidR="00C90142" w:rsidRPr="00435A59">
        <w:rPr>
          <w:rFonts w:ascii="Times New Roman" w:hAnsi="Times New Roman" w:cs="Times New Roman"/>
        </w:rPr>
        <w:t>ixel-level p</w:t>
      </w:r>
      <w:r w:rsidRPr="00435A59">
        <w:rPr>
          <w:rFonts w:ascii="Times New Roman" w:hAnsi="Times New Roman" w:cs="Times New Roman"/>
        </w:rPr>
        <w:t>opulation estimates</w:t>
      </w:r>
      <w:r w:rsidR="006E45F4" w:rsidRPr="00435A59">
        <w:rPr>
          <w:rFonts w:ascii="Times New Roman" w:hAnsi="Times New Roman" w:cs="Times New Roman"/>
        </w:rPr>
        <w:t xml:space="preserve"> from JRC, which we accessed through GEE</w:t>
      </w:r>
      <w:r w:rsidRPr="00435A59">
        <w:rPr>
          <w:rFonts w:ascii="Times New Roman" w:hAnsi="Times New Roman" w:cs="Times New Roman"/>
        </w:rPr>
        <w:fldChar w:fldCharType="begin"/>
      </w:r>
      <w:r w:rsidRPr="00435A59">
        <w:rPr>
          <w:rFonts w:ascii="Times New Roman" w:hAnsi="Times New Roman" w:cs="Times New Roman"/>
        </w:rPr>
        <w:instrText xml:space="preserve"> ADDIN ZOTERO_ITEM CSL_CITATION {"citationID":"QexbBpt5","properties":{"formattedCitation":"\\super 20\\nosupersub{}","plainCitation":"20","noteIndex":0},"citationItems":[{"id":453,"uris":["http://zotero.org/users/10202395/items/6HKTCU6S"],"itemData":{"id":453,"type":"document","title":"Population Counts 2020 UN-Adjusted Constrained 1 Available from: www.worldpop.org/doi/10.5258/SOTON/WP00660.","author":[{"literal":"WorldPop"}]}}],"schema":"https://github.com/citation-style-language/schema/raw/master/csl-citation.json"} </w:instrText>
      </w:r>
      <w:r w:rsidRPr="00435A59">
        <w:rPr>
          <w:rFonts w:ascii="Times New Roman" w:hAnsi="Times New Roman" w:cs="Times New Roman"/>
        </w:rPr>
        <w:fldChar w:fldCharType="separate"/>
      </w:r>
      <w:r w:rsidRPr="00435A59">
        <w:rPr>
          <w:rFonts w:ascii="Times New Roman" w:hAnsi="Times New Roman" w:cs="Times New Roman"/>
          <w:color w:val="000000"/>
          <w:vertAlign w:val="superscript"/>
        </w:rPr>
        <w:t>20</w:t>
      </w:r>
      <w:r w:rsidRPr="00435A59">
        <w:rPr>
          <w:rFonts w:ascii="Times New Roman" w:hAnsi="Times New Roman" w:cs="Times New Roman"/>
        </w:rPr>
        <w:fldChar w:fldCharType="end"/>
      </w:r>
      <w:r w:rsidRPr="00435A59">
        <w:rPr>
          <w:rFonts w:ascii="Times New Roman" w:hAnsi="Times New Roman" w:cs="Times New Roman"/>
        </w:rPr>
        <w:t>.</w:t>
      </w:r>
      <w:r w:rsidR="004821B9" w:rsidRPr="00435A59">
        <w:rPr>
          <w:rFonts w:ascii="Times New Roman" w:hAnsi="Times New Roman" w:cs="Times New Roman"/>
        </w:rPr>
        <w:t xml:space="preserve"> </w:t>
      </w:r>
      <w:r w:rsidR="005B4852" w:rsidRPr="00435A59">
        <w:rPr>
          <w:rFonts w:ascii="Times New Roman" w:hAnsi="Times New Roman" w:cs="Times New Roman"/>
        </w:rPr>
        <w:t xml:space="preserve">While the Lancet Countdown has previously used 1km estimates from the Global Population of the World, we opted to use a dataset whose resolution more closely aligned with our exposure estimates. </w:t>
      </w:r>
      <w:r w:rsidR="00847BEB">
        <w:rPr>
          <w:rFonts w:ascii="Times New Roman" w:hAnsi="Times New Roman" w:cs="Times New Roman"/>
          <w:color w:val="000000" w:themeColor="text1"/>
          <w:shd w:val="clear" w:color="auto" w:fill="FFFFFF"/>
        </w:rPr>
        <w:t>O</w:t>
      </w:r>
      <w:r w:rsidRPr="00435A59">
        <w:rPr>
          <w:rFonts w:ascii="Times New Roman" w:hAnsi="Times New Roman" w:cs="Times New Roman"/>
          <w:color w:val="000000" w:themeColor="text1"/>
          <w:shd w:val="clear" w:color="auto" w:fill="FFFFFF"/>
        </w:rPr>
        <w:t>ur estimate of the hazard ratio</w:t>
      </w:r>
      <w:r w:rsidR="00847BEB">
        <w:rPr>
          <w:rFonts w:ascii="Times New Roman" w:hAnsi="Times New Roman" w:cs="Times New Roman"/>
          <w:color w:val="000000" w:themeColor="text1"/>
          <w:shd w:val="clear" w:color="auto" w:fill="FFFFFF"/>
        </w:rPr>
        <w:t xml:space="preserve"> came from </w:t>
      </w:r>
      <w:r w:rsidR="00AF3074" w:rsidRPr="00435A59">
        <w:rPr>
          <w:rFonts w:ascii="Times New Roman" w:hAnsi="Times New Roman" w:cs="Times New Roman"/>
        </w:rPr>
        <w:t xml:space="preserve">a 2019 meta-analysis of longitudinal </w:t>
      </w:r>
      <w:r w:rsidR="00AF3074" w:rsidRPr="00435A59">
        <w:rPr>
          <w:rFonts w:ascii="Times New Roman" w:hAnsi="Times New Roman" w:cs="Times New Roman"/>
          <w:color w:val="000000"/>
          <w:shd w:val="clear" w:color="auto" w:fill="FFFFFF"/>
        </w:rPr>
        <w:t>studies of the association between NDVI and all-cause mortality</w:t>
      </w:r>
      <w:r w:rsidRPr="00435A59">
        <w:rPr>
          <w:rFonts w:ascii="Times New Roman" w:hAnsi="Times New Roman" w:cs="Times New Roman"/>
          <w:color w:val="000000" w:themeColor="text1"/>
          <w:shd w:val="clear" w:color="auto" w:fill="FFFFFF"/>
        </w:rPr>
        <w:t xml:space="preserve"> derived by Rojas-Rueda and colleagues.</w:t>
      </w:r>
      <w:r w:rsidR="00AF3074" w:rsidRPr="00435A59">
        <w:rPr>
          <w:rFonts w:ascii="Times New Roman" w:hAnsi="Times New Roman" w:cs="Times New Roman"/>
        </w:rPr>
        <w:fldChar w:fldCharType="begin"/>
      </w:r>
      <w:r w:rsidR="00AF3074" w:rsidRPr="00435A59">
        <w:rPr>
          <w:rFonts w:ascii="Times New Roman" w:hAnsi="Times New Roman" w:cs="Times New Roman"/>
        </w:rPr>
        <w:instrText xml:space="preserve"> ADDIN ZOTERO_ITEM CSL_CITATION {"citationID":"LKiwaD5p","properties":{"formattedCitation":"\\super 9\\nosupersub{}","plainCitation":"9","noteIndex":0},"citationItems":[{"id":410,"uris":["http://zotero.org/users/10202395/items/Q2YAVJ8R"],"itemData":{"id":410,"type":"article-journal","abstract":"BACKGROUND: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00AF3074" w:rsidRPr="00435A59">
        <w:rPr>
          <w:rFonts w:ascii="Times New Roman" w:hAnsi="Times New Roman" w:cs="Times New Roman"/>
        </w:rPr>
        <w:fldChar w:fldCharType="separate"/>
      </w:r>
      <w:r w:rsidR="00AF3074" w:rsidRPr="00435A59">
        <w:rPr>
          <w:rFonts w:ascii="Times New Roman" w:hAnsi="Times New Roman" w:cs="Times New Roman"/>
          <w:color w:val="000000"/>
          <w:vertAlign w:val="superscript"/>
        </w:rPr>
        <w:t>9</w:t>
      </w:r>
      <w:r w:rsidR="00AF3074" w:rsidRPr="00435A59">
        <w:rPr>
          <w:rFonts w:ascii="Times New Roman" w:hAnsi="Times New Roman" w:cs="Times New Roman"/>
        </w:rPr>
        <w:fldChar w:fldCharType="end"/>
      </w:r>
      <w:r w:rsidRPr="00435A59">
        <w:rPr>
          <w:rFonts w:ascii="Times New Roman" w:hAnsi="Times New Roman" w:cs="Times New Roman"/>
          <w:color w:val="000000" w:themeColor="text1"/>
          <w:shd w:val="clear" w:color="auto" w:fill="FFFFFF"/>
        </w:rPr>
        <w:t xml:space="preserve"> This study found a pooled hazard ratio of 0.96 (95% confidence interval (CI): 0.94, 0.97) for each 0.1 increase in NDVI within 500m of a person’s home.</w:t>
      </w:r>
      <w:r w:rsidR="00C529F1" w:rsidRPr="00435A59">
        <w:rPr>
          <w:rFonts w:ascii="Times New Roman" w:hAnsi="Times New Roman" w:cs="Times New Roman"/>
        </w:rPr>
        <w:t xml:space="preserve"> Finally, </w:t>
      </w:r>
      <w:r w:rsidR="000626A4" w:rsidRPr="00435A59">
        <w:rPr>
          <w:rFonts w:ascii="Times New Roman" w:hAnsi="Times New Roman" w:cs="Times New Roman"/>
        </w:rPr>
        <w:t>we use</w:t>
      </w:r>
      <w:r w:rsidR="00C529F1" w:rsidRPr="00435A59">
        <w:rPr>
          <w:rFonts w:ascii="Times New Roman" w:hAnsi="Times New Roman" w:cs="Times New Roman"/>
        </w:rPr>
        <w:t>d</w:t>
      </w:r>
      <w:r w:rsidR="000626A4" w:rsidRPr="00435A59">
        <w:rPr>
          <w:rFonts w:ascii="Times New Roman" w:hAnsi="Times New Roman" w:cs="Times New Roman"/>
        </w:rPr>
        <w:t xml:space="preserve"> the</w:t>
      </w:r>
      <w:r w:rsidR="00EE4043" w:rsidRPr="00435A59">
        <w:rPr>
          <w:rFonts w:ascii="Times New Roman" w:hAnsi="Times New Roman" w:cs="Times New Roman"/>
        </w:rPr>
        <w:t xml:space="preserve"> difference in</w:t>
      </w:r>
      <w:r w:rsidR="000626A4" w:rsidRPr="00435A59">
        <w:rPr>
          <w:rFonts w:ascii="Times New Roman" w:hAnsi="Times New Roman" w:cs="Times New Roman"/>
        </w:rPr>
        <w:t xml:space="preserve"> population-weighted </w:t>
      </w:r>
      <w:r w:rsidR="00EE4043" w:rsidRPr="00435A59">
        <w:rPr>
          <w:rFonts w:ascii="Times New Roman" w:hAnsi="Times New Roman" w:cs="Times New Roman"/>
        </w:rPr>
        <w:t>peak</w:t>
      </w:r>
      <w:r w:rsidR="000626A4" w:rsidRPr="00435A59">
        <w:rPr>
          <w:rFonts w:ascii="Times New Roman" w:hAnsi="Times New Roman" w:cs="Times New Roman"/>
        </w:rPr>
        <w:t xml:space="preserve"> NDVI value</w:t>
      </w:r>
      <w:r w:rsidR="00EE4043" w:rsidRPr="00435A59">
        <w:rPr>
          <w:rFonts w:ascii="Times New Roman" w:hAnsi="Times New Roman" w:cs="Times New Roman"/>
        </w:rPr>
        <w:t xml:space="preserve">s between 2015 and 2020 and 2015 and 2023 to define changes in urban greenspace. This exposure definition most closely aligned with meta-analysis we used for the HR. Several of the </w:t>
      </w:r>
      <w:r w:rsidR="00B37183" w:rsidRPr="00435A59">
        <w:rPr>
          <w:rFonts w:ascii="Times New Roman" w:hAnsi="Times New Roman" w:cs="Times New Roman"/>
        </w:rPr>
        <w:t>large</w:t>
      </w:r>
      <w:r w:rsidR="000626A4" w:rsidRPr="00435A59">
        <w:rPr>
          <w:rFonts w:ascii="Times New Roman" w:hAnsi="Times New Roman" w:cs="Times New Roman"/>
        </w:rPr>
        <w:t xml:space="preserve"> </w:t>
      </w:r>
      <w:r w:rsidR="00B37183" w:rsidRPr="00435A59">
        <w:rPr>
          <w:rFonts w:ascii="Times New Roman" w:hAnsi="Times New Roman" w:cs="Times New Roman"/>
        </w:rPr>
        <w:t xml:space="preserve">cohort </w:t>
      </w:r>
      <w:r w:rsidR="000626A4" w:rsidRPr="00435A59">
        <w:rPr>
          <w:rFonts w:ascii="Times New Roman" w:hAnsi="Times New Roman" w:cs="Times New Roman"/>
        </w:rPr>
        <w:t>studies</w:t>
      </w:r>
      <w:r w:rsidR="00EE4043" w:rsidRPr="00435A59">
        <w:rPr>
          <w:rFonts w:ascii="Times New Roman" w:hAnsi="Times New Roman" w:cs="Times New Roman"/>
        </w:rPr>
        <w:t xml:space="preserve"> included in this study defined greenspace using the average NDVI value in the greenest season</w:t>
      </w:r>
      <w:r w:rsidR="000626A4" w:rsidRPr="00435A59">
        <w:rPr>
          <w:rFonts w:ascii="Times New Roman" w:hAnsi="Times New Roman" w:cs="Times New Roman"/>
        </w:rPr>
        <w:t>.</w:t>
      </w:r>
      <w:r w:rsidR="00B37183" w:rsidRPr="00435A59">
        <w:rPr>
          <w:rFonts w:ascii="Times New Roman" w:hAnsi="Times New Roman" w:cs="Times New Roman"/>
        </w:rPr>
        <w:fldChar w:fldCharType="begin"/>
      </w:r>
      <w:r w:rsidR="00B37183" w:rsidRPr="00435A59">
        <w:rPr>
          <w:rFonts w:ascii="Times New Roman" w:hAnsi="Times New Roman" w:cs="Times New Roman"/>
        </w:rPr>
        <w:instrText xml:space="preserve"> ADDIN ZOTERO_ITEM CSL_CITATION {"citationID":"OkO2viWB","properties":{"formattedCitation":"\\super 15\\uc0\\u8211{}17\\nosupersub{}","plainCitation":"15–17","noteIndex":0},"citationItems":[{"id":620,"uris":["http://zotero.org/users/10202395/items/P63AXWQ7"],"itemData":{"id":620,"type":"article-journal","abstract":"Introduction: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00B37183" w:rsidRPr="00435A59">
        <w:rPr>
          <w:rFonts w:ascii="Times New Roman" w:hAnsi="Times New Roman" w:cs="Times New Roman"/>
        </w:rPr>
        <w:fldChar w:fldCharType="separate"/>
      </w:r>
      <w:r w:rsidR="00B37183" w:rsidRPr="00435A59">
        <w:rPr>
          <w:rFonts w:ascii="Times New Roman" w:hAnsi="Times New Roman" w:cs="Times New Roman"/>
          <w:vertAlign w:val="superscript"/>
        </w:rPr>
        <w:t>15–17</w:t>
      </w:r>
      <w:r w:rsidR="00B37183" w:rsidRPr="00435A59">
        <w:rPr>
          <w:rFonts w:ascii="Times New Roman" w:hAnsi="Times New Roman" w:cs="Times New Roman"/>
        </w:rPr>
        <w:fldChar w:fldCharType="end"/>
      </w:r>
      <w:r w:rsidR="006B257F" w:rsidRPr="00435A59">
        <w:rPr>
          <w:rFonts w:ascii="Times New Roman" w:hAnsi="Times New Roman" w:cs="Times New Roman"/>
        </w:rPr>
        <w:t xml:space="preserve"> </w:t>
      </w:r>
      <w:r w:rsidR="00435A59" w:rsidRPr="00435A59">
        <w:rPr>
          <w:rFonts w:ascii="Times New Roman" w:hAnsi="Times New Roman" w:cs="Times New Roman"/>
        </w:rPr>
        <w:t xml:space="preserve">The population weighted </w:t>
      </w:r>
      <w:r w:rsidR="00256D82">
        <w:rPr>
          <w:rFonts w:ascii="Times New Roman" w:hAnsi="Times New Roman" w:cs="Times New Roman"/>
        </w:rPr>
        <w:t xml:space="preserve">peak-season </w:t>
      </w:r>
      <w:r w:rsidR="00435A59" w:rsidRPr="00435A59">
        <w:rPr>
          <w:rFonts w:ascii="Times New Roman" w:hAnsi="Times New Roman" w:cs="Times New Roman"/>
        </w:rPr>
        <w:t xml:space="preserve">NDVI was </w:t>
      </w:r>
      <w:r w:rsidR="00435A59">
        <w:rPr>
          <w:rFonts w:ascii="Times New Roman" w:hAnsi="Times New Roman" w:cs="Times New Roman"/>
        </w:rPr>
        <w:t xml:space="preserve">calculated for each city according to the following equation: </w:t>
      </w:r>
    </w:p>
    <w:p w14:paraId="64A6F1A9" w14:textId="423221BE" w:rsidR="00435A59" w:rsidRPr="00435A59" w:rsidRDefault="00435A59" w:rsidP="00435A59">
      <w:pPr>
        <w:jc w:val="center"/>
        <w:rPr>
          <w:rFonts w:ascii="Times New Roman" w:eastAsiaTheme="minorEastAsia" w:hAnsi="Times New Roman" w:cs="Times New Roman"/>
        </w:rPr>
      </w:pPr>
      <w:r w:rsidRPr="00435A59">
        <w:rPr>
          <w:rFonts w:ascii="Cambria Math" w:hAnsi="Cambria Math" w:cs="Times New Roman"/>
        </w:rPr>
        <w:lastRenderedPageBreak/>
        <w:br/>
      </w:r>
      <w:r w:rsidRPr="00435A59">
        <w:rPr>
          <w:rFonts w:ascii="Times New Roman" w:eastAsiaTheme="minorEastAsia" w:hAnsi="Times New Roman" w:cs="Times New Roman"/>
        </w:rPr>
        <w:t xml:space="preserve">Equation 2: </w:t>
      </w:r>
      <m:oMath>
        <m:f>
          <m:fPr>
            <m:ctrlPr>
              <w:rPr>
                <w:rFonts w:ascii="Cambria Math" w:hAnsi="Cambria Math" w:cs="Times New Roman"/>
              </w:rPr>
            </m:ctrlPr>
          </m:fPr>
          <m:num>
            <m:nary>
              <m:naryPr>
                <m:chr m:val="∑"/>
                <m:limLoc m:val="subSup"/>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NDVI</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population</m:t>
                        </m:r>
                      </m:e>
                      <m:sub>
                        <m:r>
                          <m:rPr>
                            <m:sty m:val="p"/>
                          </m:rPr>
                          <w:rPr>
                            <w:rFonts w:ascii="Cambria Math" w:hAnsi="Cambria Math" w:cs="Times New Roman"/>
                          </w:rPr>
                          <m:t>i</m:t>
                        </m:r>
                      </m:sub>
                    </m:sSub>
                  </m:e>
                </m:d>
              </m:e>
            </m:nary>
          </m:num>
          <m:den>
            <m:nary>
              <m:naryPr>
                <m:chr m:val="∑"/>
                <m:limLoc m:val="subSup"/>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population</m:t>
                        </m:r>
                      </m:e>
                      <m:sub>
                        <m:r>
                          <m:rPr>
                            <m:sty m:val="p"/>
                          </m:rPr>
                          <w:rPr>
                            <w:rFonts w:ascii="Cambria Math" w:hAnsi="Cambria Math" w:cs="Times New Roman"/>
                          </w:rPr>
                          <m:t>i</m:t>
                        </m:r>
                      </m:sub>
                    </m:sSub>
                  </m:e>
                </m:d>
              </m:e>
            </m:nary>
          </m:den>
        </m:f>
      </m:oMath>
      <w:r w:rsidR="00256D82">
        <w:rPr>
          <w:rFonts w:ascii="Times New Roman" w:eastAsiaTheme="minorEastAsia" w:hAnsi="Times New Roman" w:cs="Times New Roman"/>
        </w:rPr>
        <w:t>.</w:t>
      </w:r>
    </w:p>
    <w:p w14:paraId="7615D1F6" w14:textId="77777777" w:rsidR="00435A59" w:rsidRDefault="00435A59" w:rsidP="00435A59">
      <w:pPr>
        <w:rPr>
          <w:rFonts w:ascii="Times New Roman" w:hAnsi="Times New Roman" w:cs="Times New Roman"/>
        </w:rPr>
      </w:pPr>
    </w:p>
    <w:p w14:paraId="642D97C1" w14:textId="4423B389" w:rsidR="00632B39" w:rsidRDefault="00256D82" w:rsidP="00847BEB">
      <w:pPr>
        <w:rPr>
          <w:rFonts w:ascii="Times New Roman" w:hAnsi="Times New Roman" w:cs="Times New Roman"/>
        </w:rPr>
      </w:pPr>
      <w:r>
        <w:rPr>
          <w:rFonts w:ascii="Times New Roman" w:hAnsi="Times New Roman" w:cs="Times New Roman"/>
        </w:rPr>
        <w:t xml:space="preserve">The average peak-season NDVI value in pixel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sidRPr="00256D82">
        <w:rPr>
          <w:rFonts w:ascii="Times New Roman" w:hAnsi="Times New Roman" w:cs="Times New Roman"/>
        </w:rPr>
        <w:t>NDVI</w:t>
      </w:r>
      <w:r>
        <w:rPr>
          <w:rFonts w:ascii="Times New Roman" w:hAnsi="Times New Roman" w:cs="Times New Roman"/>
          <w:vertAlign w:val="subscript"/>
        </w:rPr>
        <w:t>i</w:t>
      </w:r>
      <w:proofErr w:type="spellEnd"/>
      <w:r>
        <w:rPr>
          <w:rFonts w:ascii="Times New Roman" w:hAnsi="Times New Roman" w:cs="Times New Roman"/>
        </w:rPr>
        <w:t>)</w:t>
      </w:r>
      <w:r>
        <w:rPr>
          <w:rFonts w:ascii="Times New Roman" w:hAnsi="Times New Roman" w:cs="Times New Roman"/>
          <w:vertAlign w:val="subscript"/>
        </w:rPr>
        <w:t xml:space="preserve"> </w:t>
      </w:r>
      <w:r>
        <w:rPr>
          <w:rFonts w:ascii="Times New Roman" w:hAnsi="Times New Roman" w:cs="Times New Roman"/>
        </w:rPr>
        <w:t xml:space="preserve">was multiplied by the population in the corresponding pixel </w:t>
      </w:r>
      <w:r w:rsidR="004A1F08">
        <w:rPr>
          <w:rFonts w:ascii="Times New Roman" w:hAnsi="Times New Roman" w:cs="Times New Roman"/>
        </w:rPr>
        <w:t xml:space="preserve">for that year </w:t>
      </w:r>
      <w:r>
        <w:rPr>
          <w:rFonts w:ascii="Times New Roman" w:hAnsi="Times New Roman" w:cs="Times New Roman"/>
        </w:rPr>
        <w:t>(</w:t>
      </w:r>
      <w:proofErr w:type="spellStart"/>
      <w:r>
        <w:rPr>
          <w:rFonts w:ascii="Times New Roman" w:hAnsi="Times New Roman" w:cs="Times New Roman"/>
        </w:rPr>
        <w:t>population</w:t>
      </w:r>
      <w:r>
        <w:rPr>
          <w:rFonts w:ascii="Times New Roman" w:hAnsi="Times New Roman" w:cs="Times New Roman"/>
          <w:vertAlign w:val="subscript"/>
        </w:rPr>
        <w:t>i</w:t>
      </w:r>
      <w:proofErr w:type="spellEnd"/>
      <w:r>
        <w:rPr>
          <w:rFonts w:ascii="Times New Roman" w:hAnsi="Times New Roman" w:cs="Times New Roman"/>
        </w:rPr>
        <w:t xml:space="preserve">). These values </w:t>
      </w:r>
      <w:r w:rsidR="004A1F08">
        <w:rPr>
          <w:rFonts w:ascii="Times New Roman" w:hAnsi="Times New Roman" w:cs="Times New Roman"/>
        </w:rPr>
        <w:t xml:space="preserve">were </w:t>
      </w:r>
      <w:r>
        <w:rPr>
          <w:rFonts w:ascii="Times New Roman" w:hAnsi="Times New Roman" w:cs="Times New Roman"/>
        </w:rPr>
        <w:t xml:space="preserve">summed across all pixels within the urban boundaries and divided by the total </w:t>
      </w:r>
      <w:r w:rsidR="004A1F08">
        <w:rPr>
          <w:rFonts w:ascii="Times New Roman" w:hAnsi="Times New Roman" w:cs="Times New Roman"/>
        </w:rPr>
        <w:t xml:space="preserve">city </w:t>
      </w:r>
      <w:r>
        <w:rPr>
          <w:rFonts w:ascii="Times New Roman" w:hAnsi="Times New Roman" w:cs="Times New Roman"/>
        </w:rPr>
        <w:t xml:space="preserve">population for that year. </w:t>
      </w:r>
    </w:p>
    <w:p w14:paraId="7C84A871" w14:textId="77777777" w:rsidR="0019782A" w:rsidRDefault="0019782A" w:rsidP="00847BEB">
      <w:pPr>
        <w:rPr>
          <w:rFonts w:ascii="Times New Roman" w:hAnsi="Times New Roman" w:cs="Times New Roman"/>
        </w:rPr>
      </w:pPr>
    </w:p>
    <w:p w14:paraId="6F5BCFEB" w14:textId="1771874C" w:rsidR="0019782A" w:rsidRDefault="0019782A" w:rsidP="00847BEB">
      <w:pPr>
        <w:rPr>
          <w:rFonts w:ascii="Times New Roman" w:hAnsi="Times New Roman" w:cs="Times New Roman"/>
        </w:rPr>
      </w:pPr>
      <w:r>
        <w:rPr>
          <w:rFonts w:ascii="Times New Roman" w:hAnsi="Times New Roman" w:cs="Times New Roman"/>
        </w:rPr>
        <w:t>Depending on what groupings use introduce:</w:t>
      </w:r>
    </w:p>
    <w:p w14:paraId="79056C48" w14:textId="43DC9AA4" w:rsidR="0019782A" w:rsidRPr="001F69F2" w:rsidRDefault="0019782A" w:rsidP="00847BEB">
      <w:pPr>
        <w:rPr>
          <w:rFonts w:ascii="Times New Roman" w:hAnsi="Times New Roman" w:cs="Times New Roman"/>
        </w:rPr>
      </w:pPr>
      <w:r w:rsidRPr="001F69F2">
        <w:rPr>
          <w:rFonts w:ascii="Times New Roman" w:hAnsi="Times New Roman" w:cs="Times New Roman"/>
        </w:rPr>
        <w:t xml:space="preserve">Development Index, </w:t>
      </w:r>
      <w:proofErr w:type="spellStart"/>
      <w:r w:rsidRPr="001F69F2">
        <w:rPr>
          <w:rFonts w:ascii="Times New Roman" w:hAnsi="Times New Roman" w:cs="Times New Roman"/>
        </w:rPr>
        <w:t>Köppen</w:t>
      </w:r>
      <w:proofErr w:type="spellEnd"/>
      <w:r w:rsidRPr="001F69F2">
        <w:rPr>
          <w:rFonts w:ascii="Times New Roman" w:hAnsi="Times New Roman" w:cs="Times New Roman"/>
        </w:rPr>
        <w:t xml:space="preserve"> Climate Classification System, Lancet Countdown groupings, country groupings, and or WHO regions</w:t>
      </w:r>
    </w:p>
    <w:p w14:paraId="05E6DE3F" w14:textId="77777777" w:rsidR="00A06A27" w:rsidRPr="00E150CA" w:rsidRDefault="00A06A27" w:rsidP="00551D54">
      <w:pPr>
        <w:rPr>
          <w:rFonts w:ascii="Times New Roman" w:hAnsi="Times New Roman" w:cs="Times New Roman"/>
        </w:rPr>
      </w:pPr>
    </w:p>
    <w:p w14:paraId="73B34BEB" w14:textId="705A0A43" w:rsidR="00A06A27" w:rsidRDefault="00A06A27" w:rsidP="00551D54">
      <w:pPr>
        <w:rPr>
          <w:rFonts w:ascii="Times New Roman" w:hAnsi="Times New Roman" w:cs="Times New Roman"/>
          <w:i/>
          <w:iCs/>
        </w:rPr>
      </w:pPr>
      <w:r w:rsidRPr="00E150CA">
        <w:rPr>
          <w:rFonts w:ascii="Times New Roman" w:hAnsi="Times New Roman" w:cs="Times New Roman"/>
          <w:i/>
          <w:iCs/>
        </w:rPr>
        <w:t>Relative Contribution of Health Impact Assessment Inputs</w:t>
      </w:r>
    </w:p>
    <w:p w14:paraId="58BD561B" w14:textId="77777777" w:rsidR="00701FCC" w:rsidRDefault="00701FCC" w:rsidP="00551D54">
      <w:pPr>
        <w:rPr>
          <w:rFonts w:ascii="Times New Roman" w:hAnsi="Times New Roman" w:cs="Times New Roman"/>
          <w:i/>
          <w:iCs/>
        </w:rPr>
      </w:pPr>
    </w:p>
    <w:p w14:paraId="15447CC0" w14:textId="0AD2CB81" w:rsidR="00701FCC" w:rsidRDefault="00701FCC" w:rsidP="00551D54">
      <w:pPr>
        <w:rPr>
          <w:rFonts w:ascii="Times New Roman" w:hAnsi="Times New Roman" w:cs="Times New Roman"/>
        </w:rPr>
      </w:pPr>
      <w:r>
        <w:rPr>
          <w:rFonts w:ascii="Times New Roman" w:hAnsi="Times New Roman" w:cs="Times New Roman"/>
        </w:rPr>
        <w:t>Description of how we apportioned changes in mortality to changes in pop, changes in NDVI, and changes in baseline mortality--- not included would be changes to distribution of greenspace/population, and changes to age structure (par to changes in baseline mortality</w:t>
      </w:r>
    </w:p>
    <w:p w14:paraId="4B92232C" w14:textId="77777777" w:rsidR="00701FCC" w:rsidRDefault="00701FCC" w:rsidP="00551D54">
      <w:pPr>
        <w:rPr>
          <w:rFonts w:ascii="Times New Roman" w:hAnsi="Times New Roman" w:cs="Times New Roman"/>
        </w:rPr>
      </w:pPr>
    </w:p>
    <w:p w14:paraId="2CF29D2B" w14:textId="38D1F170" w:rsidR="00701FCC" w:rsidRDefault="00435A59" w:rsidP="00551D54">
      <w:pPr>
        <w:rPr>
          <w:rFonts w:ascii="Times New Roman" w:hAnsi="Times New Roman" w:cs="Times New Roman"/>
        </w:rPr>
      </w:pPr>
      <w:r>
        <w:rPr>
          <w:rFonts w:ascii="Times New Roman" w:hAnsi="Times New Roman" w:cs="Times New Roman"/>
        </w:rPr>
        <w:t>AND/</w:t>
      </w:r>
      <w:r w:rsidR="00701FCC">
        <w:rPr>
          <w:rFonts w:ascii="Times New Roman" w:hAnsi="Times New Roman" w:cs="Times New Roman"/>
        </w:rPr>
        <w:t>OR</w:t>
      </w:r>
    </w:p>
    <w:p w14:paraId="1E6E7795" w14:textId="77777777" w:rsidR="00EE5CD0" w:rsidRDefault="00EE5CD0" w:rsidP="00551D54">
      <w:pPr>
        <w:rPr>
          <w:rFonts w:ascii="Times New Roman" w:hAnsi="Times New Roman" w:cs="Times New Roman"/>
        </w:rPr>
      </w:pPr>
    </w:p>
    <w:p w14:paraId="2A6E0B05" w14:textId="4385C679" w:rsidR="00EE5CD0" w:rsidRDefault="00EE5CD0" w:rsidP="00EE5CD0">
      <w:pPr>
        <w:rPr>
          <w:rFonts w:ascii="Times New Roman" w:hAnsi="Times New Roman" w:cs="Times New Roman"/>
          <w:i/>
          <w:iCs/>
        </w:rPr>
      </w:pPr>
      <w:r>
        <w:rPr>
          <w:rFonts w:ascii="Times New Roman" w:hAnsi="Times New Roman" w:cs="Times New Roman"/>
          <w:i/>
          <w:iCs/>
        </w:rPr>
        <w:t xml:space="preserve">The Health Burden of Urban Environmental Risk Factors </w:t>
      </w:r>
    </w:p>
    <w:p w14:paraId="679A6DAA" w14:textId="77777777" w:rsidR="00EE5CD0" w:rsidRDefault="00EE5CD0" w:rsidP="00551D54">
      <w:pPr>
        <w:rPr>
          <w:rFonts w:ascii="Times New Roman" w:hAnsi="Times New Roman" w:cs="Times New Roman"/>
        </w:rPr>
      </w:pPr>
    </w:p>
    <w:p w14:paraId="59747D91" w14:textId="7B7F4268" w:rsidR="00701FCC" w:rsidRDefault="00701FCC" w:rsidP="00551D54">
      <w:pPr>
        <w:rPr>
          <w:rFonts w:ascii="Times New Roman" w:hAnsi="Times New Roman" w:cs="Times New Roman"/>
        </w:rPr>
      </w:pPr>
      <w:r>
        <w:rPr>
          <w:rFonts w:ascii="Times New Roman" w:hAnsi="Times New Roman" w:cs="Times New Roman"/>
        </w:rPr>
        <w:t xml:space="preserve">Compare lack of urban greenspace as risk factor relative to </w:t>
      </w:r>
      <w:r w:rsidR="00435A59">
        <w:rPr>
          <w:rFonts w:ascii="Times New Roman" w:hAnsi="Times New Roman" w:cs="Times New Roman"/>
        </w:rPr>
        <w:t>PM2.5 and ozone from</w:t>
      </w:r>
      <w:r>
        <w:rPr>
          <w:rFonts w:ascii="Times New Roman" w:hAnsi="Times New Roman" w:cs="Times New Roman"/>
        </w:rPr>
        <w:t xml:space="preserve"> 2015-2020?</w:t>
      </w:r>
    </w:p>
    <w:p w14:paraId="5A34BA85" w14:textId="672CAF44" w:rsidR="00F82E36" w:rsidRDefault="00F82E36" w:rsidP="00F82E36">
      <w:pPr>
        <w:pStyle w:val="ListParagraph"/>
        <w:numPr>
          <w:ilvl w:val="0"/>
          <w:numId w:val="8"/>
        </w:numPr>
        <w:rPr>
          <w:rFonts w:ascii="Times New Roman" w:hAnsi="Times New Roman" w:cs="Times New Roman"/>
        </w:rPr>
      </w:pPr>
      <w:r>
        <w:rPr>
          <w:rFonts w:ascii="Times New Roman" w:hAnsi="Times New Roman" w:cs="Times New Roman"/>
        </w:rPr>
        <w:t>Some weirdness b/c air pollutants have a counterfactual while NDVI can only be compared to itself so comparison might need to be 2015 v. 2020 how have they changed as risk factors over time or .1 increase in NDVI v. x ppb decrease in air pollutant</w:t>
      </w:r>
    </w:p>
    <w:p w14:paraId="5C125FD0" w14:textId="1198DC49" w:rsidR="00435A59" w:rsidRDefault="00435A59" w:rsidP="00F82E36">
      <w:pPr>
        <w:pStyle w:val="ListParagraph"/>
        <w:numPr>
          <w:ilvl w:val="0"/>
          <w:numId w:val="8"/>
        </w:numPr>
        <w:rPr>
          <w:rFonts w:ascii="Times New Roman" w:hAnsi="Times New Roman" w:cs="Times New Roman"/>
        </w:rPr>
      </w:pPr>
      <w:r>
        <w:rPr>
          <w:rFonts w:ascii="Times New Roman" w:hAnsi="Times New Roman" w:cs="Times New Roman"/>
        </w:rPr>
        <w:t xml:space="preserve">Pm2.5 is a 6 different outcome combined mortality, ozone chronic resp mortality, and </w:t>
      </w:r>
      <w:proofErr w:type="spellStart"/>
      <w:r>
        <w:rPr>
          <w:rFonts w:ascii="Times New Roman" w:hAnsi="Times New Roman" w:cs="Times New Roman"/>
        </w:rPr>
        <w:t>ndvi</w:t>
      </w:r>
      <w:proofErr w:type="spellEnd"/>
      <w:r>
        <w:rPr>
          <w:rFonts w:ascii="Times New Roman" w:hAnsi="Times New Roman" w:cs="Times New Roman"/>
        </w:rPr>
        <w:t xml:space="preserve"> all-cause (possibly ok if only pathways to mortality for pm2.5 and ozone are those included?)</w:t>
      </w:r>
    </w:p>
    <w:p w14:paraId="1D9A285C" w14:textId="5F6B302B" w:rsidR="00BE036F" w:rsidRPr="00F51C2B" w:rsidRDefault="00435A59" w:rsidP="00BE036F">
      <w:pPr>
        <w:pStyle w:val="ListParagraph"/>
        <w:numPr>
          <w:ilvl w:val="0"/>
          <w:numId w:val="8"/>
        </w:numPr>
        <w:rPr>
          <w:rFonts w:ascii="Times New Roman" w:hAnsi="Times New Roman" w:cs="Times New Roman"/>
        </w:rPr>
      </w:pPr>
      <w:r>
        <w:rPr>
          <w:rFonts w:ascii="Times New Roman" w:hAnsi="Times New Roman" w:cs="Times New Roman"/>
        </w:rPr>
        <w:t>Possible to figure out deaths per some decrease in air pollutant from info provided?</w:t>
      </w:r>
    </w:p>
    <w:p w14:paraId="4B0A8DCB" w14:textId="77777777" w:rsidR="00FA2EC9" w:rsidRPr="00E150CA" w:rsidRDefault="00FA2EC9" w:rsidP="00551D54">
      <w:pPr>
        <w:rPr>
          <w:rFonts w:ascii="Times New Roman" w:hAnsi="Times New Roman" w:cs="Times New Roman"/>
        </w:rPr>
      </w:pPr>
    </w:p>
    <w:p w14:paraId="287F2031"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Results</w:t>
      </w:r>
    </w:p>
    <w:p w14:paraId="3002D337" w14:textId="77777777" w:rsidR="00551D54" w:rsidRPr="00ED662B" w:rsidRDefault="00551D54" w:rsidP="00551D54">
      <w:pPr>
        <w:rPr>
          <w:rFonts w:ascii="Times New Roman" w:hAnsi="Times New Roman" w:cs="Times New Roman"/>
          <w:i/>
          <w:iCs/>
          <w:color w:val="156082" w:themeColor="accent1"/>
        </w:rPr>
      </w:pPr>
      <w:r w:rsidRPr="00ED662B">
        <w:rPr>
          <w:rFonts w:ascii="Times New Roman" w:hAnsi="Times New Roman" w:cs="Times New Roman"/>
          <w:i/>
          <w:iCs/>
          <w:color w:val="156082" w:themeColor="accent1"/>
        </w:rPr>
        <w:t xml:space="preserve">The results section should detail the main findings and outcomes of your study. You should use tables only to improve conciseness or where the information cannot be given satisfactorily in other ways such as histograms or graphs. </w:t>
      </w:r>
      <w:proofErr w:type="spellStart"/>
      <w:r w:rsidRPr="00ED662B">
        <w:rPr>
          <w:rFonts w:ascii="Times New Roman" w:hAnsi="Times New Roman" w:cs="Times New Roman"/>
          <w:i/>
          <w:iCs/>
          <w:color w:val="156082" w:themeColor="accent1"/>
        </w:rPr>
        <w:t>Colour</w:t>
      </w:r>
      <w:proofErr w:type="spellEnd"/>
      <w:r w:rsidRPr="00ED662B">
        <w:rPr>
          <w:rFonts w:ascii="Times New Roman" w:hAnsi="Times New Roman" w:cs="Times New Roman"/>
          <w:i/>
          <w:iCs/>
          <w:color w:val="156082" w:themeColor="accent1"/>
        </w:rPr>
        <w:t xml:space="preserve"> should not be used in tables, if you need to denote different things in a table then you can use bold or italics etc. providing no </w:t>
      </w:r>
      <w:proofErr w:type="spellStart"/>
      <w:r w:rsidRPr="00ED662B">
        <w:rPr>
          <w:rFonts w:ascii="Times New Roman" w:hAnsi="Times New Roman" w:cs="Times New Roman"/>
          <w:i/>
          <w:iCs/>
          <w:color w:val="156082" w:themeColor="accent1"/>
        </w:rPr>
        <w:t>coloured</w:t>
      </w:r>
      <w:proofErr w:type="spellEnd"/>
      <w:r w:rsidRPr="00ED662B">
        <w:rPr>
          <w:rFonts w:ascii="Times New Roman" w:hAnsi="Times New Roman" w:cs="Times New Roman"/>
          <w:i/>
          <w:iCs/>
          <w:color w:val="156082" w:themeColor="accent1"/>
        </w:rPr>
        <w:t xml:space="preserve"> text or shading is included. Tables should be numbered serially and referred to in the text by number (table 1, etc.). Each table should have an explanatory caption which should be as concise as possible.</w:t>
      </w:r>
    </w:p>
    <w:p w14:paraId="3CBD27E3" w14:textId="77777777" w:rsidR="0047751C" w:rsidRDefault="0047751C" w:rsidP="00551D54">
      <w:pPr>
        <w:rPr>
          <w:rFonts w:ascii="Times New Roman" w:hAnsi="Times New Roman" w:cs="Times New Roman"/>
        </w:rPr>
      </w:pPr>
    </w:p>
    <w:p w14:paraId="2122F28B" w14:textId="77777777" w:rsidR="00ED662B" w:rsidRDefault="00ED662B" w:rsidP="00551D54">
      <w:pPr>
        <w:rPr>
          <w:rFonts w:ascii="Times New Roman" w:hAnsi="Times New Roman" w:cs="Times New Roman"/>
        </w:rPr>
      </w:pPr>
    </w:p>
    <w:p w14:paraId="5075A444" w14:textId="77777777" w:rsidR="00ED662B" w:rsidRDefault="00ED662B" w:rsidP="00551D54">
      <w:pPr>
        <w:rPr>
          <w:rFonts w:ascii="Times New Roman" w:hAnsi="Times New Roman" w:cs="Times New Roman"/>
        </w:rPr>
      </w:pPr>
    </w:p>
    <w:p w14:paraId="403A4E7F" w14:textId="77777777" w:rsidR="00ED662B" w:rsidRDefault="00ED662B" w:rsidP="00551D54">
      <w:pPr>
        <w:rPr>
          <w:rFonts w:ascii="Times New Roman" w:hAnsi="Times New Roman" w:cs="Times New Roman"/>
        </w:rPr>
      </w:pPr>
    </w:p>
    <w:p w14:paraId="5C1748AA" w14:textId="77777777" w:rsidR="00ED662B" w:rsidRDefault="00ED662B" w:rsidP="00551D54">
      <w:pPr>
        <w:rPr>
          <w:rFonts w:ascii="Times New Roman" w:hAnsi="Times New Roman" w:cs="Times New Roman"/>
        </w:rPr>
      </w:pPr>
    </w:p>
    <w:p w14:paraId="60751B5F" w14:textId="77777777" w:rsidR="00ED662B" w:rsidRDefault="00ED662B" w:rsidP="00551D54">
      <w:pPr>
        <w:rPr>
          <w:rFonts w:ascii="Times New Roman" w:hAnsi="Times New Roman" w:cs="Times New Roman"/>
        </w:rPr>
      </w:pPr>
    </w:p>
    <w:p w14:paraId="50D6EB31" w14:textId="77777777" w:rsidR="00ED662B" w:rsidRDefault="00ED662B" w:rsidP="00551D54">
      <w:pPr>
        <w:rPr>
          <w:rFonts w:ascii="Times New Roman" w:hAnsi="Times New Roman" w:cs="Times New Roman"/>
        </w:rPr>
      </w:pPr>
    </w:p>
    <w:p w14:paraId="6B51E5FD" w14:textId="77777777" w:rsidR="00ED662B" w:rsidRDefault="00ED662B" w:rsidP="00551D54">
      <w:pPr>
        <w:rPr>
          <w:rFonts w:ascii="Times New Roman" w:hAnsi="Times New Roman" w:cs="Times New Roman"/>
        </w:rPr>
      </w:pPr>
    </w:p>
    <w:p w14:paraId="0EA60C9A" w14:textId="57C89198" w:rsidR="00ED662B" w:rsidRDefault="00ED662B" w:rsidP="00551D54">
      <w:pPr>
        <w:rPr>
          <w:rFonts w:ascii="Times New Roman" w:hAnsi="Times New Roman" w:cs="Times New Roman"/>
        </w:rPr>
      </w:pPr>
      <w:r>
        <w:rPr>
          <w:rFonts w:ascii="Times New Roman" w:hAnsi="Times New Roman" w:cs="Times New Roman"/>
          <w:i/>
          <w:iCs/>
          <w:noProof/>
          <w:color w:val="156082" w:themeColor="accent1"/>
        </w:rPr>
        <w:lastRenderedPageBreak/>
        <w:drawing>
          <wp:inline distT="0" distB="0" distL="0" distR="0" wp14:anchorId="448654E0" wp14:editId="1D9CF80F">
            <wp:extent cx="4914900" cy="2057400"/>
            <wp:effectExtent l="0" t="0" r="0" b="0"/>
            <wp:docPr id="1446968831"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68831" name="Picture 1" descr="A map of the worl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4900" cy="2057400"/>
                    </a:xfrm>
                    <a:prstGeom prst="rect">
                      <a:avLst/>
                    </a:prstGeom>
                  </pic:spPr>
                </pic:pic>
              </a:graphicData>
            </a:graphic>
          </wp:inline>
        </w:drawing>
      </w:r>
    </w:p>
    <w:p w14:paraId="04BD5B0C" w14:textId="77777777" w:rsidR="00ED662B" w:rsidRDefault="00ED662B" w:rsidP="00551D54">
      <w:pPr>
        <w:rPr>
          <w:rFonts w:ascii="Times New Roman" w:hAnsi="Times New Roman" w:cs="Times New Roman"/>
        </w:rPr>
      </w:pPr>
    </w:p>
    <w:p w14:paraId="4CC64F68" w14:textId="77777777" w:rsidR="00ED662B" w:rsidRPr="00ED662B" w:rsidRDefault="00ED662B" w:rsidP="00ED662B">
      <w:pPr>
        <w:rPr>
          <w:rFonts w:ascii="Times New Roman" w:hAnsi="Times New Roman" w:cs="Times New Roman"/>
          <w:b/>
          <w:bCs/>
          <w:i/>
          <w:iCs/>
        </w:rPr>
      </w:pPr>
      <w:r w:rsidRPr="00ED662B">
        <w:rPr>
          <w:rFonts w:ascii="Times New Roman" w:hAnsi="Times New Roman" w:cs="Times New Roman"/>
          <w:b/>
          <w:bCs/>
          <w:i/>
          <w:iCs/>
        </w:rPr>
        <w:t xml:space="preserve">Figure 1. </w:t>
      </w:r>
      <w:r w:rsidRPr="00ED662B">
        <w:rPr>
          <w:rFonts w:ascii="Times New Roman" w:hAnsi="Times New Roman" w:cs="Times New Roman"/>
          <w:i/>
          <w:iCs/>
        </w:rPr>
        <w:t>2023 population-weighted peak NDVI.</w:t>
      </w:r>
    </w:p>
    <w:p w14:paraId="028D9DBE" w14:textId="77777777" w:rsidR="00ED662B" w:rsidRDefault="00ED662B" w:rsidP="00551D54">
      <w:pPr>
        <w:rPr>
          <w:rFonts w:ascii="Times New Roman" w:hAnsi="Times New Roman" w:cs="Times New Roman"/>
        </w:rPr>
      </w:pPr>
    </w:p>
    <w:p w14:paraId="7B0BCEE1" w14:textId="228A0704" w:rsidR="00ED662B" w:rsidRPr="00ED662B" w:rsidRDefault="00BE604A" w:rsidP="00ED662B">
      <w:pPr>
        <w:pStyle w:val="ListParagraph"/>
        <w:numPr>
          <w:ilvl w:val="0"/>
          <w:numId w:val="8"/>
        </w:numPr>
        <w:rPr>
          <w:rFonts w:ascii="Times New Roman" w:hAnsi="Times New Roman" w:cs="Times New Roman"/>
        </w:rPr>
      </w:pPr>
      <w:r>
        <w:rPr>
          <w:rFonts w:ascii="Times New Roman" w:hAnsi="Times New Roman" w:cs="Times New Roman"/>
        </w:rPr>
        <w:t xml:space="preserve">2015 pop, 2020 % diff, 2023 % diff show in opposite colors (color-blind friendly) </w:t>
      </w:r>
    </w:p>
    <w:p w14:paraId="4EA63039" w14:textId="77777777" w:rsidR="00FA2EC9" w:rsidRDefault="00FA2EC9" w:rsidP="00551D54">
      <w:pPr>
        <w:rPr>
          <w:rFonts w:ascii="Times New Roman" w:hAnsi="Times New Roman" w:cs="Times New Roman"/>
        </w:rPr>
      </w:pPr>
    </w:p>
    <w:p w14:paraId="44F026F6" w14:textId="2648AE7B" w:rsidR="00ED662B" w:rsidRDefault="00ED662B" w:rsidP="00551D54">
      <w:pPr>
        <w:rPr>
          <w:rFonts w:ascii="Times New Roman" w:hAnsi="Times New Roman" w:cs="Times New Roman"/>
          <w:i/>
          <w:iCs/>
        </w:rPr>
      </w:pPr>
      <w:r w:rsidRPr="0049174D">
        <w:rPr>
          <w:rFonts w:ascii="Times New Roman" w:hAnsi="Times New Roman" w:cs="Times New Roman"/>
          <w:b/>
          <w:bCs/>
          <w:i/>
          <w:iCs/>
        </w:rPr>
        <w:t>Figure 2</w:t>
      </w:r>
      <w:r w:rsidR="0049174D" w:rsidRPr="0049174D">
        <w:rPr>
          <w:rFonts w:ascii="Times New Roman" w:hAnsi="Times New Roman" w:cs="Times New Roman"/>
          <w:b/>
          <w:bCs/>
          <w:i/>
          <w:iCs/>
        </w:rPr>
        <w:t>.</w:t>
      </w:r>
      <w:r w:rsidR="0049174D" w:rsidRPr="0049174D">
        <w:rPr>
          <w:rFonts w:ascii="Times New Roman" w:hAnsi="Times New Roman" w:cs="Times New Roman"/>
          <w:i/>
          <w:iCs/>
        </w:rPr>
        <w:t xml:space="preserve"> Green and blue area. </w:t>
      </w:r>
      <w:r w:rsidR="00BE604A">
        <w:rPr>
          <w:rFonts w:ascii="Times New Roman" w:hAnsi="Times New Roman" w:cs="Times New Roman"/>
          <w:i/>
          <w:iCs/>
        </w:rPr>
        <w:t>Organize by pop size w/in region, by HDI see if any trends appear, if not could be multi-panel by region</w:t>
      </w:r>
    </w:p>
    <w:p w14:paraId="1904F4FD" w14:textId="344B04E3" w:rsidR="005B2BD0" w:rsidRDefault="005B2BD0" w:rsidP="00551D54">
      <w:pPr>
        <w:rPr>
          <w:rFonts w:ascii="Times New Roman" w:hAnsi="Times New Roman" w:cs="Times New Roman"/>
          <w:i/>
          <w:iCs/>
        </w:rPr>
      </w:pPr>
      <w:r>
        <w:rPr>
          <w:rFonts w:ascii="Times New Roman" w:hAnsi="Times New Roman" w:cs="Times New Roman"/>
          <w:i/>
          <w:iCs/>
          <w:noProof/>
        </w:rPr>
        <w:drawing>
          <wp:inline distT="0" distB="0" distL="0" distR="0" wp14:anchorId="3D073C5A" wp14:editId="10156344">
            <wp:extent cx="5943600" cy="3166745"/>
            <wp:effectExtent l="0" t="0" r="0" b="0"/>
            <wp:docPr id="1636307655" name="Picture 1" descr="A diagram of a type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07655" name="Picture 1" descr="A diagram of a type of data&#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199095B6" w14:textId="77777777" w:rsidR="0049174D" w:rsidRDefault="0049174D" w:rsidP="00551D54">
      <w:pPr>
        <w:rPr>
          <w:rFonts w:ascii="Times New Roman" w:hAnsi="Times New Roman" w:cs="Times New Roman"/>
        </w:rPr>
      </w:pPr>
    </w:p>
    <w:p w14:paraId="58261D5C" w14:textId="25A3D78A" w:rsidR="0049174D" w:rsidRDefault="0049174D" w:rsidP="00551D54">
      <w:pPr>
        <w:rPr>
          <w:rFonts w:ascii="Times New Roman" w:hAnsi="Times New Roman" w:cs="Times New Roman"/>
          <w:i/>
          <w:iCs/>
        </w:rPr>
      </w:pPr>
      <w:r w:rsidRPr="0049174D">
        <w:rPr>
          <w:rFonts w:ascii="Times New Roman" w:hAnsi="Times New Roman" w:cs="Times New Roman"/>
          <w:b/>
          <w:bCs/>
          <w:i/>
          <w:iCs/>
        </w:rPr>
        <w:t>Figure 3.</w:t>
      </w:r>
      <w:r w:rsidRPr="0049174D">
        <w:rPr>
          <w:rFonts w:ascii="Times New Roman" w:hAnsi="Times New Roman" w:cs="Times New Roman"/>
          <w:i/>
          <w:iCs/>
        </w:rPr>
        <w:t xml:space="preserve"> Annual all-cause change in mortality associated with changes in NDVI.</w:t>
      </w:r>
    </w:p>
    <w:p w14:paraId="18CE13A2" w14:textId="77777777" w:rsidR="0049174D" w:rsidRDefault="0049174D" w:rsidP="00551D54">
      <w:pPr>
        <w:rPr>
          <w:rFonts w:ascii="Times New Roman" w:hAnsi="Times New Roman" w:cs="Times New Roman"/>
        </w:rPr>
      </w:pPr>
    </w:p>
    <w:p w14:paraId="5692252D" w14:textId="77777777" w:rsidR="00BE604A" w:rsidRDefault="00BE604A" w:rsidP="00551D54">
      <w:pPr>
        <w:rPr>
          <w:rFonts w:ascii="Times New Roman" w:hAnsi="Times New Roman" w:cs="Times New Roman"/>
        </w:rPr>
      </w:pPr>
      <w:r>
        <w:rPr>
          <w:rFonts w:ascii="Times New Roman" w:hAnsi="Times New Roman" w:cs="Times New Roman"/>
        </w:rPr>
        <w:t xml:space="preserve">Multi-panel: </w:t>
      </w:r>
      <w:r w:rsidR="0049174D">
        <w:rPr>
          <w:rFonts w:ascii="Times New Roman" w:hAnsi="Times New Roman" w:cs="Times New Roman"/>
        </w:rPr>
        <w:t xml:space="preserve">per 100,000 </w:t>
      </w:r>
      <w:r>
        <w:rPr>
          <w:rFonts w:ascii="Times New Roman" w:hAnsi="Times New Roman" w:cs="Times New Roman"/>
        </w:rPr>
        <w:t>results. Panel A: 2020 v 2015 using 2015 for pop and mort</w:t>
      </w:r>
      <w:r w:rsidR="0049174D">
        <w:rPr>
          <w:rFonts w:ascii="Times New Roman" w:hAnsi="Times New Roman" w:cs="Times New Roman"/>
        </w:rPr>
        <w:t xml:space="preserve"> </w:t>
      </w:r>
    </w:p>
    <w:p w14:paraId="34366A64" w14:textId="77777777" w:rsidR="00BE604A" w:rsidRDefault="00BE604A" w:rsidP="00551D54">
      <w:pPr>
        <w:rPr>
          <w:rFonts w:ascii="Times New Roman" w:hAnsi="Times New Roman" w:cs="Times New Roman"/>
        </w:rPr>
      </w:pPr>
      <w:r>
        <w:rPr>
          <w:rFonts w:ascii="Times New Roman" w:hAnsi="Times New Roman" w:cs="Times New Roman"/>
        </w:rPr>
        <w:t xml:space="preserve">Panel B: 2023 v 2020 using 2020 for pop and mort </w:t>
      </w:r>
    </w:p>
    <w:p w14:paraId="4343B97A" w14:textId="77777777" w:rsidR="0049174D" w:rsidRDefault="0049174D" w:rsidP="00551D54">
      <w:pPr>
        <w:rPr>
          <w:rFonts w:ascii="Times New Roman" w:hAnsi="Times New Roman" w:cs="Times New Roman"/>
        </w:rPr>
      </w:pPr>
    </w:p>
    <w:p w14:paraId="46921832" w14:textId="6736418A" w:rsidR="0049174D" w:rsidRDefault="0049174D" w:rsidP="00551D54">
      <w:pPr>
        <w:rPr>
          <w:rFonts w:ascii="Times New Roman" w:hAnsi="Times New Roman" w:cs="Times New Roman"/>
        </w:rPr>
      </w:pPr>
      <w:r>
        <w:rPr>
          <w:rFonts w:ascii="Times New Roman" w:hAnsi="Times New Roman" w:cs="Times New Roman"/>
          <w:b/>
          <w:bCs/>
        </w:rPr>
        <w:t xml:space="preserve">Figure 4. </w:t>
      </w:r>
      <w:r w:rsidR="00BE604A">
        <w:rPr>
          <w:rFonts w:ascii="Times New Roman" w:hAnsi="Times New Roman" w:cs="Times New Roman"/>
        </w:rPr>
        <w:t>breakdown contributing factors</w:t>
      </w:r>
    </w:p>
    <w:p w14:paraId="0B5B83F4" w14:textId="525E723C" w:rsidR="00BE604A" w:rsidRDefault="00BE604A" w:rsidP="00551D54">
      <w:pPr>
        <w:rPr>
          <w:rFonts w:ascii="Times New Roman" w:hAnsi="Times New Roman" w:cs="Times New Roman"/>
        </w:rPr>
      </w:pPr>
      <w:r>
        <w:rPr>
          <w:rFonts w:ascii="Times New Roman" w:hAnsi="Times New Roman" w:cs="Times New Roman"/>
        </w:rPr>
        <w:t xml:space="preserve">Look at Veronica’s PM paper--- avg across cities in each region </w:t>
      </w:r>
      <w:r w:rsidR="00AB4188">
        <w:rPr>
          <w:rFonts w:ascii="Times New Roman" w:hAnsi="Times New Roman" w:cs="Times New Roman"/>
        </w:rPr>
        <w:t xml:space="preserve">(line graphs with trend for population, </w:t>
      </w:r>
    </w:p>
    <w:p w14:paraId="22B44AA0" w14:textId="7DEE5D99" w:rsidR="0049174D" w:rsidRDefault="00AB4188" w:rsidP="00551D54">
      <w:pPr>
        <w:rPr>
          <w:rFonts w:ascii="Times New Roman" w:hAnsi="Times New Roman" w:cs="Times New Roman"/>
        </w:rPr>
      </w:pPr>
      <w:r>
        <w:rPr>
          <w:rFonts w:ascii="Times New Roman" w:hAnsi="Times New Roman" w:cs="Times New Roman"/>
          <w:noProof/>
        </w:rPr>
        <w:lastRenderedPageBreak/>
        <w:drawing>
          <wp:inline distT="0" distB="0" distL="0" distR="0" wp14:anchorId="3C89B85C" wp14:editId="749869C8">
            <wp:extent cx="4762500" cy="4381500"/>
            <wp:effectExtent l="0" t="0" r="0" b="0"/>
            <wp:docPr id="1695916721"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16721" name="Picture 1" descr="A graph with different colored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62500" cy="4381500"/>
                    </a:xfrm>
                    <a:prstGeom prst="rect">
                      <a:avLst/>
                    </a:prstGeom>
                  </pic:spPr>
                </pic:pic>
              </a:graphicData>
            </a:graphic>
          </wp:inline>
        </w:drawing>
      </w:r>
    </w:p>
    <w:p w14:paraId="695826C6" w14:textId="5ADD62C8" w:rsidR="0049174D" w:rsidRDefault="0049174D" w:rsidP="00551D54">
      <w:pPr>
        <w:rPr>
          <w:rFonts w:ascii="Times New Roman" w:hAnsi="Times New Roman" w:cs="Times New Roman"/>
        </w:rPr>
      </w:pPr>
      <w:r>
        <w:rPr>
          <w:rFonts w:ascii="Times New Roman" w:hAnsi="Times New Roman" w:cs="Times New Roman"/>
        </w:rPr>
        <w:t>Possibly 2 panels: 1 showing just 2020 values. Side by side or stacked bar of annual deaths from three sources by region or by HDI level (for air pollutants from recommended to observed levels for NDVI per .1 increase)</w:t>
      </w:r>
    </w:p>
    <w:p w14:paraId="40BD5F7E" w14:textId="77777777" w:rsidR="0049174D" w:rsidRDefault="0049174D" w:rsidP="00551D54">
      <w:pPr>
        <w:rPr>
          <w:rFonts w:ascii="Times New Roman" w:hAnsi="Times New Roman" w:cs="Times New Roman"/>
        </w:rPr>
      </w:pPr>
    </w:p>
    <w:p w14:paraId="2F82273E" w14:textId="6A82FC29" w:rsidR="0049174D" w:rsidRPr="0049174D" w:rsidRDefault="0049174D" w:rsidP="00551D54">
      <w:pPr>
        <w:rPr>
          <w:rFonts w:ascii="Times New Roman" w:hAnsi="Times New Roman" w:cs="Times New Roman"/>
        </w:rPr>
      </w:pPr>
      <w:r>
        <w:rPr>
          <w:rFonts w:ascii="Times New Roman" w:hAnsi="Times New Roman" w:cs="Times New Roman"/>
        </w:rPr>
        <w:t>Second panel showing relative change 2015 v 2020 in deaths from that cause i.e. is it a worsening or improving risk factor</w:t>
      </w:r>
    </w:p>
    <w:p w14:paraId="658D5587" w14:textId="77777777" w:rsidR="0049174D" w:rsidRDefault="0049174D" w:rsidP="00551D54">
      <w:pPr>
        <w:rPr>
          <w:rFonts w:ascii="Times New Roman" w:hAnsi="Times New Roman" w:cs="Times New Roman"/>
        </w:rPr>
      </w:pPr>
    </w:p>
    <w:p w14:paraId="5E7C09EB" w14:textId="77777777" w:rsidR="0049174D" w:rsidRPr="0049174D" w:rsidRDefault="0049174D" w:rsidP="00551D54">
      <w:pPr>
        <w:rPr>
          <w:rFonts w:ascii="Times New Roman" w:hAnsi="Times New Roman" w:cs="Times New Roman"/>
        </w:rPr>
      </w:pPr>
    </w:p>
    <w:p w14:paraId="776DAF88"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Discussion</w:t>
      </w:r>
    </w:p>
    <w:p w14:paraId="45F3EA58" w14:textId="58E27B99"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should discuss the significance of the results and compare them with previous work using relevant references.</w:t>
      </w:r>
    </w:p>
    <w:p w14:paraId="7F0F4C41" w14:textId="77777777" w:rsidR="003057CF" w:rsidRDefault="003057CF" w:rsidP="00551D54">
      <w:pPr>
        <w:rPr>
          <w:rFonts w:ascii="Times New Roman" w:hAnsi="Times New Roman" w:cs="Times New Roman"/>
        </w:rPr>
      </w:pPr>
    </w:p>
    <w:p w14:paraId="5E2B4705" w14:textId="7C3DD9C6" w:rsidR="000B11D9" w:rsidRDefault="000B11D9" w:rsidP="000B11D9">
      <w:pPr>
        <w:pStyle w:val="ListParagraph"/>
        <w:numPr>
          <w:ilvl w:val="0"/>
          <w:numId w:val="4"/>
        </w:numPr>
        <w:rPr>
          <w:rFonts w:ascii="Times New Roman" w:hAnsi="Times New Roman" w:cs="Times New Roman"/>
        </w:rPr>
      </w:pPr>
      <w:r>
        <w:rPr>
          <w:rFonts w:ascii="Times New Roman" w:hAnsi="Times New Roman" w:cs="Times New Roman"/>
        </w:rPr>
        <w:t>RR for 20+ adults but all pop included here</w:t>
      </w:r>
    </w:p>
    <w:p w14:paraId="6D9F32EC" w14:textId="3C93E328" w:rsidR="000B11D9" w:rsidRDefault="000B11D9" w:rsidP="000B11D9">
      <w:pPr>
        <w:pStyle w:val="ListParagraph"/>
        <w:numPr>
          <w:ilvl w:val="0"/>
          <w:numId w:val="4"/>
        </w:numPr>
        <w:rPr>
          <w:rFonts w:ascii="Times New Roman" w:hAnsi="Times New Roman" w:cs="Times New Roman"/>
        </w:rPr>
      </w:pPr>
      <w:r>
        <w:rPr>
          <w:rFonts w:ascii="Times New Roman" w:hAnsi="Times New Roman" w:cs="Times New Roman"/>
        </w:rPr>
        <w:t>Limits of NDVI and satellite data</w:t>
      </w:r>
    </w:p>
    <w:p w14:paraId="5296201B" w14:textId="3CCD0745" w:rsidR="00BE604A" w:rsidRPr="000B11D9" w:rsidRDefault="00BE604A" w:rsidP="000B11D9">
      <w:pPr>
        <w:pStyle w:val="ListParagraph"/>
        <w:numPr>
          <w:ilvl w:val="0"/>
          <w:numId w:val="4"/>
        </w:numPr>
        <w:rPr>
          <w:rFonts w:ascii="Times New Roman" w:hAnsi="Times New Roman" w:cs="Times New Roman"/>
        </w:rPr>
      </w:pPr>
      <w:r>
        <w:rPr>
          <w:rFonts w:ascii="Times New Roman" w:hAnsi="Times New Roman" w:cs="Times New Roman"/>
        </w:rPr>
        <w:t>A few sentences comparing rate of change of NDVI v. pollutants to PM2.5/ozone</w:t>
      </w:r>
    </w:p>
    <w:p w14:paraId="163F25CB" w14:textId="77777777" w:rsidR="003057CF" w:rsidRPr="00E150CA" w:rsidRDefault="003057CF" w:rsidP="00551D54">
      <w:pPr>
        <w:rPr>
          <w:rFonts w:ascii="Times New Roman" w:hAnsi="Times New Roman" w:cs="Times New Roman"/>
        </w:rPr>
      </w:pPr>
    </w:p>
    <w:p w14:paraId="62D87771" w14:textId="77777777" w:rsidR="00FA2EC9" w:rsidRPr="00E150CA" w:rsidRDefault="00FA2EC9" w:rsidP="00551D54">
      <w:pPr>
        <w:rPr>
          <w:rFonts w:ascii="Times New Roman" w:hAnsi="Times New Roman" w:cs="Times New Roman"/>
        </w:rPr>
      </w:pPr>
    </w:p>
    <w:p w14:paraId="39720810"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Conclusion</w:t>
      </w:r>
    </w:p>
    <w:p w14:paraId="66AC1C56"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be used to highlight the novelty and significance of the work, and any plans for future relevant work.</w:t>
      </w:r>
    </w:p>
    <w:p w14:paraId="73C7F6DD" w14:textId="77777777" w:rsidR="00551D54" w:rsidRPr="00E150CA" w:rsidRDefault="00551D54" w:rsidP="00551D54">
      <w:pPr>
        <w:rPr>
          <w:rFonts w:ascii="Times New Roman" w:hAnsi="Times New Roman" w:cs="Times New Roman"/>
        </w:rPr>
      </w:pPr>
    </w:p>
    <w:p w14:paraId="0B10904C"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lastRenderedPageBreak/>
        <w:t>Acknowledgements</w:t>
      </w:r>
    </w:p>
    <w:p w14:paraId="157C7660"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Check the </w:t>
      </w:r>
      <w:hyperlink r:id="rId12" w:history="1">
        <w:r w:rsidRPr="00E150CA">
          <w:rPr>
            <w:rStyle w:val="Hyperlink"/>
            <w:rFonts w:ascii="Times New Roman" w:hAnsi="Times New Roman" w:cs="Times New Roman"/>
            <w:b/>
            <w:bCs/>
            <w:i/>
            <w:iCs/>
            <w:color w:val="156082" w:themeColor="accent1"/>
          </w:rPr>
          <w:t>peer review model</w:t>
        </w:r>
      </w:hyperlink>
      <w:r w:rsidRPr="00E150CA">
        <w:rPr>
          <w:rFonts w:ascii="Times New Roman" w:hAnsi="Times New Roman" w:cs="Times New Roman"/>
          <w:i/>
          <w:iCs/>
          <w:color w:val="156082" w:themeColor="accent1"/>
        </w:rPr>
        <w:t> for the journal you are submitting to when preparing the PDF version of your manuscript. If </w:t>
      </w:r>
      <w:r w:rsidRPr="00E150CA">
        <w:rPr>
          <w:rFonts w:ascii="Times New Roman" w:hAnsi="Times New Roman" w:cs="Times New Roman"/>
          <w:b/>
          <w:bCs/>
          <w:i/>
          <w:iCs/>
          <w:color w:val="156082" w:themeColor="accent1"/>
        </w:rPr>
        <w:t>double-anonymous</w:t>
      </w:r>
      <w:r w:rsidRPr="00E150CA">
        <w:rPr>
          <w:rFonts w:ascii="Times New Roman" w:hAnsi="Times New Roman" w:cs="Times New Roman"/>
          <w:i/>
          <w:iCs/>
          <w:color w:val="156082" w:themeColor="accent1"/>
        </w:rPr>
        <w:t> then do not include any author names or institution information in the Acknowledgements section of your manuscript. Author names and Funding information should be removed and can be re-added later in the peer review process. For</w:t>
      </w:r>
      <w:r w:rsidRPr="00E150CA">
        <w:rPr>
          <w:rFonts w:ascii="Times New Roman" w:hAnsi="Times New Roman" w:cs="Times New Roman"/>
          <w:b/>
          <w:bCs/>
          <w:i/>
          <w:iCs/>
          <w:color w:val="156082" w:themeColor="accent1"/>
        </w:rPr>
        <w:t> single-anonymous </w:t>
      </w:r>
      <w:r w:rsidRPr="00E150CA">
        <w:rPr>
          <w:rFonts w:ascii="Times New Roman" w:hAnsi="Times New Roman" w:cs="Times New Roman"/>
          <w:i/>
          <w:iCs/>
          <w:color w:val="156082" w:themeColor="accent1"/>
        </w:rPr>
        <w:t>please include an acknowledgements section before the References section in your PDF manuscript.</w:t>
      </w:r>
    </w:p>
    <w:p w14:paraId="62D5EE4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 xml:space="preserve">During the submission process all authors and co-authors are required to disclose any potential conflict(s) of interest when submitting an article (e.g. employment, consulting fees, research contracts, stock ownership, patent </w:t>
      </w:r>
      <w:proofErr w:type="spellStart"/>
      <w:r w:rsidRPr="00E150CA">
        <w:rPr>
          <w:rFonts w:ascii="Times New Roman" w:hAnsi="Times New Roman" w:cs="Times New Roman"/>
          <w:i/>
          <w:iCs/>
          <w:color w:val="156082" w:themeColor="accent1"/>
        </w:rPr>
        <w:t>licences</w:t>
      </w:r>
      <w:proofErr w:type="spellEnd"/>
      <w:r w:rsidRPr="00E150CA">
        <w:rPr>
          <w:rFonts w:ascii="Times New Roman" w:hAnsi="Times New Roman" w:cs="Times New Roman"/>
          <w:i/>
          <w:iCs/>
          <w:color w:val="156082" w:themeColor="accent1"/>
        </w:rPr>
        <w:t xml:space="preserve">, honoraria, advisory affiliations, </w:t>
      </w:r>
      <w:proofErr w:type="spellStart"/>
      <w:r w:rsidRPr="00E150CA">
        <w:rPr>
          <w:rFonts w:ascii="Times New Roman" w:hAnsi="Times New Roman" w:cs="Times New Roman"/>
          <w:i/>
          <w:iCs/>
          <w:color w:val="156082" w:themeColor="accent1"/>
        </w:rPr>
        <w:t>etc</w:t>
      </w:r>
      <w:proofErr w:type="spellEnd"/>
      <w:r w:rsidRPr="00E150CA">
        <w:rPr>
          <w:rFonts w:ascii="Times New Roman" w:hAnsi="Times New Roman" w:cs="Times New Roman"/>
          <w:i/>
          <w:iCs/>
          <w:color w:val="156082" w:themeColor="accent1"/>
        </w:rPr>
        <w:t>). This information should be included in an acknowledgements section at the end of the manuscript (before the references section). All sources of financial support for the project </w:t>
      </w:r>
      <w:r w:rsidRPr="00E150CA">
        <w:rPr>
          <w:rFonts w:ascii="Times New Roman" w:hAnsi="Times New Roman" w:cs="Times New Roman"/>
          <w:b/>
          <w:bCs/>
          <w:i/>
          <w:iCs/>
          <w:color w:val="156082" w:themeColor="accent1"/>
        </w:rPr>
        <w:t>must</w:t>
      </w:r>
      <w:r w:rsidRPr="00E150CA">
        <w:rPr>
          <w:rFonts w:ascii="Times New Roman" w:hAnsi="Times New Roman" w:cs="Times New Roman"/>
          <w:i/>
          <w:iCs/>
          <w:color w:val="156082" w:themeColor="accent1"/>
        </w:rPr>
        <w:t xml:space="preserve"> also be disclosed in the acknowledgements section. The name of the funding agency and the grant number should be given, for example: This work was partially funded by the National Institutes of Health (NIH) through a National Cancer Institute grant R21CA141833. When completing the online submission form, we also ask you to select funders and provide grant numbers </w:t>
      </w:r>
      <w:proofErr w:type="gramStart"/>
      <w:r w:rsidRPr="00E150CA">
        <w:rPr>
          <w:rFonts w:ascii="Times New Roman" w:hAnsi="Times New Roman" w:cs="Times New Roman"/>
          <w:i/>
          <w:iCs/>
          <w:color w:val="156082" w:themeColor="accent1"/>
        </w:rPr>
        <w:t>in order to</w:t>
      </w:r>
      <w:proofErr w:type="gramEnd"/>
      <w:r w:rsidRPr="00E150CA">
        <w:rPr>
          <w:rFonts w:ascii="Times New Roman" w:hAnsi="Times New Roman" w:cs="Times New Roman"/>
          <w:i/>
          <w:iCs/>
          <w:color w:val="156082" w:themeColor="accent1"/>
        </w:rPr>
        <w:t xml:space="preserve"> help you meet your funder requirements. We encourage authors to use the acknowledgements section of the article to make specific attributions of author contribution and responsibility, otherwise all co-authors will be taken to share full responsibility for </w:t>
      </w:r>
      <w:proofErr w:type="gramStart"/>
      <w:r w:rsidRPr="00E150CA">
        <w:rPr>
          <w:rFonts w:ascii="Times New Roman" w:hAnsi="Times New Roman" w:cs="Times New Roman"/>
          <w:i/>
          <w:iCs/>
          <w:color w:val="156082" w:themeColor="accent1"/>
        </w:rPr>
        <w:t>all of</w:t>
      </w:r>
      <w:proofErr w:type="gramEnd"/>
      <w:r w:rsidRPr="00E150CA">
        <w:rPr>
          <w:rFonts w:ascii="Times New Roman" w:hAnsi="Times New Roman" w:cs="Times New Roman"/>
          <w:i/>
          <w:iCs/>
          <w:color w:val="156082" w:themeColor="accent1"/>
        </w:rPr>
        <w:t xml:space="preserve"> the paper.</w:t>
      </w:r>
    </w:p>
    <w:p w14:paraId="4737E2E0" w14:textId="77777777" w:rsidR="00843353" w:rsidRPr="00E150CA" w:rsidRDefault="00843353" w:rsidP="00FA2EC9">
      <w:pPr>
        <w:rPr>
          <w:rFonts w:ascii="Times New Roman" w:hAnsi="Times New Roman" w:cs="Times New Roman"/>
          <w:b/>
          <w:bCs/>
        </w:rPr>
      </w:pPr>
    </w:p>
    <w:p w14:paraId="7E49F0EE" w14:textId="47B6B483"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References</w:t>
      </w:r>
    </w:p>
    <w:p w14:paraId="75ACDD4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be used to list all relevant work. </w:t>
      </w:r>
      <w:hyperlink r:id="rId13" w:history="1">
        <w:r w:rsidRPr="00E150CA">
          <w:rPr>
            <w:rStyle w:val="Hyperlink"/>
            <w:rFonts w:ascii="Times New Roman" w:hAnsi="Times New Roman" w:cs="Times New Roman"/>
            <w:b/>
            <w:bCs/>
            <w:i/>
            <w:iCs/>
            <w:color w:val="156082" w:themeColor="accent1"/>
          </w:rPr>
          <w:t>More information on referencing</w:t>
        </w:r>
      </w:hyperlink>
      <w:r w:rsidRPr="00E150CA">
        <w:rPr>
          <w:rFonts w:ascii="Times New Roman" w:hAnsi="Times New Roman" w:cs="Times New Roman"/>
          <w:i/>
          <w:iCs/>
          <w:color w:val="156082" w:themeColor="accent1"/>
        </w:rPr>
        <w:t>. However, check the </w:t>
      </w:r>
      <w:hyperlink r:id="rId14" w:history="1">
        <w:r w:rsidRPr="00E150CA">
          <w:rPr>
            <w:rStyle w:val="Hyperlink"/>
            <w:rFonts w:ascii="Times New Roman" w:hAnsi="Times New Roman" w:cs="Times New Roman"/>
            <w:b/>
            <w:bCs/>
            <w:i/>
            <w:iCs/>
            <w:color w:val="156082" w:themeColor="accent1"/>
          </w:rPr>
          <w:t>peer review model</w:t>
        </w:r>
      </w:hyperlink>
      <w:r w:rsidRPr="00E150CA">
        <w:rPr>
          <w:rFonts w:ascii="Times New Roman" w:hAnsi="Times New Roman" w:cs="Times New Roman"/>
          <w:i/>
          <w:iCs/>
          <w:color w:val="156082" w:themeColor="accent1"/>
        </w:rPr>
        <w:t> for the journal you are submitting to. If </w:t>
      </w:r>
      <w:r w:rsidRPr="00E150CA">
        <w:rPr>
          <w:rFonts w:ascii="Times New Roman" w:hAnsi="Times New Roman" w:cs="Times New Roman"/>
          <w:b/>
          <w:bCs/>
          <w:i/>
          <w:iCs/>
          <w:color w:val="156082" w:themeColor="accent1"/>
        </w:rPr>
        <w:t>double-anonymous </w:t>
      </w:r>
      <w:r w:rsidRPr="00E150CA">
        <w:rPr>
          <w:rFonts w:ascii="Times New Roman" w:hAnsi="Times New Roman" w:cs="Times New Roman"/>
          <w:i/>
          <w:iCs/>
          <w:color w:val="156082" w:themeColor="accent1"/>
        </w:rPr>
        <w:t>then when referring to thesis/unpublished work, please avoid identifying information. You should include non-identifiable information e.g. journal name, year etc...</w:t>
      </w:r>
    </w:p>
    <w:p w14:paraId="03B218E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If you need more information or guidance about any of the above then please </w:t>
      </w:r>
      <w:hyperlink r:id="rId15" w:history="1">
        <w:r w:rsidRPr="00E150CA">
          <w:rPr>
            <w:rStyle w:val="Hyperlink"/>
            <w:rFonts w:ascii="Times New Roman" w:hAnsi="Times New Roman" w:cs="Times New Roman"/>
            <w:b/>
            <w:bCs/>
            <w:i/>
            <w:iCs/>
            <w:color w:val="156082" w:themeColor="accent1"/>
          </w:rPr>
          <w:t>contact the journal</w:t>
        </w:r>
      </w:hyperlink>
      <w:r w:rsidRPr="00E150CA">
        <w:rPr>
          <w:rFonts w:ascii="Times New Roman" w:hAnsi="Times New Roman" w:cs="Times New Roman"/>
          <w:i/>
          <w:iCs/>
          <w:color w:val="156082" w:themeColor="accent1"/>
        </w:rPr>
        <w:t> to which you are submitting.</w:t>
      </w:r>
    </w:p>
    <w:p w14:paraId="4F46C11B" w14:textId="77777777" w:rsidR="003057CF" w:rsidRPr="00E150CA" w:rsidRDefault="003057CF" w:rsidP="00FA2EC9">
      <w:pPr>
        <w:rPr>
          <w:rFonts w:ascii="Times New Roman" w:hAnsi="Times New Roman" w:cs="Times New Roman"/>
        </w:rPr>
      </w:pPr>
    </w:p>
    <w:p w14:paraId="383184E9" w14:textId="77777777" w:rsidR="00AF3074" w:rsidRPr="00AF3074" w:rsidRDefault="00C158AD" w:rsidP="00AF3074">
      <w:pPr>
        <w:pStyle w:val="Bibliography"/>
        <w:rPr>
          <w:rFonts w:ascii="Times New Roman" w:hAnsi="Times New Roman" w:cs="Times New Roman"/>
        </w:rPr>
      </w:pPr>
      <w:r w:rsidRPr="00E150CA">
        <w:fldChar w:fldCharType="begin"/>
      </w:r>
      <w:r w:rsidRPr="00E150CA">
        <w:instrText xml:space="preserve"> ADDIN ZOTERO_BIBL {"uncited":[],"omitted":[],"custom":[]} CSL_BIBLIOGRAPHY </w:instrText>
      </w:r>
      <w:r w:rsidRPr="00E150CA">
        <w:fldChar w:fldCharType="separate"/>
      </w:r>
      <w:r w:rsidR="00AF3074" w:rsidRPr="00AF3074">
        <w:rPr>
          <w:rFonts w:ascii="Times New Roman" w:hAnsi="Times New Roman" w:cs="Times New Roman"/>
        </w:rPr>
        <w:t>1.</w:t>
      </w:r>
      <w:r w:rsidR="00AF3074" w:rsidRPr="00AF3074">
        <w:rPr>
          <w:rFonts w:ascii="Times New Roman" w:hAnsi="Times New Roman" w:cs="Times New Roman"/>
        </w:rPr>
        <w:tab/>
        <w:t xml:space="preserve">Alex Baeumler, Olivia D’Aoust, Maitreyi Das, et al. </w:t>
      </w:r>
      <w:r w:rsidR="00AF3074" w:rsidRPr="00AF3074">
        <w:rPr>
          <w:rFonts w:ascii="Times New Roman" w:hAnsi="Times New Roman" w:cs="Times New Roman"/>
          <w:i/>
          <w:iCs/>
        </w:rPr>
        <w:t>Demographic Trends and Urbanization</w:t>
      </w:r>
      <w:r w:rsidR="00AF3074" w:rsidRPr="00AF3074">
        <w:rPr>
          <w:rFonts w:ascii="Times New Roman" w:hAnsi="Times New Roman" w:cs="Times New Roman"/>
        </w:rPr>
        <w:t>. World Bank; 2021.</w:t>
      </w:r>
    </w:p>
    <w:p w14:paraId="5EC4B09D"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2.</w:t>
      </w:r>
      <w:r w:rsidRPr="00AF3074">
        <w:rPr>
          <w:rFonts w:ascii="Times New Roman" w:hAnsi="Times New Roman" w:cs="Times New Roman"/>
        </w:rPr>
        <w:tab/>
        <w:t xml:space="preserve">Hoornweg D, Sugar L, Gomez CLT. Cities and Greenhouse Gas Emissions: Moving Forward. </w:t>
      </w:r>
      <w:r w:rsidRPr="00AF3074">
        <w:rPr>
          <w:rFonts w:ascii="Times New Roman" w:hAnsi="Times New Roman" w:cs="Times New Roman"/>
          <w:i/>
          <w:iCs/>
        </w:rPr>
        <w:t>Urbanisation</w:t>
      </w:r>
      <w:r w:rsidRPr="00AF3074">
        <w:rPr>
          <w:rFonts w:ascii="Times New Roman" w:hAnsi="Times New Roman" w:cs="Times New Roman"/>
        </w:rPr>
        <w:t>. 2020;5(1):43-62. doi:10.1177/2455747120923557</w:t>
      </w:r>
    </w:p>
    <w:p w14:paraId="3AB86C4C"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3.</w:t>
      </w:r>
      <w:r w:rsidRPr="00AF3074">
        <w:rPr>
          <w:rFonts w:ascii="Times New Roman" w:hAnsi="Times New Roman" w:cs="Times New Roman"/>
        </w:rPr>
        <w:tab/>
        <w:t xml:space="preserve">Yang BY, Zhao T, Hu LX, et al. Greenspace and human health: An umbrella review. </w:t>
      </w:r>
      <w:r w:rsidRPr="00AF3074">
        <w:rPr>
          <w:rFonts w:ascii="Times New Roman" w:hAnsi="Times New Roman" w:cs="Times New Roman"/>
          <w:i/>
          <w:iCs/>
        </w:rPr>
        <w:t>The Innovation</w:t>
      </w:r>
      <w:r w:rsidRPr="00AF3074">
        <w:rPr>
          <w:rFonts w:ascii="Times New Roman" w:hAnsi="Times New Roman" w:cs="Times New Roman"/>
        </w:rPr>
        <w:t>. 2021;2(4):100164. doi:10.1016/j.xinn.2021.100164</w:t>
      </w:r>
    </w:p>
    <w:p w14:paraId="501F83B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4.</w:t>
      </w:r>
      <w:r w:rsidRPr="00AF3074">
        <w:rPr>
          <w:rFonts w:ascii="Times New Roman" w:hAnsi="Times New Roman" w:cs="Times New Roman"/>
        </w:rPr>
        <w:tab/>
        <w:t xml:space="preserve">Smith N, Georgiou M, King AC, Tieges Z, Webb S, Chastin S. Urban blue spaces and human health: A systematic review and meta-analysis of quantitative studies. </w:t>
      </w:r>
      <w:r w:rsidRPr="00AF3074">
        <w:rPr>
          <w:rFonts w:ascii="Times New Roman" w:hAnsi="Times New Roman" w:cs="Times New Roman"/>
          <w:i/>
          <w:iCs/>
        </w:rPr>
        <w:t>Cities</w:t>
      </w:r>
      <w:r w:rsidRPr="00AF3074">
        <w:rPr>
          <w:rFonts w:ascii="Times New Roman" w:hAnsi="Times New Roman" w:cs="Times New Roman"/>
        </w:rPr>
        <w:t>. 2021;119:103413. doi:10.1016/j.cities.2021.103413</w:t>
      </w:r>
    </w:p>
    <w:p w14:paraId="640CD0BB"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5.</w:t>
      </w:r>
      <w:r w:rsidRPr="00AF3074">
        <w:rPr>
          <w:rFonts w:ascii="Times New Roman" w:hAnsi="Times New Roman" w:cs="Times New Roman"/>
        </w:rPr>
        <w:tab/>
        <w:t xml:space="preserve">Hunter RF, Cleland C, Cleary A, et al. Environmental, health, wellbeing, social and equity effects of urban green space interventions: A meta-narrative evidence synthesis. </w:t>
      </w:r>
      <w:r w:rsidRPr="00AF3074">
        <w:rPr>
          <w:rFonts w:ascii="Times New Roman" w:hAnsi="Times New Roman" w:cs="Times New Roman"/>
          <w:i/>
          <w:iCs/>
        </w:rPr>
        <w:t>Environment International</w:t>
      </w:r>
      <w:r w:rsidRPr="00AF3074">
        <w:rPr>
          <w:rFonts w:ascii="Times New Roman" w:hAnsi="Times New Roman" w:cs="Times New Roman"/>
        </w:rPr>
        <w:t>. 2019;130:104923. doi:10.1016/j.envint.2019.104923</w:t>
      </w:r>
    </w:p>
    <w:p w14:paraId="5AB07A30"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lastRenderedPageBreak/>
        <w:t>6.</w:t>
      </w:r>
      <w:r w:rsidRPr="00AF3074">
        <w:rPr>
          <w:rFonts w:ascii="Times New Roman" w:hAnsi="Times New Roman" w:cs="Times New Roman"/>
        </w:rPr>
        <w:tab/>
        <w:t xml:space="preserve">Wolf KL, Lam ST, McKeen JK, Richardson GRA, Van Den Bosch M, Bardekjian AC. Urban Trees and Human Health: A Scoping Review. </w:t>
      </w:r>
      <w:r w:rsidRPr="00AF3074">
        <w:rPr>
          <w:rFonts w:ascii="Times New Roman" w:hAnsi="Times New Roman" w:cs="Times New Roman"/>
          <w:i/>
          <w:iCs/>
        </w:rPr>
        <w:t>IJERPH</w:t>
      </w:r>
      <w:r w:rsidRPr="00AF3074">
        <w:rPr>
          <w:rFonts w:ascii="Times New Roman" w:hAnsi="Times New Roman" w:cs="Times New Roman"/>
        </w:rPr>
        <w:t>. 2020;17(12):4371. doi:10.3390/ijerph17124371</w:t>
      </w:r>
    </w:p>
    <w:p w14:paraId="3F4C5EA0"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7.</w:t>
      </w:r>
      <w:r w:rsidRPr="00AF3074">
        <w:rPr>
          <w:rFonts w:ascii="Times New Roman" w:hAnsi="Times New Roman" w:cs="Times New Roman"/>
        </w:rPr>
        <w:tab/>
        <w:t xml:space="preserve">Ampatzidis P, Cintolesi C, Kershaw T. Impact of Blue Space Geometry on Urban Heat Island Mitigation. </w:t>
      </w:r>
      <w:r w:rsidRPr="00AF3074">
        <w:rPr>
          <w:rFonts w:ascii="Times New Roman" w:hAnsi="Times New Roman" w:cs="Times New Roman"/>
          <w:i/>
          <w:iCs/>
        </w:rPr>
        <w:t>Climate</w:t>
      </w:r>
      <w:r w:rsidRPr="00AF3074">
        <w:rPr>
          <w:rFonts w:ascii="Times New Roman" w:hAnsi="Times New Roman" w:cs="Times New Roman"/>
        </w:rPr>
        <w:t>. 2023;11(2):28. doi:10.3390/cli11020028</w:t>
      </w:r>
    </w:p>
    <w:p w14:paraId="6FD6FC22"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8.</w:t>
      </w:r>
      <w:r w:rsidRPr="00AF3074">
        <w:rPr>
          <w:rFonts w:ascii="Times New Roman" w:hAnsi="Times New Roman" w:cs="Times New Roman"/>
        </w:rPr>
        <w:tab/>
        <w:t xml:space="preserve">Brückner A, Falkenberg T, Heinzel C, Kistemann T. The Regeneration of Urban Blue Spaces: A Public Health Intervention? Reviewing the Evidence. </w:t>
      </w:r>
      <w:r w:rsidRPr="00AF3074">
        <w:rPr>
          <w:rFonts w:ascii="Times New Roman" w:hAnsi="Times New Roman" w:cs="Times New Roman"/>
          <w:i/>
          <w:iCs/>
        </w:rPr>
        <w:t>Front Public Health</w:t>
      </w:r>
      <w:r w:rsidRPr="00AF3074">
        <w:rPr>
          <w:rFonts w:ascii="Times New Roman" w:hAnsi="Times New Roman" w:cs="Times New Roman"/>
        </w:rPr>
        <w:t>. 2022;9:782101. doi:10.3389/fpubh.2021.782101</w:t>
      </w:r>
    </w:p>
    <w:p w14:paraId="2593A6A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9.</w:t>
      </w:r>
      <w:r w:rsidRPr="00AF3074">
        <w:rPr>
          <w:rFonts w:ascii="Times New Roman" w:hAnsi="Times New Roman" w:cs="Times New Roman"/>
        </w:rPr>
        <w:tab/>
        <w:t xml:space="preserve">Rojas-Rueda D, Nieuwenhuijsen MJ, Gascon M, Perez-Leon D, Mudu P. Green spaces and mortality: a systematic review and meta-analysis of cohort studies. </w:t>
      </w:r>
      <w:r w:rsidRPr="00AF3074">
        <w:rPr>
          <w:rFonts w:ascii="Times New Roman" w:hAnsi="Times New Roman" w:cs="Times New Roman"/>
          <w:i/>
          <w:iCs/>
        </w:rPr>
        <w:t>Lancet Planet Health</w:t>
      </w:r>
      <w:r w:rsidRPr="00AF3074">
        <w:rPr>
          <w:rFonts w:ascii="Times New Roman" w:hAnsi="Times New Roman" w:cs="Times New Roman"/>
        </w:rPr>
        <w:t>. 2019;3(11):e469-e477. doi:10.1016/S2542-5196(19)30215-3</w:t>
      </w:r>
    </w:p>
    <w:p w14:paraId="2C6D29B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10.</w:t>
      </w:r>
      <w:r w:rsidRPr="00AF3074">
        <w:rPr>
          <w:rFonts w:ascii="Times New Roman" w:hAnsi="Times New Roman" w:cs="Times New Roman"/>
        </w:rPr>
        <w:tab/>
        <w:t>NASA Earth Observatory. Measuring Vegetation: Normalized Difference Vegetation Index (NDVI). August 30, 2000. Accessed October 6, 2022. https://earthobservatory.nasa.gov/features/MeasuringVegetation/measuring_vegetation_2.php</w:t>
      </w:r>
    </w:p>
    <w:p w14:paraId="72E60B2C"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11.</w:t>
      </w:r>
      <w:r w:rsidRPr="00AF3074">
        <w:rPr>
          <w:rFonts w:ascii="Times New Roman" w:hAnsi="Times New Roman" w:cs="Times New Roman"/>
        </w:rPr>
        <w:tab/>
        <w:t xml:space="preserve">Barboza EP, Cirach M, Khomenko S, et al. Green space and mortality in European cities: a health impact assessment study. </w:t>
      </w:r>
      <w:r w:rsidRPr="00AF3074">
        <w:rPr>
          <w:rFonts w:ascii="Times New Roman" w:hAnsi="Times New Roman" w:cs="Times New Roman"/>
          <w:i/>
          <w:iCs/>
        </w:rPr>
        <w:t>The Lancet Planetary Health</w:t>
      </w:r>
      <w:r w:rsidRPr="00AF3074">
        <w:rPr>
          <w:rFonts w:ascii="Times New Roman" w:hAnsi="Times New Roman" w:cs="Times New Roman"/>
        </w:rPr>
        <w:t>. 2021;5(10):e718-e730. doi:10.1016/S2542-5196(21)00229-1</w:t>
      </w:r>
    </w:p>
    <w:p w14:paraId="7E4791F0"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12.</w:t>
      </w:r>
      <w:r w:rsidRPr="00AF3074">
        <w:rPr>
          <w:rFonts w:ascii="Times New Roman" w:hAnsi="Times New Roman" w:cs="Times New Roman"/>
        </w:rPr>
        <w:tab/>
        <w:t xml:space="preserve">Brochu P, Jimenez MP, James P, Kinney PL, Lane K. Benefits of Increasing Greenness on All-Cause Mortality in the Largest Metropolitan Areas of the United States Within the Past Two Decades. </w:t>
      </w:r>
      <w:r w:rsidRPr="00AF3074">
        <w:rPr>
          <w:rFonts w:ascii="Times New Roman" w:hAnsi="Times New Roman" w:cs="Times New Roman"/>
          <w:i/>
          <w:iCs/>
        </w:rPr>
        <w:t>Front Public Health</w:t>
      </w:r>
      <w:r w:rsidRPr="00AF3074">
        <w:rPr>
          <w:rFonts w:ascii="Times New Roman" w:hAnsi="Times New Roman" w:cs="Times New Roman"/>
        </w:rPr>
        <w:t>. 2022;10:841936. doi:10.3389/fpubh.2022.841936</w:t>
      </w:r>
    </w:p>
    <w:p w14:paraId="1AB6A73D"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13.</w:t>
      </w:r>
      <w:r w:rsidRPr="00AF3074">
        <w:rPr>
          <w:rFonts w:ascii="Times New Roman" w:hAnsi="Times New Roman" w:cs="Times New Roman"/>
        </w:rPr>
        <w:tab/>
        <w:t xml:space="preserve">Romanello M, Napoli C di, Green C, et al. The 2023 report of the Lancet Countdown on health and climate change: the imperative for a health-centred response in a world facing irreversible harms. </w:t>
      </w:r>
      <w:r w:rsidRPr="00AF3074">
        <w:rPr>
          <w:rFonts w:ascii="Times New Roman" w:hAnsi="Times New Roman" w:cs="Times New Roman"/>
          <w:i/>
          <w:iCs/>
        </w:rPr>
        <w:t>The Lancet</w:t>
      </w:r>
      <w:r w:rsidRPr="00AF3074">
        <w:rPr>
          <w:rFonts w:ascii="Times New Roman" w:hAnsi="Times New Roman" w:cs="Times New Roman"/>
        </w:rPr>
        <w:t>. 2023;402(10419):2346-2394. doi:10.1016/S0140-6736(23)01859-7</w:t>
      </w:r>
    </w:p>
    <w:p w14:paraId="6C3A9D28"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14.</w:t>
      </w:r>
      <w:r w:rsidRPr="00AF3074">
        <w:rPr>
          <w:rFonts w:ascii="Times New Roman" w:hAnsi="Times New Roman" w:cs="Times New Roman"/>
        </w:rPr>
        <w:tab/>
        <w:t>Freire S, Schiavina M, Corbane C, et al. GHS-UCDB R2019A - GHS Urban Centre Database 2015, multitemporal and multidimensional attributes. Published online January 28, 2019. doi:10.2905/53473144-B88C-44BC-B4A3-4583ED1F547E</w:t>
      </w:r>
    </w:p>
    <w:p w14:paraId="1FAC0B1C"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15.</w:t>
      </w:r>
      <w:r w:rsidRPr="00AF3074">
        <w:rPr>
          <w:rFonts w:ascii="Times New Roman" w:hAnsi="Times New Roman" w:cs="Times New Roman"/>
        </w:rPr>
        <w:tab/>
        <w:t>Global Burden of Disease Collaborative Network. Global Burden of Disease Study 2019 (GBD 2019) Reference Life Table. Published online 2021. doi:10.6069/1D4Y-YQ37</w:t>
      </w:r>
    </w:p>
    <w:p w14:paraId="2632E32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16.</w:t>
      </w:r>
      <w:r w:rsidRPr="00AF3074">
        <w:rPr>
          <w:rFonts w:ascii="Times New Roman" w:hAnsi="Times New Roman" w:cs="Times New Roman"/>
        </w:rPr>
        <w:tab/>
        <w:t>WorldPop. Population Counts 2020 UN-Adjusted Constrained 1 Available from: www.worldpop.org/doi/10.5258/SOTON/WP00660.</w:t>
      </w:r>
    </w:p>
    <w:p w14:paraId="09410891"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17.</w:t>
      </w:r>
      <w:r w:rsidRPr="00AF3074">
        <w:rPr>
          <w:rFonts w:ascii="Times New Roman" w:hAnsi="Times New Roman" w:cs="Times New Roman"/>
        </w:rPr>
        <w:tab/>
        <w:t xml:space="preserve">Georgiou M, Morison G, Smith N, Tieges Z, Chastin S. Mechanisms of Impact of Blue Spaces on Human Health: A Systematic Literature Review and Meta-Analysis. </w:t>
      </w:r>
      <w:r w:rsidRPr="00AF3074">
        <w:rPr>
          <w:rFonts w:ascii="Times New Roman" w:hAnsi="Times New Roman" w:cs="Times New Roman"/>
          <w:i/>
          <w:iCs/>
        </w:rPr>
        <w:t>IJERPH</w:t>
      </w:r>
      <w:r w:rsidRPr="00AF3074">
        <w:rPr>
          <w:rFonts w:ascii="Times New Roman" w:hAnsi="Times New Roman" w:cs="Times New Roman"/>
        </w:rPr>
        <w:t>. 2021;18(5):2486. doi:10.3390/ijerph18052486</w:t>
      </w:r>
    </w:p>
    <w:p w14:paraId="1EF25B66"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lastRenderedPageBreak/>
        <w:t>18.</w:t>
      </w:r>
      <w:r w:rsidRPr="00AF3074">
        <w:rPr>
          <w:rFonts w:ascii="Times New Roman" w:hAnsi="Times New Roman" w:cs="Times New Roman"/>
        </w:rPr>
        <w:tab/>
        <w:t xml:space="preserve">Labib SM, Lindley S, Huck JJ. Nonlinear associations between urban greenness exposures and neighborhood level years of potential life lost: A study in Greater Manchester. </w:t>
      </w:r>
      <w:r w:rsidRPr="00AF3074">
        <w:rPr>
          <w:rFonts w:ascii="Times New Roman" w:hAnsi="Times New Roman" w:cs="Times New Roman"/>
          <w:i/>
          <w:iCs/>
        </w:rPr>
        <w:t>Science Talks</w:t>
      </w:r>
      <w:r w:rsidRPr="00AF3074">
        <w:rPr>
          <w:rFonts w:ascii="Times New Roman" w:hAnsi="Times New Roman" w:cs="Times New Roman"/>
        </w:rPr>
        <w:t>. 2023;6:100218. doi:10.1016/j.sctalk.2023.100218</w:t>
      </w:r>
    </w:p>
    <w:p w14:paraId="52A91EC9"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19.</w:t>
      </w:r>
      <w:r w:rsidRPr="00AF3074">
        <w:rPr>
          <w:rFonts w:ascii="Times New Roman" w:hAnsi="Times New Roman" w:cs="Times New Roman"/>
        </w:rPr>
        <w:tab/>
        <w:t xml:space="preserve">Nieuwenhuijsen M, Gascon M, Martinez D, et al. Air Pollution, Noise, Blue Space, and Green Space and Premature Mortality in Barcelona: A Mega Cohort. </w:t>
      </w:r>
      <w:r w:rsidRPr="00AF3074">
        <w:rPr>
          <w:rFonts w:ascii="Times New Roman" w:hAnsi="Times New Roman" w:cs="Times New Roman"/>
          <w:i/>
          <w:iCs/>
        </w:rPr>
        <w:t>IJERPH</w:t>
      </w:r>
      <w:r w:rsidRPr="00AF3074">
        <w:rPr>
          <w:rFonts w:ascii="Times New Roman" w:hAnsi="Times New Roman" w:cs="Times New Roman"/>
        </w:rPr>
        <w:t>. 2018;15(11):2405. doi:10.3390/ijerph15112405</w:t>
      </w:r>
    </w:p>
    <w:p w14:paraId="3D0EF0D8"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20.</w:t>
      </w:r>
      <w:r w:rsidRPr="00AF3074">
        <w:rPr>
          <w:rFonts w:ascii="Times New Roman" w:hAnsi="Times New Roman" w:cs="Times New Roman"/>
        </w:rPr>
        <w:tab/>
        <w:t xml:space="preserve">Crouse DL, Pinault L, Balram A, et al. Urban greenness and mortality in Canada’s largest cities: a national cohort study. </w:t>
      </w:r>
      <w:r w:rsidRPr="00AF3074">
        <w:rPr>
          <w:rFonts w:ascii="Times New Roman" w:hAnsi="Times New Roman" w:cs="Times New Roman"/>
          <w:i/>
          <w:iCs/>
        </w:rPr>
        <w:t>The Lancet Planetary Health</w:t>
      </w:r>
      <w:r w:rsidRPr="00AF3074">
        <w:rPr>
          <w:rFonts w:ascii="Times New Roman" w:hAnsi="Times New Roman" w:cs="Times New Roman"/>
        </w:rPr>
        <w:t>. 2017;1(7):e289-e297. doi:10.1016/S2542-5196(17)30118-3</w:t>
      </w:r>
    </w:p>
    <w:p w14:paraId="013A508F"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21.</w:t>
      </w:r>
      <w:r w:rsidRPr="00AF3074">
        <w:rPr>
          <w:rFonts w:ascii="Times New Roman" w:hAnsi="Times New Roman" w:cs="Times New Roman"/>
        </w:rPr>
        <w:tab/>
        <w:t xml:space="preserve">Zijlema WL, Stasinska A, Blake D, et al. The longitudinal association between natural outdoor environments and mortality in 9218 older men from Perth, Western Australia. </w:t>
      </w:r>
      <w:r w:rsidRPr="00AF3074">
        <w:rPr>
          <w:rFonts w:ascii="Times New Roman" w:hAnsi="Times New Roman" w:cs="Times New Roman"/>
          <w:i/>
          <w:iCs/>
        </w:rPr>
        <w:t>Environment International</w:t>
      </w:r>
      <w:r w:rsidRPr="00AF3074">
        <w:rPr>
          <w:rFonts w:ascii="Times New Roman" w:hAnsi="Times New Roman" w:cs="Times New Roman"/>
        </w:rPr>
        <w:t>. 2019;125:430-436. doi:10.1016/j.envint.2019.01.075</w:t>
      </w:r>
    </w:p>
    <w:p w14:paraId="2A603737" w14:textId="52539EF3" w:rsidR="00843353" w:rsidRPr="00E150CA" w:rsidRDefault="00C158AD" w:rsidP="00FA2EC9">
      <w:pPr>
        <w:rPr>
          <w:rFonts w:ascii="Times New Roman" w:hAnsi="Times New Roman" w:cs="Times New Roman"/>
        </w:rPr>
      </w:pPr>
      <w:r w:rsidRPr="00E150CA">
        <w:rPr>
          <w:rFonts w:ascii="Times New Roman" w:hAnsi="Times New Roman" w:cs="Times New Roman"/>
        </w:rPr>
        <w:fldChar w:fldCharType="end"/>
      </w:r>
    </w:p>
    <w:p w14:paraId="62723899"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Figures</w:t>
      </w:r>
    </w:p>
    <w:p w14:paraId="52F227E3"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Carefully chosen and well-prepared figures, such as diagrams and photographs, can greatly enhance your article. You are encouraged to prepare figures that are clear, easy to read and of the best possible quality and resolution.</w:t>
      </w:r>
    </w:p>
    <w:p w14:paraId="2EF1154B"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To make your figures accessible to as many readers as possible, try to avoid using </w:t>
      </w:r>
      <w:proofErr w:type="spellStart"/>
      <w:r w:rsidRPr="00E150CA">
        <w:rPr>
          <w:rFonts w:ascii="Times New Roman" w:hAnsi="Times New Roman" w:cs="Times New Roman"/>
        </w:rPr>
        <w:t>colour</w:t>
      </w:r>
      <w:proofErr w:type="spellEnd"/>
      <w:r w:rsidRPr="00E150CA">
        <w:rPr>
          <w:rFonts w:ascii="Times New Roman" w:hAnsi="Times New Roman" w:cs="Times New Roman"/>
        </w:rPr>
        <w:t xml:space="preserve"> as the only means of conveying information. For example, in charts and graphs use different line styles and symbols. Where </w:t>
      </w:r>
      <w:proofErr w:type="spellStart"/>
      <w:r w:rsidRPr="00E150CA">
        <w:rPr>
          <w:rFonts w:ascii="Times New Roman" w:hAnsi="Times New Roman" w:cs="Times New Roman"/>
        </w:rPr>
        <w:t>colours</w:t>
      </w:r>
      <w:proofErr w:type="spellEnd"/>
      <w:r w:rsidRPr="00E150CA">
        <w:rPr>
          <w:rFonts w:ascii="Times New Roman" w:hAnsi="Times New Roman" w:cs="Times New Roman"/>
        </w:rPr>
        <w:t xml:space="preserve"> are used try to ensure that:</w:t>
      </w:r>
    </w:p>
    <w:p w14:paraId="71CAB250" w14:textId="77777777" w:rsidR="00FA2EC9" w:rsidRPr="00E150CA" w:rsidRDefault="00FA2EC9" w:rsidP="00FA2EC9">
      <w:pPr>
        <w:numPr>
          <w:ilvl w:val="0"/>
          <w:numId w:val="1"/>
        </w:numPr>
        <w:rPr>
          <w:rFonts w:ascii="Times New Roman" w:hAnsi="Times New Roman" w:cs="Times New Roman"/>
        </w:rPr>
      </w:pPr>
      <w:r w:rsidRPr="00E150CA">
        <w:rPr>
          <w:rFonts w:ascii="Times New Roman" w:hAnsi="Times New Roman" w:cs="Times New Roman"/>
        </w:rPr>
        <w:t xml:space="preserve">there is good contrast between adjacent </w:t>
      </w:r>
      <w:proofErr w:type="spellStart"/>
      <w:proofErr w:type="gramStart"/>
      <w:r w:rsidRPr="00E150CA">
        <w:rPr>
          <w:rFonts w:ascii="Times New Roman" w:hAnsi="Times New Roman" w:cs="Times New Roman"/>
        </w:rPr>
        <w:t>colours</w:t>
      </w:r>
      <w:proofErr w:type="spellEnd"/>
      <w:r w:rsidRPr="00E150CA">
        <w:rPr>
          <w:rFonts w:ascii="Times New Roman" w:hAnsi="Times New Roman" w:cs="Times New Roman"/>
        </w:rPr>
        <w:t>;</w:t>
      </w:r>
      <w:proofErr w:type="gramEnd"/>
    </w:p>
    <w:p w14:paraId="08279FA0" w14:textId="77777777" w:rsidR="00FA2EC9" w:rsidRPr="00E150CA" w:rsidRDefault="00FA2EC9" w:rsidP="00FA2EC9">
      <w:pPr>
        <w:numPr>
          <w:ilvl w:val="0"/>
          <w:numId w:val="1"/>
        </w:numPr>
        <w:rPr>
          <w:rFonts w:ascii="Times New Roman" w:hAnsi="Times New Roman" w:cs="Times New Roman"/>
        </w:rPr>
      </w:pPr>
      <w:proofErr w:type="spellStart"/>
      <w:r w:rsidRPr="00E150CA">
        <w:rPr>
          <w:rFonts w:ascii="Times New Roman" w:hAnsi="Times New Roman" w:cs="Times New Roman"/>
        </w:rPr>
        <w:t>colours</w:t>
      </w:r>
      <w:proofErr w:type="spellEnd"/>
      <w:r w:rsidRPr="00E150CA">
        <w:rPr>
          <w:rFonts w:ascii="Times New Roman" w:hAnsi="Times New Roman" w:cs="Times New Roman"/>
        </w:rPr>
        <w:t xml:space="preserve"> are distinguishable if the figure is converted to </w:t>
      </w:r>
      <w:proofErr w:type="gramStart"/>
      <w:r w:rsidRPr="00E150CA">
        <w:rPr>
          <w:rFonts w:ascii="Times New Roman" w:hAnsi="Times New Roman" w:cs="Times New Roman"/>
        </w:rPr>
        <w:t>greyscale;</w:t>
      </w:r>
      <w:proofErr w:type="gramEnd"/>
    </w:p>
    <w:p w14:paraId="73237AA3" w14:textId="77777777" w:rsidR="00FA2EC9" w:rsidRPr="00E150CA" w:rsidRDefault="00FA2EC9" w:rsidP="00FA2EC9">
      <w:pPr>
        <w:numPr>
          <w:ilvl w:val="0"/>
          <w:numId w:val="1"/>
        </w:numPr>
        <w:rPr>
          <w:rFonts w:ascii="Times New Roman" w:hAnsi="Times New Roman" w:cs="Times New Roman"/>
        </w:rPr>
      </w:pPr>
      <w:r w:rsidRPr="00E150CA">
        <w:rPr>
          <w:rFonts w:ascii="Times New Roman" w:hAnsi="Times New Roman" w:cs="Times New Roman"/>
        </w:rPr>
        <w:t xml:space="preserve">different line styles, fill styles, symbols or labels are used in addition to different </w:t>
      </w:r>
      <w:proofErr w:type="spellStart"/>
      <w:r w:rsidRPr="00E150CA">
        <w:rPr>
          <w:rFonts w:ascii="Times New Roman" w:hAnsi="Times New Roman" w:cs="Times New Roman"/>
        </w:rPr>
        <w:t>colours</w:t>
      </w:r>
      <w:proofErr w:type="spellEnd"/>
      <w:r w:rsidRPr="00E150CA">
        <w:rPr>
          <w:rFonts w:ascii="Times New Roman" w:hAnsi="Times New Roman" w:cs="Times New Roman"/>
        </w:rPr>
        <w:t>.</w:t>
      </w:r>
    </w:p>
    <w:p w14:paraId="3324C44A"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We accept that it is not always possible to follow these guidelines, for example with figures that use </w:t>
      </w:r>
      <w:proofErr w:type="spellStart"/>
      <w:r w:rsidRPr="00E150CA">
        <w:rPr>
          <w:rFonts w:ascii="Times New Roman" w:hAnsi="Times New Roman" w:cs="Times New Roman"/>
        </w:rPr>
        <w:t>colour</w:t>
      </w:r>
      <w:proofErr w:type="spellEnd"/>
      <w:r w:rsidRPr="00E150CA">
        <w:rPr>
          <w:rFonts w:ascii="Times New Roman" w:hAnsi="Times New Roman" w:cs="Times New Roman"/>
        </w:rPr>
        <w:t xml:space="preserve"> gradient scales to convey information, or for photographic images. As with all figures, it is important to use the figure caption to describe the information conveyed by the figure. See below for further details.</w:t>
      </w:r>
    </w:p>
    <w:p w14:paraId="248B1524"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Figures are converted and sized to the journal template as part of the production process for accepted articles, but they are not normally edited further. It is your responsibility to ensure that the figures you supply are legible and technically correct.</w:t>
      </w:r>
      <w:r w:rsidRPr="00E150CA">
        <w:rPr>
          <w:rFonts w:ascii="Times New Roman" w:hAnsi="Times New Roman" w:cs="Times New Roman"/>
        </w:rPr>
        <w:br/>
        <w:t xml:space="preserve">Characters should appear as they would be set in the main body of the article. Aim for text sizes of 8 to 12 pt at the final figure size: </w:t>
      </w:r>
      <w:proofErr w:type="gramStart"/>
      <w:r w:rsidRPr="00E150CA">
        <w:rPr>
          <w:rFonts w:ascii="Times New Roman" w:hAnsi="Times New Roman" w:cs="Times New Roman"/>
        </w:rPr>
        <w:t>typically</w:t>
      </w:r>
      <w:proofErr w:type="gramEnd"/>
      <w:r w:rsidRPr="00E150CA">
        <w:rPr>
          <w:rFonts w:ascii="Times New Roman" w:hAnsi="Times New Roman" w:cs="Times New Roman"/>
        </w:rPr>
        <w:t xml:space="preserve"> 8.5cm for a small/single-column figure and 15cm for a large/double-column figure. Micrographs should include a scale bar of appropriate size, e.g. 1 </w:t>
      </w:r>
      <w:proofErr w:type="spellStart"/>
      <w:r w:rsidRPr="00E150CA">
        <w:rPr>
          <w:rFonts w:ascii="Times New Roman" w:hAnsi="Times New Roman" w:cs="Times New Roman"/>
        </w:rPr>
        <w:t>μm</w:t>
      </w:r>
      <w:proofErr w:type="spellEnd"/>
      <w:r w:rsidRPr="00E150CA">
        <w:rPr>
          <w:rFonts w:ascii="Times New Roman" w:hAnsi="Times New Roman" w:cs="Times New Roman"/>
        </w:rPr>
        <w:t>. Figures should be numbered in the order in which they are referred to in the text, using sequential numerals (e.g. figure 1, figure 2, etc.).</w:t>
      </w:r>
    </w:p>
    <w:p w14:paraId="06B6B9C8"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If there is more than one part to a figure (e.g. figure 1(a), figure 1(b), etc.), the parts should be identified by a lower-case letter in parentheses close to or within the area of the figure.</w:t>
      </w:r>
    </w:p>
    <w:p w14:paraId="1FE5A34E" w14:textId="77777777" w:rsidR="00843353" w:rsidRPr="00E150CA" w:rsidRDefault="00843353" w:rsidP="00FA2EC9">
      <w:pPr>
        <w:rPr>
          <w:rFonts w:ascii="Times New Roman" w:hAnsi="Times New Roman" w:cs="Times New Roman"/>
        </w:rPr>
      </w:pPr>
    </w:p>
    <w:p w14:paraId="2B01EDDF"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File types</w:t>
      </w:r>
    </w:p>
    <w:p w14:paraId="040F510B"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For articles prepared using LaTeX2e, please make sure that your figures are all supplied as vector Encapsulated PostScript (EPS) and linked to your main </w:t>
      </w:r>
      <w:proofErr w:type="spellStart"/>
      <w:r w:rsidRPr="00E150CA">
        <w:rPr>
          <w:rFonts w:ascii="Times New Roman" w:hAnsi="Times New Roman" w:cs="Times New Roman"/>
        </w:rPr>
        <w:t>TeX</w:t>
      </w:r>
      <w:proofErr w:type="spellEnd"/>
      <w:r w:rsidRPr="00E150CA">
        <w:rPr>
          <w:rFonts w:ascii="Times New Roman" w:hAnsi="Times New Roman" w:cs="Times New Roman"/>
        </w:rPr>
        <w:t xml:space="preserve"> files using appropriate figure inclusion commands such as \</w:t>
      </w:r>
      <w:proofErr w:type="spellStart"/>
      <w:r w:rsidRPr="00E150CA">
        <w:rPr>
          <w:rFonts w:ascii="Times New Roman" w:hAnsi="Times New Roman" w:cs="Times New Roman"/>
        </w:rPr>
        <w:t>includegraphics</w:t>
      </w:r>
      <w:proofErr w:type="spellEnd"/>
      <w:r w:rsidRPr="00E150CA">
        <w:rPr>
          <w:rFonts w:ascii="Times New Roman" w:hAnsi="Times New Roman" w:cs="Times New Roman"/>
        </w:rPr>
        <w:t xml:space="preserve">. For articles prepared using Word, where possible please also supply all figures as separate graphics files (in addition to being embedded in the </w:t>
      </w:r>
      <w:r w:rsidRPr="00E150CA">
        <w:rPr>
          <w:rFonts w:ascii="Times New Roman" w:hAnsi="Times New Roman" w:cs="Times New Roman"/>
        </w:rPr>
        <w:lastRenderedPageBreak/>
        <w:t>text). Our preferred graphics format is EPS. These files can be used directly to give high-quality results, and file sizes are small in comparison with most bitmap forms.</w:t>
      </w:r>
      <w:r w:rsidRPr="00E150CA">
        <w:rPr>
          <w:rFonts w:ascii="Times New Roman" w:hAnsi="Times New Roman" w:cs="Times New Roman"/>
        </w:rPr>
        <w:br/>
        <w:t>If you are unable to send us images in EPS, we can also accept:</w:t>
      </w:r>
    </w:p>
    <w:p w14:paraId="5AA4BBFB"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TIFF</w:t>
      </w:r>
    </w:p>
    <w:p w14:paraId="7CCC73BB"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JPEG</w:t>
      </w:r>
    </w:p>
    <w:p w14:paraId="4A80CE2F"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PDF (and images embedded within PDF files)</w:t>
      </w:r>
    </w:p>
    <w:p w14:paraId="4A72C7A7"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 xml:space="preserve">Images/drawings coded using </w:t>
      </w:r>
      <w:proofErr w:type="spellStart"/>
      <w:r w:rsidRPr="00E150CA">
        <w:rPr>
          <w:rFonts w:ascii="Times New Roman" w:hAnsi="Times New Roman" w:cs="Times New Roman"/>
        </w:rPr>
        <w:t>TeX</w:t>
      </w:r>
      <w:proofErr w:type="spellEnd"/>
      <w:r w:rsidRPr="00E150CA">
        <w:rPr>
          <w:rFonts w:ascii="Times New Roman" w:hAnsi="Times New Roman" w:cs="Times New Roman"/>
        </w:rPr>
        <w:t>/LaTeX package</w:t>
      </w:r>
    </w:p>
    <w:p w14:paraId="30621EB2"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Images/figures embedded in MS Word, Excel or PowerPoint</w:t>
      </w:r>
    </w:p>
    <w:p w14:paraId="3F406203"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Graphics application source files (Photoshop, Illustrator, CorelDraw).</w:t>
      </w:r>
    </w:p>
    <w:p w14:paraId="6EDE8EAB" w14:textId="77777777" w:rsidR="00843353" w:rsidRPr="00E150CA" w:rsidRDefault="00843353" w:rsidP="00843353">
      <w:pPr>
        <w:rPr>
          <w:rFonts w:ascii="Times New Roman" w:hAnsi="Times New Roman" w:cs="Times New Roman"/>
        </w:rPr>
      </w:pPr>
    </w:p>
    <w:p w14:paraId="23FCF4A5"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Vector formats</w:t>
      </w:r>
    </w:p>
    <w:p w14:paraId="3A421278"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The advantage of vector graphics is that they give the best possible quality at all output resolutions. </w:t>
      </w:r>
      <w:proofErr w:type="gramStart"/>
      <w:r w:rsidRPr="00E150CA">
        <w:rPr>
          <w:rFonts w:ascii="Times New Roman" w:hAnsi="Times New Roman" w:cs="Times New Roman"/>
        </w:rPr>
        <w:t>In order to</w:t>
      </w:r>
      <w:proofErr w:type="gramEnd"/>
      <w:r w:rsidRPr="00E150CA">
        <w:rPr>
          <w:rFonts w:ascii="Times New Roman" w:hAnsi="Times New Roman" w:cs="Times New Roman"/>
        </w:rPr>
        <w:t xml:space="preserve"> get the best possible results, please note the following important points:</w:t>
      </w:r>
    </w:p>
    <w:p w14:paraId="13CB45BC" w14:textId="77777777" w:rsidR="00FA2EC9" w:rsidRPr="00E150CA" w:rsidRDefault="00FA2EC9" w:rsidP="00FA2EC9">
      <w:pPr>
        <w:numPr>
          <w:ilvl w:val="0"/>
          <w:numId w:val="3"/>
        </w:numPr>
        <w:rPr>
          <w:rFonts w:ascii="Times New Roman" w:hAnsi="Times New Roman" w:cs="Times New Roman"/>
        </w:rPr>
      </w:pPr>
      <w:r w:rsidRPr="00E150CA">
        <w:rPr>
          <w:rFonts w:ascii="Times New Roman" w:hAnsi="Times New Roman" w:cs="Times New Roman"/>
        </w:rPr>
        <w:t>Fonts used should be restricted to the standard font families (Times, Helvetica, Courier or Symbol).</w:t>
      </w:r>
    </w:p>
    <w:p w14:paraId="783F035A" w14:textId="77777777" w:rsidR="00FA2EC9" w:rsidRPr="00E150CA" w:rsidRDefault="00FA2EC9" w:rsidP="00FA2EC9">
      <w:pPr>
        <w:numPr>
          <w:ilvl w:val="0"/>
          <w:numId w:val="3"/>
        </w:numPr>
        <w:rPr>
          <w:rFonts w:ascii="Times New Roman" w:hAnsi="Times New Roman" w:cs="Times New Roman"/>
        </w:rPr>
      </w:pPr>
      <w:r w:rsidRPr="00E150CA">
        <w:rPr>
          <w:rFonts w:ascii="Times New Roman" w:hAnsi="Times New Roman" w:cs="Times New Roman"/>
        </w:rPr>
        <w:t xml:space="preserve">Certain proprietary vector graphics formats such as Origin, </w:t>
      </w:r>
      <w:proofErr w:type="spellStart"/>
      <w:r w:rsidRPr="00E150CA">
        <w:rPr>
          <w:rFonts w:ascii="Times New Roman" w:hAnsi="Times New Roman" w:cs="Times New Roman"/>
        </w:rPr>
        <w:t>Kaleidagraph</w:t>
      </w:r>
      <w:proofErr w:type="spellEnd"/>
      <w:r w:rsidRPr="00E150CA">
        <w:rPr>
          <w:rFonts w:ascii="Times New Roman" w:hAnsi="Times New Roman" w:cs="Times New Roman"/>
        </w:rPr>
        <w:t>, Cricket Graph and Gnu Plot should not be sent in their native format. If you use these applications to create your figures, please export them as EPS.</w:t>
      </w:r>
    </w:p>
    <w:p w14:paraId="24708D88" w14:textId="77777777" w:rsidR="00FA2EC9" w:rsidRPr="00E150CA" w:rsidRDefault="00FA2EC9" w:rsidP="00FA2EC9">
      <w:pPr>
        <w:rPr>
          <w:rFonts w:ascii="Times New Roman" w:hAnsi="Times New Roman" w:cs="Times New Roman"/>
        </w:rPr>
      </w:pPr>
    </w:p>
    <w:p w14:paraId="200607FA"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Figure captions</w:t>
      </w:r>
    </w:p>
    <w:p w14:paraId="226CB872"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Captions should be included in the text and not in the graphics files. Figure captions should contain relevant key terms and be self-contained (avoiding acronyms) so that a reader can understand the figure without having to refer to the text. To make your figures accessible to as many readers as possible, include the main points that the figure demonstrates in the caption. We provide further information and examples on </w:t>
      </w:r>
      <w:hyperlink r:id="rId16" w:history="1">
        <w:r w:rsidRPr="00E150CA">
          <w:rPr>
            <w:rStyle w:val="Hyperlink"/>
            <w:rFonts w:ascii="Times New Roman" w:hAnsi="Times New Roman" w:cs="Times New Roman"/>
            <w:b/>
            <w:bCs/>
          </w:rPr>
          <w:t>this page</w:t>
        </w:r>
      </w:hyperlink>
      <w:r w:rsidRPr="00E150CA">
        <w:rPr>
          <w:rFonts w:ascii="Times New Roman" w:hAnsi="Times New Roman" w:cs="Times New Roman"/>
        </w:rPr>
        <w:t>.</w:t>
      </w:r>
    </w:p>
    <w:p w14:paraId="147E5D95" w14:textId="35D15C8C" w:rsidR="00C351E5" w:rsidRDefault="00C351E5"/>
    <w:sectPr w:rsidR="00C3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63FA3"/>
    <w:multiLevelType w:val="hybridMultilevel"/>
    <w:tmpl w:val="16C6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5498"/>
    <w:multiLevelType w:val="multilevel"/>
    <w:tmpl w:val="0FD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B6BF7"/>
    <w:multiLevelType w:val="hybridMultilevel"/>
    <w:tmpl w:val="DB68C5FC"/>
    <w:lvl w:ilvl="0" w:tplc="6F1CF3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A7E24"/>
    <w:multiLevelType w:val="hybridMultilevel"/>
    <w:tmpl w:val="9650DFEC"/>
    <w:lvl w:ilvl="0" w:tplc="64B280B2">
      <w:start w:val="9"/>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B5482"/>
    <w:multiLevelType w:val="hybridMultilevel"/>
    <w:tmpl w:val="8AD818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A691099"/>
    <w:multiLevelType w:val="multilevel"/>
    <w:tmpl w:val="DAC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2352D"/>
    <w:multiLevelType w:val="hybridMultilevel"/>
    <w:tmpl w:val="DAAED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903F9B"/>
    <w:multiLevelType w:val="multilevel"/>
    <w:tmpl w:val="DC6A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415429">
    <w:abstractNumId w:val="1"/>
  </w:num>
  <w:num w:numId="2" w16cid:durableId="1019628243">
    <w:abstractNumId w:val="7"/>
  </w:num>
  <w:num w:numId="3" w16cid:durableId="821000053">
    <w:abstractNumId w:val="5"/>
  </w:num>
  <w:num w:numId="4" w16cid:durableId="620766084">
    <w:abstractNumId w:val="3"/>
  </w:num>
  <w:num w:numId="5" w16cid:durableId="1697389622">
    <w:abstractNumId w:val="6"/>
  </w:num>
  <w:num w:numId="6" w16cid:durableId="366833719">
    <w:abstractNumId w:val="4"/>
  </w:num>
  <w:num w:numId="7" w16cid:durableId="1532958000">
    <w:abstractNumId w:val="0"/>
  </w:num>
  <w:num w:numId="8" w16cid:durableId="1152019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54"/>
    <w:rsid w:val="00031679"/>
    <w:rsid w:val="0003208C"/>
    <w:rsid w:val="00035747"/>
    <w:rsid w:val="000626A4"/>
    <w:rsid w:val="000736DF"/>
    <w:rsid w:val="00085E43"/>
    <w:rsid w:val="000A3562"/>
    <w:rsid w:val="000B11D9"/>
    <w:rsid w:val="000C6488"/>
    <w:rsid w:val="00107F48"/>
    <w:rsid w:val="00120B9A"/>
    <w:rsid w:val="00141172"/>
    <w:rsid w:val="0017376A"/>
    <w:rsid w:val="00194ED0"/>
    <w:rsid w:val="0019782A"/>
    <w:rsid w:val="001D6941"/>
    <w:rsid w:val="001F36CB"/>
    <w:rsid w:val="001F69F2"/>
    <w:rsid w:val="0020576C"/>
    <w:rsid w:val="00230F0F"/>
    <w:rsid w:val="00256D82"/>
    <w:rsid w:val="00294AF3"/>
    <w:rsid w:val="002A65F5"/>
    <w:rsid w:val="002C31C3"/>
    <w:rsid w:val="002C67A4"/>
    <w:rsid w:val="002D77F9"/>
    <w:rsid w:val="002F21BE"/>
    <w:rsid w:val="003057CF"/>
    <w:rsid w:val="00337F2F"/>
    <w:rsid w:val="00346D63"/>
    <w:rsid w:val="00354BDF"/>
    <w:rsid w:val="00377F9E"/>
    <w:rsid w:val="003C3846"/>
    <w:rsid w:val="003F212E"/>
    <w:rsid w:val="003F6681"/>
    <w:rsid w:val="004169F7"/>
    <w:rsid w:val="00420610"/>
    <w:rsid w:val="00432318"/>
    <w:rsid w:val="00435203"/>
    <w:rsid w:val="00435A59"/>
    <w:rsid w:val="00435EC8"/>
    <w:rsid w:val="0047751C"/>
    <w:rsid w:val="004821B9"/>
    <w:rsid w:val="00482BCF"/>
    <w:rsid w:val="00484172"/>
    <w:rsid w:val="0049174D"/>
    <w:rsid w:val="004A1F08"/>
    <w:rsid w:val="004B4DE1"/>
    <w:rsid w:val="004D4795"/>
    <w:rsid w:val="004F24B5"/>
    <w:rsid w:val="004F7FF4"/>
    <w:rsid w:val="00531C5E"/>
    <w:rsid w:val="00551D54"/>
    <w:rsid w:val="00595315"/>
    <w:rsid w:val="005B2BD0"/>
    <w:rsid w:val="005B4852"/>
    <w:rsid w:val="005F0FBD"/>
    <w:rsid w:val="006036D8"/>
    <w:rsid w:val="0060540D"/>
    <w:rsid w:val="00605D6C"/>
    <w:rsid w:val="00632B39"/>
    <w:rsid w:val="00693A67"/>
    <w:rsid w:val="006B257F"/>
    <w:rsid w:val="006B51CC"/>
    <w:rsid w:val="006D07C8"/>
    <w:rsid w:val="006E2604"/>
    <w:rsid w:val="006E45F4"/>
    <w:rsid w:val="006E54D2"/>
    <w:rsid w:val="006F5CBD"/>
    <w:rsid w:val="00701FCC"/>
    <w:rsid w:val="00712FD7"/>
    <w:rsid w:val="00717770"/>
    <w:rsid w:val="00733950"/>
    <w:rsid w:val="00747622"/>
    <w:rsid w:val="00751D10"/>
    <w:rsid w:val="00752FF8"/>
    <w:rsid w:val="0078361F"/>
    <w:rsid w:val="007A26CC"/>
    <w:rsid w:val="007B6224"/>
    <w:rsid w:val="007B64A8"/>
    <w:rsid w:val="007C1063"/>
    <w:rsid w:val="007C220F"/>
    <w:rsid w:val="007C4BA3"/>
    <w:rsid w:val="00827425"/>
    <w:rsid w:val="0083426C"/>
    <w:rsid w:val="00843353"/>
    <w:rsid w:val="00847BEB"/>
    <w:rsid w:val="00855772"/>
    <w:rsid w:val="00870A86"/>
    <w:rsid w:val="0088371A"/>
    <w:rsid w:val="00887357"/>
    <w:rsid w:val="008902D6"/>
    <w:rsid w:val="008A1B17"/>
    <w:rsid w:val="008E053E"/>
    <w:rsid w:val="00910DED"/>
    <w:rsid w:val="00932CD4"/>
    <w:rsid w:val="0093536B"/>
    <w:rsid w:val="00952099"/>
    <w:rsid w:val="00971272"/>
    <w:rsid w:val="009942AC"/>
    <w:rsid w:val="009A5438"/>
    <w:rsid w:val="009B7FB9"/>
    <w:rsid w:val="009E573D"/>
    <w:rsid w:val="009F72FF"/>
    <w:rsid w:val="00A06A27"/>
    <w:rsid w:val="00A3377F"/>
    <w:rsid w:val="00A37A37"/>
    <w:rsid w:val="00A53DA2"/>
    <w:rsid w:val="00A6681F"/>
    <w:rsid w:val="00AB4188"/>
    <w:rsid w:val="00AF3074"/>
    <w:rsid w:val="00B044FF"/>
    <w:rsid w:val="00B30178"/>
    <w:rsid w:val="00B37183"/>
    <w:rsid w:val="00B723B6"/>
    <w:rsid w:val="00BA3573"/>
    <w:rsid w:val="00BE036F"/>
    <w:rsid w:val="00BE604A"/>
    <w:rsid w:val="00BE6189"/>
    <w:rsid w:val="00C10B1F"/>
    <w:rsid w:val="00C158AD"/>
    <w:rsid w:val="00C31F42"/>
    <w:rsid w:val="00C351E5"/>
    <w:rsid w:val="00C52434"/>
    <w:rsid w:val="00C529F1"/>
    <w:rsid w:val="00C52B75"/>
    <w:rsid w:val="00C82F36"/>
    <w:rsid w:val="00C90142"/>
    <w:rsid w:val="00CA2062"/>
    <w:rsid w:val="00CE7C15"/>
    <w:rsid w:val="00CF3EEC"/>
    <w:rsid w:val="00D0577D"/>
    <w:rsid w:val="00D05F03"/>
    <w:rsid w:val="00D3001E"/>
    <w:rsid w:val="00D322C2"/>
    <w:rsid w:val="00D3799D"/>
    <w:rsid w:val="00D51E22"/>
    <w:rsid w:val="00D670DD"/>
    <w:rsid w:val="00DA7A83"/>
    <w:rsid w:val="00DB4DCA"/>
    <w:rsid w:val="00DD0531"/>
    <w:rsid w:val="00DD7949"/>
    <w:rsid w:val="00DD7A83"/>
    <w:rsid w:val="00E150CA"/>
    <w:rsid w:val="00E85AF5"/>
    <w:rsid w:val="00EA100A"/>
    <w:rsid w:val="00EA130A"/>
    <w:rsid w:val="00EA3427"/>
    <w:rsid w:val="00ED662B"/>
    <w:rsid w:val="00EE1D87"/>
    <w:rsid w:val="00EE4043"/>
    <w:rsid w:val="00EE5CD0"/>
    <w:rsid w:val="00EF5AD7"/>
    <w:rsid w:val="00F51C2B"/>
    <w:rsid w:val="00F75556"/>
    <w:rsid w:val="00F82E36"/>
    <w:rsid w:val="00F8735D"/>
    <w:rsid w:val="00F9161A"/>
    <w:rsid w:val="00FA2EC9"/>
    <w:rsid w:val="00FA4C3C"/>
    <w:rsid w:val="00FA738D"/>
    <w:rsid w:val="00FB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23E94"/>
  <w15:chartTrackingRefBased/>
  <w15:docId w15:val="{ED0BBF37-5D5C-A24B-9A50-FC1DF5CE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D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D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D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D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D54"/>
    <w:rPr>
      <w:rFonts w:eastAsiaTheme="majorEastAsia" w:cstheme="majorBidi"/>
      <w:color w:val="272727" w:themeColor="text1" w:themeTint="D8"/>
    </w:rPr>
  </w:style>
  <w:style w:type="paragraph" w:styleId="Title">
    <w:name w:val="Title"/>
    <w:basedOn w:val="Normal"/>
    <w:next w:val="Normal"/>
    <w:link w:val="TitleChar"/>
    <w:uiPriority w:val="10"/>
    <w:qFormat/>
    <w:rsid w:val="00551D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D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D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1D54"/>
    <w:rPr>
      <w:i/>
      <w:iCs/>
      <w:color w:val="404040" w:themeColor="text1" w:themeTint="BF"/>
    </w:rPr>
  </w:style>
  <w:style w:type="paragraph" w:styleId="ListParagraph">
    <w:name w:val="List Paragraph"/>
    <w:basedOn w:val="Normal"/>
    <w:uiPriority w:val="34"/>
    <w:qFormat/>
    <w:rsid w:val="00551D54"/>
    <w:pPr>
      <w:ind w:left="720"/>
      <w:contextualSpacing/>
    </w:pPr>
  </w:style>
  <w:style w:type="character" w:styleId="IntenseEmphasis">
    <w:name w:val="Intense Emphasis"/>
    <w:basedOn w:val="DefaultParagraphFont"/>
    <w:uiPriority w:val="21"/>
    <w:qFormat/>
    <w:rsid w:val="00551D54"/>
    <w:rPr>
      <w:i/>
      <w:iCs/>
      <w:color w:val="0F4761" w:themeColor="accent1" w:themeShade="BF"/>
    </w:rPr>
  </w:style>
  <w:style w:type="paragraph" w:styleId="IntenseQuote">
    <w:name w:val="Intense Quote"/>
    <w:basedOn w:val="Normal"/>
    <w:next w:val="Normal"/>
    <w:link w:val="IntenseQuoteChar"/>
    <w:uiPriority w:val="30"/>
    <w:qFormat/>
    <w:rsid w:val="00551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D54"/>
    <w:rPr>
      <w:i/>
      <w:iCs/>
      <w:color w:val="0F4761" w:themeColor="accent1" w:themeShade="BF"/>
    </w:rPr>
  </w:style>
  <w:style w:type="character" w:styleId="IntenseReference">
    <w:name w:val="Intense Reference"/>
    <w:basedOn w:val="DefaultParagraphFont"/>
    <w:uiPriority w:val="32"/>
    <w:qFormat/>
    <w:rsid w:val="00551D54"/>
    <w:rPr>
      <w:b/>
      <w:bCs/>
      <w:smallCaps/>
      <w:color w:val="0F4761" w:themeColor="accent1" w:themeShade="BF"/>
      <w:spacing w:val="5"/>
    </w:rPr>
  </w:style>
  <w:style w:type="character" w:styleId="Hyperlink">
    <w:name w:val="Hyperlink"/>
    <w:basedOn w:val="DefaultParagraphFont"/>
    <w:uiPriority w:val="99"/>
    <w:unhideWhenUsed/>
    <w:rsid w:val="00551D54"/>
    <w:rPr>
      <w:color w:val="467886" w:themeColor="hyperlink"/>
      <w:u w:val="single"/>
    </w:rPr>
  </w:style>
  <w:style w:type="character" w:styleId="UnresolvedMention">
    <w:name w:val="Unresolved Mention"/>
    <w:basedOn w:val="DefaultParagraphFont"/>
    <w:uiPriority w:val="99"/>
    <w:semiHidden/>
    <w:unhideWhenUsed/>
    <w:rsid w:val="00551D54"/>
    <w:rPr>
      <w:color w:val="605E5C"/>
      <w:shd w:val="clear" w:color="auto" w:fill="E1DFDD"/>
    </w:rPr>
  </w:style>
  <w:style w:type="paragraph" w:styleId="NormalWeb">
    <w:name w:val="Normal (Web)"/>
    <w:basedOn w:val="Normal"/>
    <w:uiPriority w:val="99"/>
    <w:unhideWhenUsed/>
    <w:rsid w:val="006E54D2"/>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6E54D2"/>
    <w:pPr>
      <w:tabs>
        <w:tab w:val="left" w:pos="380"/>
      </w:tabs>
      <w:spacing w:after="240"/>
      <w:ind w:left="384" w:hanging="384"/>
    </w:pPr>
  </w:style>
  <w:style w:type="paragraph" w:customStyle="1" w:styleId="subheader">
    <w:name w:val="subheader"/>
    <w:basedOn w:val="Heading2"/>
    <w:qFormat/>
    <w:rsid w:val="00FA4C3C"/>
    <w:pPr>
      <w:spacing w:before="40" w:after="0"/>
    </w:pPr>
    <w:rPr>
      <w:rFonts w:ascii="Times New Roman" w:eastAsia="Times New Roman" w:hAnsi="Times New Roman" w:cs="Times New Roman"/>
      <w:i/>
      <w:iCs/>
      <w:color w:val="000000" w:themeColor="text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3397">
      <w:bodyDiv w:val="1"/>
      <w:marLeft w:val="0"/>
      <w:marRight w:val="0"/>
      <w:marTop w:val="0"/>
      <w:marBottom w:val="0"/>
      <w:divBdr>
        <w:top w:val="none" w:sz="0" w:space="0" w:color="auto"/>
        <w:left w:val="none" w:sz="0" w:space="0" w:color="auto"/>
        <w:bottom w:val="none" w:sz="0" w:space="0" w:color="auto"/>
        <w:right w:val="none" w:sz="0" w:space="0" w:color="auto"/>
      </w:divBdr>
    </w:div>
    <w:div w:id="1171026173">
      <w:bodyDiv w:val="1"/>
      <w:marLeft w:val="0"/>
      <w:marRight w:val="0"/>
      <w:marTop w:val="0"/>
      <w:marBottom w:val="0"/>
      <w:divBdr>
        <w:top w:val="none" w:sz="0" w:space="0" w:color="auto"/>
        <w:left w:val="none" w:sz="0" w:space="0" w:color="auto"/>
        <w:bottom w:val="none" w:sz="0" w:space="0" w:color="auto"/>
        <w:right w:val="none" w:sz="0" w:space="0" w:color="auto"/>
      </w:divBdr>
    </w:div>
    <w:div w:id="1251428126">
      <w:bodyDiv w:val="1"/>
      <w:marLeft w:val="0"/>
      <w:marRight w:val="0"/>
      <w:marTop w:val="0"/>
      <w:marBottom w:val="0"/>
      <w:divBdr>
        <w:top w:val="none" w:sz="0" w:space="0" w:color="auto"/>
        <w:left w:val="none" w:sz="0" w:space="0" w:color="auto"/>
        <w:bottom w:val="none" w:sz="0" w:space="0" w:color="auto"/>
        <w:right w:val="none" w:sz="0" w:space="0" w:color="auto"/>
      </w:divBdr>
    </w:div>
    <w:div w:id="1336690839">
      <w:bodyDiv w:val="1"/>
      <w:marLeft w:val="0"/>
      <w:marRight w:val="0"/>
      <w:marTop w:val="0"/>
      <w:marBottom w:val="0"/>
      <w:divBdr>
        <w:top w:val="none" w:sz="0" w:space="0" w:color="auto"/>
        <w:left w:val="none" w:sz="0" w:space="0" w:color="auto"/>
        <w:bottom w:val="none" w:sz="0" w:space="0" w:color="auto"/>
        <w:right w:val="none" w:sz="0" w:space="0" w:color="auto"/>
      </w:divBdr>
    </w:div>
    <w:div w:id="1416055589">
      <w:bodyDiv w:val="1"/>
      <w:marLeft w:val="0"/>
      <w:marRight w:val="0"/>
      <w:marTop w:val="0"/>
      <w:marBottom w:val="0"/>
      <w:divBdr>
        <w:top w:val="none" w:sz="0" w:space="0" w:color="auto"/>
        <w:left w:val="none" w:sz="0" w:space="0" w:color="auto"/>
        <w:bottom w:val="none" w:sz="0" w:space="0" w:color="auto"/>
        <w:right w:val="none" w:sz="0" w:space="0" w:color="auto"/>
      </w:divBdr>
    </w:div>
    <w:div w:id="18486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shingsupport.iopscience.iop.org/journals/" TargetMode="External"/><Relationship Id="rId13" Type="http://schemas.openxmlformats.org/officeDocument/2006/relationships/hyperlink" Target="https://publishingsupport.iopscience.iop.org/questions/referen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shingsupport.iopscience.iop.org/questions/ethics-of-authorship/" TargetMode="External"/><Relationship Id="rId12" Type="http://schemas.openxmlformats.org/officeDocument/2006/relationships/hyperlink" Target="https://publishingsupport.iopscience.iop.org/questions/peer-review-models-on-iop-journa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lishingsupport.iopscience.iop.org/questions/example-figures/" TargetMode="External"/><Relationship Id="rId1" Type="http://schemas.openxmlformats.org/officeDocument/2006/relationships/numbering" Target="numbering.xml"/><Relationship Id="rId6" Type="http://schemas.openxmlformats.org/officeDocument/2006/relationships/hyperlink" Target="https://publishingsupport.iopscience.iop.org/questions/structure-and-format-of-your-journal-article/publishingsupport.iopscience.iop.org/orcid/" TargetMode="External"/><Relationship Id="rId11" Type="http://schemas.openxmlformats.org/officeDocument/2006/relationships/image" Target="media/image3.png"/><Relationship Id="rId5" Type="http://schemas.openxmlformats.org/officeDocument/2006/relationships/hyperlink" Target="https://publishingsupport.iopscience.iop.org/questions/peer-review-models-on-iop-journals/" TargetMode="External"/><Relationship Id="rId15" Type="http://schemas.openxmlformats.org/officeDocument/2006/relationships/hyperlink" Target="https://publishingsupport.iopscience.iop.org/journal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ublishingsupport.iopscience.iop.org/questions/peer-review-models-on-iop-jou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11</Pages>
  <Words>10914</Words>
  <Characters>62210</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153</cp:revision>
  <dcterms:created xsi:type="dcterms:W3CDTF">2024-09-05T14:31:00Z</dcterms:created>
  <dcterms:modified xsi:type="dcterms:W3CDTF">2024-10-06T16:52:00Z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id="zJTkN7EO"/&gt;&lt;style id="http://www.zotero.org/styles/american-medical-association" hasBibliography="1" bibliographyStyleHasBeenSet="1"/&gt;&lt;prefs&gt;&lt;pref name="fieldType" value="Field"/&gt;&lt;/prefs&gt;&lt;/data&gt;</vt:lpwstr>
  </property>
</Properties>
</file>