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613BC" w14:textId="3CF5C5A8" w:rsidR="008F4B85" w:rsidRDefault="008F4B85" w:rsidP="008F4B85">
      <w:pPr>
        <w:pStyle w:val="ListParagraph"/>
        <w:numPr>
          <w:ilvl w:val="0"/>
          <w:numId w:val="1"/>
        </w:numPr>
      </w:pPr>
      <w:r>
        <w:t>Andorra</w:t>
      </w:r>
      <w:r w:rsidR="00892238">
        <w:t xml:space="preserve"> </w:t>
      </w:r>
    </w:p>
    <w:p w14:paraId="294AFDC2" w14:textId="6A1E85C7" w:rsidR="008F4B85" w:rsidRDefault="008F4B85" w:rsidP="008F4B85">
      <w:pPr>
        <w:pStyle w:val="ListParagraph"/>
        <w:numPr>
          <w:ilvl w:val="0"/>
          <w:numId w:val="1"/>
        </w:numPr>
      </w:pPr>
      <w:r>
        <w:t>Antigua and Barbuda</w:t>
      </w:r>
    </w:p>
    <w:p w14:paraId="415B96F4" w14:textId="381A7C02" w:rsidR="008F4B85" w:rsidRDefault="008F4B85" w:rsidP="008F4B85">
      <w:pPr>
        <w:pStyle w:val="ListParagraph"/>
        <w:numPr>
          <w:ilvl w:val="0"/>
          <w:numId w:val="1"/>
        </w:numPr>
      </w:pPr>
      <w:r>
        <w:t>Eswatini</w:t>
      </w:r>
      <w:r w:rsidR="00125836">
        <w:t xml:space="preserve"> (former Swaziland)</w:t>
      </w:r>
    </w:p>
    <w:p w14:paraId="0073B1E8" w14:textId="4E8FB89A" w:rsidR="00B6762C" w:rsidRDefault="00B6762C" w:rsidP="008F4B85">
      <w:pPr>
        <w:pStyle w:val="ListParagraph"/>
        <w:numPr>
          <w:ilvl w:val="0"/>
          <w:numId w:val="1"/>
        </w:numPr>
      </w:pPr>
      <w:r w:rsidRPr="00B6762C">
        <w:t>Dominica</w:t>
      </w:r>
    </w:p>
    <w:p w14:paraId="17B52B11" w14:textId="1C41F1D6" w:rsidR="00125836" w:rsidRDefault="00125836" w:rsidP="008F4B85">
      <w:pPr>
        <w:pStyle w:val="ListParagraph"/>
        <w:numPr>
          <w:ilvl w:val="0"/>
          <w:numId w:val="1"/>
        </w:numPr>
      </w:pPr>
      <w:r>
        <w:t>Grenada</w:t>
      </w:r>
    </w:p>
    <w:p w14:paraId="101DE36F" w14:textId="65AAC65B" w:rsidR="00AA5696" w:rsidRDefault="00AA5696" w:rsidP="008F4B85">
      <w:pPr>
        <w:pStyle w:val="ListParagraph"/>
        <w:numPr>
          <w:ilvl w:val="0"/>
          <w:numId w:val="1"/>
        </w:numPr>
      </w:pPr>
      <w:r>
        <w:t>Holy See</w:t>
      </w:r>
    </w:p>
    <w:p w14:paraId="78842BF5" w14:textId="019744C1" w:rsidR="00296954" w:rsidRDefault="00296954" w:rsidP="008F4B85">
      <w:pPr>
        <w:pStyle w:val="ListParagraph"/>
        <w:numPr>
          <w:ilvl w:val="0"/>
          <w:numId w:val="1"/>
        </w:numPr>
      </w:pPr>
      <w:r>
        <w:t>Kiribati</w:t>
      </w:r>
    </w:p>
    <w:p w14:paraId="667CB21E" w14:textId="58CA0895" w:rsidR="00B03047" w:rsidRDefault="00B03047" w:rsidP="008F4B85">
      <w:pPr>
        <w:pStyle w:val="ListParagraph"/>
        <w:numPr>
          <w:ilvl w:val="0"/>
          <w:numId w:val="1"/>
        </w:numPr>
      </w:pPr>
      <w:r>
        <w:t>Liechtenstein</w:t>
      </w:r>
    </w:p>
    <w:p w14:paraId="05ED7FBE" w14:textId="024A7FC2" w:rsidR="00B03047" w:rsidRDefault="00B03047" w:rsidP="008F4B85">
      <w:pPr>
        <w:pStyle w:val="ListParagraph"/>
        <w:numPr>
          <w:ilvl w:val="0"/>
          <w:numId w:val="1"/>
        </w:numPr>
      </w:pPr>
      <w:r>
        <w:t>Marshall Islands</w:t>
      </w:r>
    </w:p>
    <w:p w14:paraId="0193AD8B" w14:textId="5EA3548B" w:rsidR="00F95FC4" w:rsidRDefault="00F95FC4" w:rsidP="008F4B85">
      <w:pPr>
        <w:pStyle w:val="ListParagraph"/>
        <w:numPr>
          <w:ilvl w:val="0"/>
          <w:numId w:val="1"/>
        </w:numPr>
      </w:pPr>
      <w:r>
        <w:t>Micronesia (Federated States of)</w:t>
      </w:r>
    </w:p>
    <w:p w14:paraId="65B070A4" w14:textId="3CDE37DE" w:rsidR="0001088B" w:rsidRDefault="0001088B" w:rsidP="008F4B85">
      <w:pPr>
        <w:pStyle w:val="ListParagraph"/>
        <w:numPr>
          <w:ilvl w:val="0"/>
          <w:numId w:val="1"/>
        </w:numPr>
      </w:pPr>
      <w:r>
        <w:t>Nauru</w:t>
      </w:r>
    </w:p>
    <w:p w14:paraId="2D08F291" w14:textId="4B4E8290" w:rsidR="009E3C59" w:rsidRDefault="009E3C59" w:rsidP="008F4B85">
      <w:pPr>
        <w:pStyle w:val="ListParagraph"/>
        <w:numPr>
          <w:ilvl w:val="0"/>
          <w:numId w:val="1"/>
        </w:numPr>
      </w:pPr>
      <w:r>
        <w:t>Palau</w:t>
      </w:r>
    </w:p>
    <w:p w14:paraId="446B105A" w14:textId="5A5F2DBA" w:rsidR="003C7BB8" w:rsidRDefault="003C7BB8" w:rsidP="008F4B85">
      <w:pPr>
        <w:pStyle w:val="ListParagraph"/>
        <w:numPr>
          <w:ilvl w:val="0"/>
          <w:numId w:val="1"/>
        </w:numPr>
      </w:pPr>
      <w:r>
        <w:t>Saint Kitts and Nevis</w:t>
      </w:r>
    </w:p>
    <w:p w14:paraId="083654DC" w14:textId="27622A74" w:rsidR="003C7BB8" w:rsidRDefault="003C7BB8" w:rsidP="008F4B85">
      <w:pPr>
        <w:pStyle w:val="ListParagraph"/>
        <w:numPr>
          <w:ilvl w:val="0"/>
          <w:numId w:val="1"/>
        </w:numPr>
      </w:pPr>
      <w:r>
        <w:t>Saint Lucia</w:t>
      </w:r>
    </w:p>
    <w:p w14:paraId="4F4DE880" w14:textId="7ADD4F36" w:rsidR="003C7BB8" w:rsidRDefault="003C7BB8" w:rsidP="008F4B85">
      <w:pPr>
        <w:pStyle w:val="ListParagraph"/>
        <w:numPr>
          <w:ilvl w:val="0"/>
          <w:numId w:val="1"/>
        </w:numPr>
      </w:pPr>
      <w:r>
        <w:t>Saint Vincent and the Grenadines</w:t>
      </w:r>
    </w:p>
    <w:p w14:paraId="1AAF9E28" w14:textId="5E5325CB" w:rsidR="003C7BB8" w:rsidRDefault="003C7BB8" w:rsidP="008F4B85">
      <w:pPr>
        <w:pStyle w:val="ListParagraph"/>
        <w:numPr>
          <w:ilvl w:val="0"/>
          <w:numId w:val="1"/>
        </w:numPr>
      </w:pPr>
      <w:r>
        <w:t>Samoa</w:t>
      </w:r>
    </w:p>
    <w:p w14:paraId="3AE337F6" w14:textId="77777777" w:rsidR="0065016E" w:rsidRDefault="0065016E" w:rsidP="00892238">
      <w:pPr>
        <w:pStyle w:val="ListParagraph"/>
        <w:numPr>
          <w:ilvl w:val="0"/>
          <w:numId w:val="1"/>
        </w:numPr>
      </w:pPr>
      <w:r>
        <w:t>San Marino</w:t>
      </w:r>
    </w:p>
    <w:p w14:paraId="49700AFB" w14:textId="6355553C" w:rsidR="00AA5696" w:rsidRDefault="00892238" w:rsidP="00892238">
      <w:pPr>
        <w:pStyle w:val="ListParagraph"/>
        <w:numPr>
          <w:ilvl w:val="0"/>
          <w:numId w:val="1"/>
        </w:numPr>
      </w:pPr>
      <w:r>
        <w:t>Seychelles</w:t>
      </w:r>
    </w:p>
    <w:p w14:paraId="1D63B173" w14:textId="6501036B" w:rsidR="001805FA" w:rsidRDefault="001805FA" w:rsidP="00892238">
      <w:pPr>
        <w:pStyle w:val="ListParagraph"/>
        <w:numPr>
          <w:ilvl w:val="0"/>
          <w:numId w:val="1"/>
        </w:numPr>
      </w:pPr>
      <w:r>
        <w:t>State of Palestine</w:t>
      </w:r>
    </w:p>
    <w:p w14:paraId="65E02CAA" w14:textId="641E755C" w:rsidR="00321AAA" w:rsidRDefault="00321AAA" w:rsidP="00892238">
      <w:pPr>
        <w:pStyle w:val="ListParagraph"/>
        <w:numPr>
          <w:ilvl w:val="0"/>
          <w:numId w:val="1"/>
        </w:numPr>
      </w:pPr>
      <w:r>
        <w:t>Tonga</w:t>
      </w:r>
    </w:p>
    <w:p w14:paraId="2374C741" w14:textId="6A6225D5" w:rsidR="007B0046" w:rsidRDefault="00AA5696" w:rsidP="00892238">
      <w:pPr>
        <w:pStyle w:val="ListParagraph"/>
        <w:numPr>
          <w:ilvl w:val="0"/>
          <w:numId w:val="1"/>
        </w:numPr>
      </w:pPr>
      <w:r>
        <w:t>Tuvalu</w:t>
      </w:r>
      <w:r w:rsidR="00892238">
        <w:t xml:space="preserve">      </w:t>
      </w:r>
    </w:p>
    <w:p w14:paraId="55223E37" w14:textId="520CDD35" w:rsidR="00892238" w:rsidRDefault="007B0046" w:rsidP="00892238">
      <w:pPr>
        <w:pStyle w:val="ListParagraph"/>
        <w:numPr>
          <w:ilvl w:val="0"/>
          <w:numId w:val="1"/>
        </w:numPr>
      </w:pPr>
      <w:r>
        <w:t>Vanuatu</w:t>
      </w:r>
      <w:r w:rsidR="00892238">
        <w:t xml:space="preserve">                       </w:t>
      </w:r>
    </w:p>
    <w:p w14:paraId="476EEC66" w14:textId="77777777" w:rsidR="00994FFC" w:rsidRDefault="00994FFC" w:rsidP="00994FFC"/>
    <w:p w14:paraId="7242C42D" w14:textId="77777777" w:rsidR="00994FFC" w:rsidRDefault="00994FFC" w:rsidP="00994FFC"/>
    <w:p w14:paraId="187A4CD3" w14:textId="77777777" w:rsidR="00994FFC" w:rsidRDefault="00994FFC" w:rsidP="00994FFC"/>
    <w:p w14:paraId="73D2187C" w14:textId="77777777" w:rsidR="00994FFC" w:rsidRDefault="00994FFC" w:rsidP="00994FFC">
      <w:pPr>
        <w:rPr>
          <w:rFonts w:ascii="Times New Roman" w:hAnsi="Times New Roman" w:cs="Times New Roman"/>
          <w:i/>
          <w:iCs/>
        </w:rPr>
      </w:pPr>
      <w:r>
        <w:rPr>
          <w:rFonts w:ascii="Times New Roman" w:hAnsi="Times New Roman" w:cs="Times New Roman"/>
          <w:i/>
          <w:iCs/>
        </w:rPr>
        <w:t>Green and green and blue area</w:t>
      </w:r>
    </w:p>
    <w:p w14:paraId="5E023186" w14:textId="77777777" w:rsidR="00994FFC" w:rsidRPr="004817DF" w:rsidRDefault="00994FFC" w:rsidP="00994FFC">
      <w:pPr>
        <w:rPr>
          <w:rFonts w:ascii="Times New Roman" w:hAnsi="Times New Roman" w:cs="Times New Roman"/>
          <w:i/>
          <w:iCs/>
        </w:rPr>
      </w:pPr>
    </w:p>
    <w:p w14:paraId="1532D1DA" w14:textId="77777777" w:rsidR="00994FFC" w:rsidRDefault="00994FFC" w:rsidP="00994FFC">
      <w:pPr>
        <w:rPr>
          <w:rFonts w:ascii="Times New Roman" w:hAnsi="Times New Roman" w:cs="Times New Roman"/>
        </w:rPr>
      </w:pPr>
      <w:commentRangeStart w:id="0"/>
      <w:r>
        <w:rPr>
          <w:rFonts w:ascii="Times New Roman" w:hAnsi="Times New Roman" w:cs="Times New Roman"/>
        </w:rPr>
        <w:t xml:space="preserve">The </w:t>
      </w:r>
      <w:commentRangeEnd w:id="0"/>
      <w:r>
        <w:rPr>
          <w:rStyle w:val="CommentReference"/>
        </w:rPr>
        <w:commentReference w:id="0"/>
      </w:r>
      <w:r>
        <w:rPr>
          <w:rFonts w:ascii="Times New Roman" w:hAnsi="Times New Roman" w:cs="Times New Roman"/>
        </w:rPr>
        <w:t xml:space="preserve">percent green and green or blue space metrics were calculated from NASA’s MODIS Land Cover Type Yearly Global 500m dataset, which we accessed through Google Earth Engine (GEE). This dataset is available yearly and provides various landcover classifications for each 500m pixel. </w:t>
      </w:r>
      <w:commentRangeStart w:id="1"/>
      <w:r>
        <w:rPr>
          <w:rFonts w:ascii="Times New Roman" w:hAnsi="Times New Roman" w:cs="Times New Roman"/>
        </w:rPr>
        <w:t xml:space="preserve">We used the 2020 </w:t>
      </w:r>
      <w:r w:rsidRPr="006E2604">
        <w:rPr>
          <w:rFonts w:ascii="Times New Roman" w:hAnsi="Times New Roman" w:cs="Times New Roman"/>
        </w:rPr>
        <w:t>University of Maryland (UMD) classification</w:t>
      </w:r>
      <w:r>
        <w:rPr>
          <w:rFonts w:ascii="Times New Roman" w:hAnsi="Times New Roman" w:cs="Times New Roman"/>
        </w:rPr>
        <w:t>.</w:t>
      </w:r>
      <w:commentRangeEnd w:id="1"/>
      <w:r>
        <w:rPr>
          <w:rStyle w:val="CommentReference"/>
        </w:rPr>
        <w:commentReference w:id="1"/>
      </w:r>
      <w:r>
        <w:rPr>
          <w:rFonts w:ascii="Times New Roman" w:hAnsi="Times New Roman" w:cs="Times New Roman"/>
        </w:rPr>
        <w:t xml:space="preserve"> We first created binary indicators of: 1) greenspace, which included pixels classified as forests, shrublands, savannas, grasslands, and croplands, and 2) green or blue space, which included these categories as well as waterbodies and permanent wetlands. We then took the </w:t>
      </w:r>
      <w:commentRangeStart w:id="2"/>
      <w:r>
        <w:rPr>
          <w:rFonts w:ascii="Times New Roman" w:hAnsi="Times New Roman" w:cs="Times New Roman"/>
        </w:rPr>
        <w:t xml:space="preserve">average </w:t>
      </w:r>
      <w:commentRangeEnd w:id="2"/>
      <w:r>
        <w:rPr>
          <w:rStyle w:val="CommentReference"/>
        </w:rPr>
        <w:commentReference w:id="2"/>
      </w:r>
      <w:r>
        <w:rPr>
          <w:rFonts w:ascii="Times New Roman" w:hAnsi="Times New Roman" w:cs="Times New Roman"/>
        </w:rPr>
        <w:t>over the urban boundary to arrive at a city-level estimate of percent greenspace and green or blue space.</w:t>
      </w:r>
    </w:p>
    <w:p w14:paraId="59A94873" w14:textId="77777777" w:rsidR="00994FFC" w:rsidRDefault="00994FFC" w:rsidP="00994FFC">
      <w:pPr>
        <w:rPr>
          <w:rFonts w:ascii="Times New Roman" w:hAnsi="Times New Roman" w:cs="Times New Roman"/>
          <w:b/>
          <w:bCs/>
        </w:rPr>
      </w:pPr>
    </w:p>
    <w:p w14:paraId="4E4D3CB7" w14:textId="77777777" w:rsidR="00994FFC" w:rsidRDefault="00994FFC" w:rsidP="00994FFC">
      <w:pPr>
        <w:rPr>
          <w:rFonts w:ascii="Times New Roman" w:hAnsi="Times New Roman" w:cs="Times New Roman"/>
          <w:b/>
          <w:bCs/>
        </w:rPr>
      </w:pPr>
    </w:p>
    <w:p w14:paraId="041F29A0" w14:textId="77777777" w:rsidR="00994FFC" w:rsidRDefault="00994FFC" w:rsidP="00994FFC">
      <w:pPr>
        <w:rPr>
          <w:rFonts w:ascii="Times New Roman" w:hAnsi="Times New Roman" w:cs="Times New Roman"/>
          <w:b/>
          <w:bCs/>
        </w:rPr>
      </w:pPr>
    </w:p>
    <w:p w14:paraId="3A8C9D3E" w14:textId="77777777" w:rsidR="00994FFC" w:rsidRPr="00AE765C" w:rsidRDefault="00994FFC" w:rsidP="00994FFC">
      <w:pPr>
        <w:rPr>
          <w:rFonts w:ascii="Times New Roman" w:hAnsi="Times New Roman" w:cs="Times New Roman"/>
          <w:color w:val="000000" w:themeColor="text1"/>
        </w:rPr>
      </w:pPr>
      <w:r>
        <w:rPr>
          <w:rFonts w:ascii="Times New Roman" w:hAnsi="Times New Roman" w:cs="Times New Roman"/>
          <w:color w:val="000000" w:themeColor="text1"/>
        </w:rPr>
        <w:t xml:space="preserve">Across the 1,041 global cities included in this analysis, there was a large spread in the proportion of green and blue area (Fig. 1). On average, the proportion of greenspace across cities was 0.316 (min: 0.00, max: 1.00) and the proportion of blue space was 0.029 (min: 0.00, max: 0.612). </w:t>
      </w:r>
      <w:commentRangeStart w:id="3"/>
      <w:r>
        <w:rPr>
          <w:rFonts w:ascii="Times New Roman" w:hAnsi="Times New Roman" w:cs="Times New Roman"/>
          <w:color w:val="000000" w:themeColor="text1"/>
        </w:rPr>
        <w:t>Australia and New Zealand had the lowest average proportion of green area; cities in this region had an average of just 0.069 green area. In contrast, over half of the city was green area on average in the Melanesian and Southern Asian regions. Most regions had very little blue area in their urban areas. The cities of three regions had over 5% blue area: Melanesia (0.130), South-</w:t>
      </w:r>
      <w:r>
        <w:rPr>
          <w:rFonts w:ascii="Times New Roman" w:hAnsi="Times New Roman" w:cs="Times New Roman"/>
          <w:color w:val="000000" w:themeColor="text1"/>
        </w:rPr>
        <w:lastRenderedPageBreak/>
        <w:t>eastern Asia (0.054), and Australia and New Zealand (0.053). Tropical cities had the most nature, with an average of 0.447 green area and 0.040 blue area.</w:t>
      </w:r>
      <w:commentRangeEnd w:id="3"/>
      <w:r>
        <w:rPr>
          <w:rStyle w:val="CommentReference"/>
        </w:rPr>
        <w:commentReference w:id="3"/>
      </w:r>
      <w:r>
        <w:rPr>
          <w:rFonts w:ascii="Times New Roman" w:hAnsi="Times New Roman" w:cs="Times New Roman"/>
          <w:color w:val="000000" w:themeColor="text1"/>
        </w:rPr>
        <w:t xml:space="preserve"> </w:t>
      </w:r>
    </w:p>
    <w:p w14:paraId="3F791D41" w14:textId="77777777" w:rsidR="00994FFC" w:rsidRPr="00AE765C" w:rsidRDefault="00994FFC" w:rsidP="00994FFC">
      <w:pPr>
        <w:rPr>
          <w:rFonts w:ascii="Times New Roman" w:hAnsi="Times New Roman" w:cs="Times New Roman"/>
          <w:color w:val="000000" w:themeColor="text1"/>
        </w:rPr>
      </w:pPr>
    </w:p>
    <w:p w14:paraId="24641644" w14:textId="77777777" w:rsidR="00994FFC" w:rsidRPr="00751D3A" w:rsidRDefault="00994FFC" w:rsidP="00994FFC">
      <w:pPr>
        <w:rPr>
          <w:rFonts w:ascii="Times New Roman" w:hAnsi="Times New Roman" w:cs="Times New Roman"/>
          <w:color w:val="156082" w:themeColor="accent1"/>
        </w:rPr>
      </w:pPr>
    </w:p>
    <w:p w14:paraId="2EB6E567" w14:textId="77777777" w:rsidR="00994FFC" w:rsidRDefault="00994FFC" w:rsidP="00994FFC">
      <w:pPr>
        <w:rPr>
          <w:rFonts w:ascii="Times New Roman" w:hAnsi="Times New Roman" w:cs="Times New Roman"/>
        </w:rPr>
      </w:pPr>
      <w:r>
        <w:rPr>
          <w:rFonts w:ascii="Times New Roman" w:hAnsi="Times New Roman" w:cs="Times New Roman"/>
          <w:i/>
          <w:iCs/>
          <w:noProof/>
        </w:rPr>
        <w:drawing>
          <wp:inline distT="0" distB="0" distL="0" distR="0" wp14:anchorId="7D365E90" wp14:editId="29D6C562">
            <wp:extent cx="5943600" cy="1584960"/>
            <wp:effectExtent l="0" t="0" r="0" b="2540"/>
            <wp:docPr id="83608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34368" name="Picture 1009734368"/>
                    <pic:cNvPicPr/>
                  </pic:nvPicPr>
                  <pic:blipFill>
                    <a:blip r:embed="rId8"/>
                    <a:stretch>
                      <a:fillRect/>
                    </a:stretch>
                  </pic:blipFill>
                  <pic:spPr>
                    <a:xfrm>
                      <a:off x="0" y="0"/>
                      <a:ext cx="5943600" cy="1584960"/>
                    </a:xfrm>
                    <a:prstGeom prst="rect">
                      <a:avLst/>
                    </a:prstGeom>
                  </pic:spPr>
                </pic:pic>
              </a:graphicData>
            </a:graphic>
          </wp:inline>
        </w:drawing>
      </w:r>
    </w:p>
    <w:p w14:paraId="398B6AD3" w14:textId="77777777" w:rsidR="00994FFC" w:rsidRDefault="00994FFC" w:rsidP="00994FFC">
      <w:pPr>
        <w:rPr>
          <w:rFonts w:ascii="Times New Roman" w:hAnsi="Times New Roman" w:cs="Times New Roman"/>
          <w:i/>
          <w:iCs/>
        </w:rPr>
      </w:pPr>
      <w:commentRangeStart w:id="4"/>
      <w:r w:rsidRPr="0049174D">
        <w:rPr>
          <w:rFonts w:ascii="Times New Roman" w:hAnsi="Times New Roman" w:cs="Times New Roman"/>
          <w:b/>
          <w:bCs/>
          <w:i/>
          <w:iCs/>
        </w:rPr>
        <w:t xml:space="preserve">Figure </w:t>
      </w:r>
      <w:commentRangeEnd w:id="4"/>
      <w:r>
        <w:rPr>
          <w:rStyle w:val="CommentReference"/>
        </w:rPr>
        <w:commentReference w:id="4"/>
      </w:r>
      <w:r>
        <w:rPr>
          <w:rFonts w:ascii="Times New Roman" w:hAnsi="Times New Roman" w:cs="Times New Roman"/>
          <w:b/>
          <w:bCs/>
          <w:i/>
          <w:iCs/>
        </w:rPr>
        <w:t>1</w:t>
      </w:r>
      <w:r w:rsidRPr="0049174D">
        <w:rPr>
          <w:rFonts w:ascii="Times New Roman" w:hAnsi="Times New Roman" w:cs="Times New Roman"/>
          <w:b/>
          <w:bCs/>
          <w:i/>
          <w:iCs/>
        </w:rPr>
        <w:t>.</w:t>
      </w:r>
      <w:r w:rsidRPr="0049174D">
        <w:rPr>
          <w:rFonts w:ascii="Times New Roman" w:hAnsi="Times New Roman" w:cs="Times New Roman"/>
          <w:i/>
          <w:iCs/>
        </w:rPr>
        <w:t xml:space="preserve"> </w:t>
      </w:r>
      <w:r>
        <w:rPr>
          <w:rFonts w:ascii="Times New Roman" w:hAnsi="Times New Roman" w:cs="Times New Roman"/>
          <w:i/>
          <w:iCs/>
        </w:rPr>
        <w:t>Proportion of g</w:t>
      </w:r>
      <w:r w:rsidRPr="0049174D">
        <w:rPr>
          <w:rFonts w:ascii="Times New Roman" w:hAnsi="Times New Roman" w:cs="Times New Roman"/>
          <w:i/>
          <w:iCs/>
        </w:rPr>
        <w:t>reen</w:t>
      </w:r>
      <w:r>
        <w:rPr>
          <w:rFonts w:ascii="Times New Roman" w:hAnsi="Times New Roman" w:cs="Times New Roman"/>
          <w:i/>
          <w:iCs/>
        </w:rPr>
        <w:t xml:space="preserve">, </w:t>
      </w:r>
      <w:r w:rsidRPr="0049174D">
        <w:rPr>
          <w:rFonts w:ascii="Times New Roman" w:hAnsi="Times New Roman" w:cs="Times New Roman"/>
          <w:i/>
          <w:iCs/>
        </w:rPr>
        <w:t>blue</w:t>
      </w:r>
      <w:r>
        <w:rPr>
          <w:rFonts w:ascii="Times New Roman" w:hAnsi="Times New Roman" w:cs="Times New Roman"/>
          <w:i/>
          <w:iCs/>
        </w:rPr>
        <w:t>, and urban or non-vegetated</w:t>
      </w:r>
      <w:r w:rsidRPr="0049174D">
        <w:rPr>
          <w:rFonts w:ascii="Times New Roman" w:hAnsi="Times New Roman" w:cs="Times New Roman"/>
          <w:i/>
          <w:iCs/>
        </w:rPr>
        <w:t xml:space="preserve"> area</w:t>
      </w:r>
      <w:r>
        <w:rPr>
          <w:rFonts w:ascii="Times New Roman" w:hAnsi="Times New Roman" w:cs="Times New Roman"/>
          <w:i/>
          <w:iCs/>
        </w:rPr>
        <w:t xml:space="preserve"> in each city by (a) </w:t>
      </w:r>
      <w:commentRangeStart w:id="5"/>
      <w:commentRangeEnd w:id="5"/>
      <w:r>
        <w:rPr>
          <w:rStyle w:val="CommentReference"/>
        </w:rPr>
        <w:commentReference w:id="5"/>
      </w:r>
      <w:r>
        <w:rPr>
          <w:rFonts w:ascii="Times New Roman" w:hAnsi="Times New Roman" w:cs="Times New Roman"/>
          <w:i/>
          <w:iCs/>
        </w:rPr>
        <w:t>geographic region and (b) climate zone</w:t>
      </w:r>
      <w:r w:rsidRPr="0049174D">
        <w:rPr>
          <w:rFonts w:ascii="Times New Roman" w:hAnsi="Times New Roman" w:cs="Times New Roman"/>
          <w:i/>
          <w:iCs/>
        </w:rPr>
        <w:t xml:space="preserve">. </w:t>
      </w:r>
      <w:r>
        <w:rPr>
          <w:rFonts w:ascii="Times New Roman" w:hAnsi="Times New Roman" w:cs="Times New Roman"/>
          <w:i/>
          <w:iCs/>
        </w:rPr>
        <w:t>Each vertical bar represents a city, and cities are arranged from smallest proportion green area to largest within each region.</w:t>
      </w:r>
    </w:p>
    <w:p w14:paraId="348DE24A" w14:textId="77777777" w:rsidR="00994FFC" w:rsidRDefault="00994FFC" w:rsidP="00994FFC">
      <w:pPr>
        <w:rPr>
          <w:rFonts w:ascii="Times New Roman" w:hAnsi="Times New Roman" w:cs="Times New Roman"/>
          <w:b/>
          <w:bCs/>
        </w:rPr>
      </w:pPr>
    </w:p>
    <w:p w14:paraId="422F0F38" w14:textId="77777777" w:rsidR="00994FFC" w:rsidRDefault="00994FFC" w:rsidP="00994FFC">
      <w:pPr>
        <w:rPr>
          <w:rFonts w:ascii="Times New Roman" w:hAnsi="Times New Roman" w:cs="Times New Roman"/>
          <w:b/>
          <w:bCs/>
        </w:rPr>
      </w:pPr>
    </w:p>
    <w:p w14:paraId="2267A51F" w14:textId="77777777" w:rsidR="00994FFC" w:rsidRDefault="00994FFC" w:rsidP="00994FFC">
      <w:pPr>
        <w:rPr>
          <w:rFonts w:ascii="Times New Roman" w:hAnsi="Times New Roman" w:cs="Times New Roman"/>
          <w:b/>
          <w:bCs/>
        </w:rPr>
      </w:pPr>
    </w:p>
    <w:p w14:paraId="43FD9F39" w14:textId="77777777" w:rsidR="00994FFC" w:rsidRDefault="00994FFC" w:rsidP="00994FFC"/>
    <w:p w14:paraId="39FF2274" w14:textId="19047D22" w:rsidR="00C351E5" w:rsidRDefault="00C351E5" w:rsidP="001805FA"/>
    <w:sectPr w:rsidR="00C351E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enberg, Susan Casper" w:date="2024-10-28T06:21:00Z" w:initials="ASC">
    <w:p w14:paraId="2F5EF8E0" w14:textId="77777777" w:rsidR="00994FFC" w:rsidRDefault="00994FFC" w:rsidP="00994FFC">
      <w:pPr>
        <w:pStyle w:val="CommentText"/>
      </w:pPr>
      <w:r>
        <w:rPr>
          <w:rStyle w:val="CommentReference"/>
        </w:rPr>
        <w:annotationRef/>
      </w:r>
      <w:r>
        <w:t xml:space="preserve">Might be helpful to add one sentence or a few words explaining why we include the green/blue space fractions in the paper. The explanation given below for NDVI is to be consistent with the epi studies. Why is green/blue space important to include? </w:t>
      </w:r>
    </w:p>
  </w:comment>
  <w:comment w:id="1" w:author="Anenberg, Susan Casper" w:date="2024-10-26T07:11:00Z" w:initials="ASC">
    <w:p w14:paraId="697E6CA9" w14:textId="77777777" w:rsidR="00994FFC" w:rsidRDefault="00994FFC" w:rsidP="00994FFC">
      <w:pPr>
        <w:pStyle w:val="CommentText"/>
      </w:pPr>
      <w:r>
        <w:rPr>
          <w:rStyle w:val="CommentReference"/>
        </w:rPr>
        <w:annotationRef/>
      </w:r>
      <w:r>
        <w:t>What is this? Citation?</w:t>
      </w:r>
    </w:p>
  </w:comment>
  <w:comment w:id="2" w:author="Anenberg, Susan Casper" w:date="2024-10-28T05:43:00Z" w:initials="ASC">
    <w:p w14:paraId="321B6D95" w14:textId="77777777" w:rsidR="00994FFC" w:rsidRDefault="00994FFC" w:rsidP="00994FFC">
      <w:pPr>
        <w:pStyle w:val="CommentText"/>
      </w:pPr>
      <w:r>
        <w:rPr>
          <w:rStyle w:val="CommentReference"/>
        </w:rPr>
        <w:annotationRef/>
      </w:r>
      <w:r>
        <w:t>Average of what?</w:t>
      </w:r>
    </w:p>
  </w:comment>
  <w:comment w:id="3" w:author="Anenberg, Susan Casper" w:date="2024-10-28T06:14:00Z" w:initials="ASC">
    <w:p w14:paraId="6147ACF7" w14:textId="77777777" w:rsidR="00994FFC" w:rsidRDefault="00994FFC" w:rsidP="00994FFC">
      <w:pPr>
        <w:pStyle w:val="CommentText"/>
      </w:pPr>
      <w:r>
        <w:rPr>
          <w:rStyle w:val="CommentReference"/>
        </w:rPr>
        <w:annotationRef/>
      </w:r>
      <w:r>
        <w:t xml:space="preserve">I’m not finding it that useful to call out these particular regional results because the regions you end up highlighting have so few cities. </w:t>
      </w:r>
    </w:p>
    <w:p w14:paraId="15C376A5" w14:textId="77777777" w:rsidR="00994FFC" w:rsidRDefault="00994FFC" w:rsidP="00994FFC">
      <w:pPr>
        <w:pStyle w:val="CommentText"/>
      </w:pPr>
    </w:p>
    <w:p w14:paraId="06AB5589" w14:textId="77777777" w:rsidR="00994FFC" w:rsidRDefault="00994FFC" w:rsidP="00994FFC">
      <w:pPr>
        <w:pStyle w:val="CommentText"/>
      </w:pPr>
      <w:r>
        <w:t>Since the rest of the paper also uses climate regions, how about adding a 2</w:t>
      </w:r>
      <w:r w:rsidRPr="00A77558">
        <w:rPr>
          <w:vertAlign w:val="superscript"/>
        </w:rPr>
        <w:t>nd</w:t>
      </w:r>
      <w:r>
        <w:t xml:space="preserve"> panel to the figure under the top row with the climate zone groupings? I feel like there will be more consistency among the regions within the same climate zones, and you can then use this space to point out those differences.</w:t>
      </w:r>
    </w:p>
  </w:comment>
  <w:comment w:id="4" w:author="Anenberg, Susan Casper" w:date="2024-10-28T06:13:00Z" w:initials="ASC">
    <w:p w14:paraId="75FD2815" w14:textId="77777777" w:rsidR="00994FFC" w:rsidRDefault="00994FFC" w:rsidP="00994FFC">
      <w:pPr>
        <w:pStyle w:val="CommentText"/>
      </w:pPr>
      <w:r>
        <w:rPr>
          <w:rStyle w:val="CommentReference"/>
        </w:rPr>
        <w:annotationRef/>
      </w:r>
      <w:r>
        <w:t xml:space="preserve">Can you put the n in the data labels? </w:t>
      </w:r>
    </w:p>
    <w:p w14:paraId="0BF79A21" w14:textId="77777777" w:rsidR="00994FFC" w:rsidRDefault="00994FFC" w:rsidP="00994FFC">
      <w:pPr>
        <w:pStyle w:val="CommentText"/>
      </w:pPr>
    </w:p>
    <w:p w14:paraId="34E09810" w14:textId="77777777" w:rsidR="00994FFC" w:rsidRDefault="00994FFC" w:rsidP="00994FFC">
      <w:pPr>
        <w:pStyle w:val="CommentText"/>
      </w:pPr>
      <w:r>
        <w:t>Font size needs to be bigger in regional labels and legend</w:t>
      </w:r>
    </w:p>
  </w:comment>
  <w:comment w:id="5" w:author="Anenberg, Susan Casper" w:date="2024-10-28T06:16:00Z" w:initials="ASC">
    <w:p w14:paraId="273680DF" w14:textId="77777777" w:rsidR="00994FFC" w:rsidRDefault="00994FFC" w:rsidP="00994FFC">
      <w:pPr>
        <w:pStyle w:val="CommentText"/>
      </w:pPr>
      <w:r>
        <w:rPr>
          <w:rStyle w:val="CommentReference"/>
        </w:rPr>
        <w:annotationRef/>
      </w:r>
      <w:r>
        <w:t>Because this is described in the methods, you don’t need it here. I edited to include a climate zone panel per comment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5EF8E0" w15:done="0"/>
  <w15:commentEx w15:paraId="697E6CA9" w15:done="0"/>
  <w15:commentEx w15:paraId="321B6D95" w15:done="0"/>
  <w15:commentEx w15:paraId="06AB5589" w15:done="0"/>
  <w15:commentEx w15:paraId="34E09810" w15:done="0"/>
  <w15:commentEx w15:paraId="273680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5EF8E0" w16cid:durableId="56329F06"/>
  <w16cid:commentId w16cid:paraId="697E6CA9" w16cid:durableId="15FC89EB"/>
  <w16cid:commentId w16cid:paraId="321B6D95" w16cid:durableId="66C11F4C"/>
  <w16cid:commentId w16cid:paraId="06AB5589" w16cid:durableId="084B0C73"/>
  <w16cid:commentId w16cid:paraId="34E09810" w16cid:durableId="62EDA9E0"/>
  <w16cid:commentId w16cid:paraId="273680DF" w16cid:durableId="36D845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AC6647"/>
    <w:multiLevelType w:val="hybridMultilevel"/>
    <w:tmpl w:val="28280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7285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enberg, Susan Casper">
    <w15:presenceInfo w15:providerId="AD" w15:userId="S-1-5-21-2551908886-1609939859-1204051493-349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38"/>
    <w:rsid w:val="0001088B"/>
    <w:rsid w:val="00051E49"/>
    <w:rsid w:val="00125836"/>
    <w:rsid w:val="0017376A"/>
    <w:rsid w:val="001805FA"/>
    <w:rsid w:val="0020576C"/>
    <w:rsid w:val="00296954"/>
    <w:rsid w:val="00321AAA"/>
    <w:rsid w:val="003C7BB8"/>
    <w:rsid w:val="00407AA0"/>
    <w:rsid w:val="005F2425"/>
    <w:rsid w:val="0065016E"/>
    <w:rsid w:val="007B0046"/>
    <w:rsid w:val="00892238"/>
    <w:rsid w:val="008F4B85"/>
    <w:rsid w:val="00994FFC"/>
    <w:rsid w:val="009E3C59"/>
    <w:rsid w:val="00AA5696"/>
    <w:rsid w:val="00B03047"/>
    <w:rsid w:val="00B6762C"/>
    <w:rsid w:val="00C351E5"/>
    <w:rsid w:val="00C82057"/>
    <w:rsid w:val="00F9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4CBC47"/>
  <w15:chartTrackingRefBased/>
  <w15:docId w15:val="{32A16443-4C53-9E40-A5D6-F27D48BB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2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2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2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2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2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2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2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2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2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2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2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2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2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2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2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2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2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238"/>
    <w:rPr>
      <w:rFonts w:eastAsiaTheme="majorEastAsia" w:cstheme="majorBidi"/>
      <w:color w:val="272727" w:themeColor="text1" w:themeTint="D8"/>
    </w:rPr>
  </w:style>
  <w:style w:type="paragraph" w:styleId="Title">
    <w:name w:val="Title"/>
    <w:basedOn w:val="Normal"/>
    <w:next w:val="Normal"/>
    <w:link w:val="TitleChar"/>
    <w:uiPriority w:val="10"/>
    <w:qFormat/>
    <w:rsid w:val="008922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2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2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2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2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2238"/>
    <w:rPr>
      <w:i/>
      <w:iCs/>
      <w:color w:val="404040" w:themeColor="text1" w:themeTint="BF"/>
    </w:rPr>
  </w:style>
  <w:style w:type="paragraph" w:styleId="ListParagraph">
    <w:name w:val="List Paragraph"/>
    <w:basedOn w:val="Normal"/>
    <w:uiPriority w:val="34"/>
    <w:qFormat/>
    <w:rsid w:val="00892238"/>
    <w:pPr>
      <w:ind w:left="720"/>
      <w:contextualSpacing/>
    </w:pPr>
  </w:style>
  <w:style w:type="character" w:styleId="IntenseEmphasis">
    <w:name w:val="Intense Emphasis"/>
    <w:basedOn w:val="DefaultParagraphFont"/>
    <w:uiPriority w:val="21"/>
    <w:qFormat/>
    <w:rsid w:val="00892238"/>
    <w:rPr>
      <w:i/>
      <w:iCs/>
      <w:color w:val="0F4761" w:themeColor="accent1" w:themeShade="BF"/>
    </w:rPr>
  </w:style>
  <w:style w:type="paragraph" w:styleId="IntenseQuote">
    <w:name w:val="Intense Quote"/>
    <w:basedOn w:val="Normal"/>
    <w:next w:val="Normal"/>
    <w:link w:val="IntenseQuoteChar"/>
    <w:uiPriority w:val="30"/>
    <w:qFormat/>
    <w:rsid w:val="008922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238"/>
    <w:rPr>
      <w:i/>
      <w:iCs/>
      <w:color w:val="0F4761" w:themeColor="accent1" w:themeShade="BF"/>
    </w:rPr>
  </w:style>
  <w:style w:type="character" w:styleId="IntenseReference">
    <w:name w:val="Intense Reference"/>
    <w:basedOn w:val="DefaultParagraphFont"/>
    <w:uiPriority w:val="32"/>
    <w:qFormat/>
    <w:rsid w:val="00892238"/>
    <w:rPr>
      <w:b/>
      <w:bCs/>
      <w:smallCaps/>
      <w:color w:val="0F4761" w:themeColor="accent1" w:themeShade="BF"/>
      <w:spacing w:val="5"/>
    </w:rPr>
  </w:style>
  <w:style w:type="character" w:styleId="CommentReference">
    <w:name w:val="annotation reference"/>
    <w:basedOn w:val="DefaultParagraphFont"/>
    <w:uiPriority w:val="99"/>
    <w:semiHidden/>
    <w:unhideWhenUsed/>
    <w:rsid w:val="00994FFC"/>
    <w:rPr>
      <w:sz w:val="16"/>
      <w:szCs w:val="16"/>
    </w:rPr>
  </w:style>
  <w:style w:type="paragraph" w:styleId="CommentText">
    <w:name w:val="annotation text"/>
    <w:basedOn w:val="Normal"/>
    <w:link w:val="CommentTextChar"/>
    <w:uiPriority w:val="99"/>
    <w:semiHidden/>
    <w:unhideWhenUsed/>
    <w:rsid w:val="00994FFC"/>
    <w:rPr>
      <w:sz w:val="20"/>
      <w:szCs w:val="20"/>
    </w:rPr>
  </w:style>
  <w:style w:type="character" w:customStyle="1" w:styleId="CommentTextChar">
    <w:name w:val="Comment Text Char"/>
    <w:basedOn w:val="DefaultParagraphFont"/>
    <w:link w:val="CommentText"/>
    <w:uiPriority w:val="99"/>
    <w:semiHidden/>
    <w:rsid w:val="00994FF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18</cp:revision>
  <dcterms:created xsi:type="dcterms:W3CDTF">2024-10-28T18:21:00Z</dcterms:created>
  <dcterms:modified xsi:type="dcterms:W3CDTF">2024-10-29T14:30:00Z</dcterms:modified>
</cp:coreProperties>
</file>