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688659CC" w14:paraId="0CADCC85" wp14:textId="77777777">
      <w:pPr>
        <w:pStyle w:val="Heading1"/>
        <w:rPr>
          <w:rFonts w:ascii="Calibri" w:hAnsi="Calibri" w:eastAsia="Calibri" w:cs="Calibri" w:asciiTheme="majorAscii" w:hAnsiTheme="majorAscii" w:eastAsiaTheme="majorAscii" w:cstheme="majorAscii"/>
          <w:b w:val="0"/>
          <w:bCs w:val="0"/>
          <w:color w:val="auto"/>
          <w:sz w:val="52"/>
          <w:szCs w:val="52"/>
        </w:rPr>
      </w:pPr>
      <w:r w:rsidRPr="688659CC" w:rsidR="688659CC">
        <w:rPr>
          <w:rFonts w:ascii="Calibri" w:hAnsi="Calibri" w:eastAsia="Calibri" w:cs="Calibri" w:asciiTheme="majorAscii" w:hAnsiTheme="majorAscii" w:eastAsiaTheme="majorAscii" w:cstheme="majorAscii"/>
          <w:b w:val="0"/>
          <w:bCs w:val="0"/>
          <w:color w:val="auto"/>
          <w:sz w:val="52"/>
          <w:szCs w:val="52"/>
        </w:rPr>
        <w:t>Stock Selection Decision Support Tool for Shooting Star Capital</w:t>
      </w:r>
    </w:p>
    <w:p xmlns:wp14="http://schemas.microsoft.com/office/word/2010/wordml" w:rsidP="688659CC" w14:paraId="3E7A9F1C" wp14:textId="77777777">
      <w:pPr>
        <w:pStyle w:val="Heading1"/>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Introduction</w:t>
      </w:r>
    </w:p>
    <w:p xmlns:wp14="http://schemas.microsoft.com/office/word/2010/wordml" w:rsidP="688659CC" w14:paraId="61D0C9D1" wp14:textId="77777777">
      <w:pPr>
        <w:jc w:val="both"/>
        <w:rPr>
          <w:rFonts w:ascii="Calibri" w:hAnsi="Calibri" w:eastAsia="Calibri" w:cs="Calibri" w:asciiTheme="majorAscii" w:hAnsiTheme="majorAscii" w:eastAsiaTheme="majorAscii" w:cstheme="majorAscii"/>
          <w:color w:val="auto"/>
        </w:rPr>
      </w:pPr>
      <w:r w:rsidRPr="43952F49" w:rsidR="688659CC">
        <w:rPr>
          <w:rFonts w:ascii="Calibri" w:hAnsi="Calibri" w:eastAsia="Calibri" w:cs="Calibri" w:asciiTheme="majorAscii" w:hAnsiTheme="majorAscii" w:eastAsiaTheme="majorAscii" w:cstheme="majorAscii"/>
          <w:color w:val="auto"/>
        </w:rPr>
        <w:t xml:space="preserve">Shooting Star Capital is currently setting up a new equity fund and aims to support the stock selection process with a structured data analysis workflow. </w:t>
      </w:r>
      <w:r>
        <w:br/>
      </w:r>
      <w:r w:rsidRPr="43952F49" w:rsidR="688659CC">
        <w:rPr>
          <w:rFonts w:ascii="Calibri" w:hAnsi="Calibri" w:eastAsia="Calibri" w:cs="Calibri" w:asciiTheme="majorAscii" w:hAnsiTheme="majorAscii" w:eastAsiaTheme="majorAscii" w:cstheme="majorAscii"/>
          <w:color w:val="auto"/>
        </w:rPr>
        <w:t xml:space="preserve">The </w:t>
      </w:r>
      <w:r w:rsidRPr="43952F49" w:rsidR="688659CC">
        <w:rPr>
          <w:rFonts w:ascii="Calibri" w:hAnsi="Calibri" w:eastAsia="Calibri" w:cs="Calibri" w:asciiTheme="majorAscii" w:hAnsiTheme="majorAscii" w:eastAsiaTheme="majorAscii" w:cstheme="majorAscii"/>
          <w:color w:val="auto"/>
        </w:rPr>
        <w:t>objective</w:t>
      </w:r>
      <w:r w:rsidRPr="43952F49" w:rsidR="688659CC">
        <w:rPr>
          <w:rFonts w:ascii="Calibri" w:hAnsi="Calibri" w:eastAsia="Calibri" w:cs="Calibri" w:asciiTheme="majorAscii" w:hAnsiTheme="majorAscii" w:eastAsiaTheme="majorAscii" w:cstheme="majorAscii"/>
          <w:color w:val="auto"/>
        </w:rPr>
        <w:t xml:space="preserve"> of this project is to develop a decision support tool that automates the management of market data, analyzes sector performance, and </w:t>
      </w:r>
      <w:r w:rsidRPr="43952F49" w:rsidR="688659CC">
        <w:rPr>
          <w:rFonts w:ascii="Calibri" w:hAnsi="Calibri" w:eastAsia="Calibri" w:cs="Calibri" w:asciiTheme="majorAscii" w:hAnsiTheme="majorAscii" w:eastAsiaTheme="majorAscii" w:cstheme="majorAscii"/>
          <w:color w:val="auto"/>
        </w:rPr>
        <w:t>determines</w:t>
      </w:r>
      <w:r w:rsidRPr="43952F49" w:rsidR="688659CC">
        <w:rPr>
          <w:rFonts w:ascii="Calibri" w:hAnsi="Calibri" w:eastAsia="Calibri" w:cs="Calibri" w:asciiTheme="majorAscii" w:hAnsiTheme="majorAscii" w:eastAsiaTheme="majorAscii" w:cstheme="majorAscii"/>
          <w:color w:val="auto"/>
        </w:rPr>
        <w:t xml:space="preserve"> </w:t>
      </w:r>
      <w:r w:rsidRPr="43952F49" w:rsidR="688659CC">
        <w:rPr>
          <w:rFonts w:ascii="Calibri" w:hAnsi="Calibri" w:eastAsia="Calibri" w:cs="Calibri" w:asciiTheme="majorAscii" w:hAnsiTheme="majorAscii" w:eastAsiaTheme="majorAscii" w:cstheme="majorAscii"/>
          <w:color w:val="auto"/>
        </w:rPr>
        <w:t xml:space="preserve">an </w:t>
      </w:r>
      <w:r w:rsidRPr="43952F49" w:rsidR="688659CC">
        <w:rPr>
          <w:rFonts w:ascii="Calibri" w:hAnsi="Calibri" w:eastAsia="Calibri" w:cs="Calibri" w:asciiTheme="majorAscii" w:hAnsiTheme="majorAscii" w:eastAsiaTheme="majorAscii" w:cstheme="majorAscii"/>
          <w:b w:val="1"/>
          <w:bCs w:val="1"/>
          <w:color w:val="auto"/>
        </w:rPr>
        <w:t>optimal</w:t>
      </w:r>
      <w:r w:rsidRPr="43952F49" w:rsidR="688659CC">
        <w:rPr>
          <w:rFonts w:ascii="Calibri" w:hAnsi="Calibri" w:eastAsia="Calibri" w:cs="Calibri" w:asciiTheme="majorAscii" w:hAnsiTheme="majorAscii" w:eastAsiaTheme="majorAscii" w:cstheme="majorAscii"/>
          <w:b w:val="1"/>
          <w:bCs w:val="1"/>
          <w:color w:val="auto"/>
        </w:rPr>
        <w:t xml:space="preserve"> portfolio composition</w:t>
      </w:r>
      <w:r w:rsidRPr="43952F49" w:rsidR="688659CC">
        <w:rPr>
          <w:rFonts w:ascii="Calibri" w:hAnsi="Calibri" w:eastAsia="Calibri" w:cs="Calibri" w:asciiTheme="majorAscii" w:hAnsiTheme="majorAscii" w:eastAsiaTheme="majorAscii" w:cstheme="majorAscii"/>
          <w:color w:val="auto"/>
        </w:rPr>
        <w:t xml:space="preserve"> under predefined investment rules.</w:t>
      </w:r>
    </w:p>
    <w:p xmlns:wp14="http://schemas.microsoft.com/office/word/2010/wordml" w:rsidP="688659CC" w14:paraId="6B2DAAEB" wp14:textId="77777777">
      <w:p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 xml:space="preserve">The dataset consists of </w:t>
      </w:r>
      <w:r w:rsidRPr="688659CC" w:rsidR="688659CC">
        <w:rPr>
          <w:rFonts w:ascii="Calibri" w:hAnsi="Calibri" w:eastAsia="Calibri" w:cs="Calibri" w:asciiTheme="majorAscii" w:hAnsiTheme="majorAscii" w:eastAsiaTheme="majorAscii" w:cstheme="majorAscii"/>
          <w:b w:val="1"/>
          <w:bCs w:val="1"/>
          <w:color w:val="auto"/>
        </w:rPr>
        <w:t>500 stocks</w:t>
      </w:r>
      <w:r w:rsidRPr="688659CC" w:rsidR="688659CC">
        <w:rPr>
          <w:rFonts w:ascii="Calibri" w:hAnsi="Calibri" w:eastAsia="Calibri" w:cs="Calibri" w:asciiTheme="majorAscii" w:hAnsiTheme="majorAscii" w:eastAsiaTheme="majorAscii" w:cstheme="majorAscii"/>
          <w:color w:val="auto"/>
        </w:rPr>
        <w:t xml:space="preserve"> collected in individual text files.</w:t>
      </w:r>
      <w:r w:rsidRPr="688659CC" w:rsidR="688659CC">
        <w:rPr>
          <w:rFonts w:ascii="Calibri" w:hAnsi="Calibri" w:eastAsia="Calibri" w:cs="Calibri" w:asciiTheme="majorAscii" w:hAnsiTheme="majorAscii" w:eastAsiaTheme="majorAscii" w:cstheme="majorAscii"/>
          <w:color w:val="auto"/>
        </w:rPr>
        <w:t xml:space="preserve"> Each file </w:t>
      </w:r>
      <w:r w:rsidRPr="688659CC" w:rsidR="688659CC">
        <w:rPr>
          <w:rFonts w:ascii="Calibri" w:hAnsi="Calibri" w:eastAsia="Calibri" w:cs="Calibri" w:asciiTheme="majorAscii" w:hAnsiTheme="majorAscii" w:eastAsiaTheme="majorAscii" w:cstheme="majorAscii"/>
          <w:color w:val="auto"/>
        </w:rPr>
        <w:t>contains</w:t>
      </w:r>
      <w:r w:rsidRPr="688659CC" w:rsidR="688659CC">
        <w:rPr>
          <w:rFonts w:ascii="Calibri" w:hAnsi="Calibri" w:eastAsia="Calibri" w:cs="Calibri" w:asciiTheme="majorAscii" w:hAnsiTheme="majorAscii" w:eastAsiaTheme="majorAscii" w:cstheme="majorAscii"/>
          <w:color w:val="auto"/>
        </w:rPr>
        <w:t xml:space="preserve"> the stock identifier, the industry sector of the respective company, the number of outstanding shares, and the daily closing prices for the past year.</w:t>
      </w:r>
    </w:p>
    <w:p xmlns:wp14="http://schemas.microsoft.com/office/word/2010/wordml" w:rsidP="688659CC" w14:paraId="4DAE4B89" wp14:textId="0AF678D5">
      <w:p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The work carried out in this project follows four main steps:</w:t>
      </w:r>
    </w:p>
    <w:p xmlns:wp14="http://schemas.microsoft.com/office/word/2010/wordml" w:rsidP="688659CC" w14:paraId="608B004D" wp14:textId="78E3F765">
      <w:pPr>
        <w:pStyle w:val="ListParagraph"/>
        <w:numPr>
          <w:ilvl w:val="0"/>
          <w:numId w:val="11"/>
        </w:num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 xml:space="preserve">Organizing the raw data into a structured </w:t>
      </w:r>
      <w:r w:rsidRPr="688659CC" w:rsidR="688659CC">
        <w:rPr>
          <w:rFonts w:ascii="Calibri" w:hAnsi="Calibri" w:eastAsia="Calibri" w:cs="Calibri" w:asciiTheme="majorAscii" w:hAnsiTheme="majorAscii" w:eastAsiaTheme="majorAscii" w:cstheme="majorAscii"/>
          <w:b w:val="0"/>
          <w:bCs w:val="0"/>
          <w:color w:val="auto"/>
        </w:rPr>
        <w:t xml:space="preserve">SQLite </w:t>
      </w:r>
      <w:r w:rsidRPr="688659CC" w:rsidR="688659CC">
        <w:rPr>
          <w:rFonts w:ascii="Calibri" w:hAnsi="Calibri" w:eastAsia="Calibri" w:cs="Calibri" w:asciiTheme="majorAscii" w:hAnsiTheme="majorAscii" w:eastAsiaTheme="majorAscii" w:cstheme="majorAscii"/>
          <w:b w:val="1"/>
          <w:bCs w:val="1"/>
          <w:color w:val="auto"/>
        </w:rPr>
        <w:t>database</w:t>
      </w:r>
      <w:r w:rsidRPr="688659CC" w:rsidR="688659CC">
        <w:rPr>
          <w:rFonts w:ascii="Calibri" w:hAnsi="Calibri" w:eastAsia="Calibri" w:cs="Calibri" w:asciiTheme="majorAscii" w:hAnsiTheme="majorAscii" w:eastAsiaTheme="majorAscii" w:cstheme="majorAscii"/>
          <w:color w:val="auto"/>
        </w:rPr>
        <w:t>.</w:t>
      </w:r>
    </w:p>
    <w:p xmlns:wp14="http://schemas.microsoft.com/office/word/2010/wordml" w:rsidP="688659CC" w14:paraId="3A214774" wp14:textId="7C5F444A">
      <w:pPr>
        <w:pStyle w:val="ListParagraph"/>
        <w:numPr>
          <w:ilvl w:val="0"/>
          <w:numId w:val="11"/>
        </w:num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 xml:space="preserve">Analyzing </w:t>
      </w:r>
      <w:r w:rsidRPr="688659CC" w:rsidR="688659CC">
        <w:rPr>
          <w:rFonts w:ascii="Calibri" w:hAnsi="Calibri" w:eastAsia="Calibri" w:cs="Calibri" w:asciiTheme="majorAscii" w:hAnsiTheme="majorAscii" w:eastAsiaTheme="majorAscii" w:cstheme="majorAscii"/>
          <w:b w:val="1"/>
          <w:bCs w:val="1"/>
          <w:color w:val="auto"/>
        </w:rPr>
        <w:t>sector performance</w:t>
      </w:r>
      <w:r w:rsidRPr="688659CC" w:rsidR="688659CC">
        <w:rPr>
          <w:rFonts w:ascii="Calibri" w:hAnsi="Calibri" w:eastAsia="Calibri" w:cs="Calibri" w:asciiTheme="majorAscii" w:hAnsiTheme="majorAscii" w:eastAsiaTheme="majorAscii" w:cstheme="majorAscii"/>
          <w:color w:val="auto"/>
        </w:rPr>
        <w:t xml:space="preserve"> in 2025 through market‑capitalization‑weighted returns.</w:t>
      </w:r>
    </w:p>
    <w:p xmlns:wp14="http://schemas.microsoft.com/office/word/2010/wordml" w:rsidP="688659CC" w14:paraId="7E6C69C5" wp14:textId="07B6CD07">
      <w:pPr>
        <w:pStyle w:val="ListParagraph"/>
        <w:numPr>
          <w:ilvl w:val="0"/>
          <w:numId w:val="11"/>
        </w:num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 xml:space="preserve">Designing </w:t>
      </w:r>
      <w:r w:rsidRPr="688659CC" w:rsidR="688659CC">
        <w:rPr>
          <w:rFonts w:ascii="Calibri" w:hAnsi="Calibri" w:eastAsia="Calibri" w:cs="Calibri" w:asciiTheme="majorAscii" w:hAnsiTheme="majorAscii" w:eastAsiaTheme="majorAscii" w:cstheme="majorAscii"/>
          <w:color w:val="auto"/>
        </w:rPr>
        <w:t xml:space="preserve">an </w:t>
      </w:r>
      <w:r w:rsidRPr="688659CC" w:rsidR="688659CC">
        <w:rPr>
          <w:rFonts w:ascii="Calibri" w:hAnsi="Calibri" w:eastAsia="Calibri" w:cs="Calibri" w:asciiTheme="majorAscii" w:hAnsiTheme="majorAscii" w:eastAsiaTheme="majorAscii" w:cstheme="majorAscii"/>
          <w:b w:val="1"/>
          <w:bCs w:val="1"/>
          <w:color w:val="auto"/>
        </w:rPr>
        <w:t>optimal</w:t>
      </w:r>
      <w:r w:rsidRPr="688659CC" w:rsidR="688659CC">
        <w:rPr>
          <w:rFonts w:ascii="Calibri" w:hAnsi="Calibri" w:eastAsia="Calibri" w:cs="Calibri" w:asciiTheme="majorAscii" w:hAnsiTheme="majorAscii" w:eastAsiaTheme="majorAscii" w:cstheme="majorAscii"/>
          <w:b w:val="1"/>
          <w:bCs w:val="1"/>
          <w:color w:val="auto"/>
        </w:rPr>
        <w:t xml:space="preserve"> portfolio allocation</w:t>
      </w:r>
      <w:r w:rsidRPr="688659CC" w:rsidR="688659CC">
        <w:rPr>
          <w:rFonts w:ascii="Calibri" w:hAnsi="Calibri" w:eastAsia="Calibri" w:cs="Calibri" w:asciiTheme="majorAscii" w:hAnsiTheme="majorAscii" w:eastAsiaTheme="majorAscii" w:cstheme="majorAscii"/>
          <w:color w:val="auto"/>
        </w:rPr>
        <w:t xml:space="preserve"> using mathematical optimization.</w:t>
      </w:r>
    </w:p>
    <w:p xmlns:wp14="http://schemas.microsoft.com/office/word/2010/wordml" w:rsidP="688659CC" w14:paraId="15DCFF29" wp14:textId="7633D5AC">
      <w:pPr>
        <w:pStyle w:val="ListParagraph"/>
        <w:numPr>
          <w:ilvl w:val="0"/>
          <w:numId w:val="11"/>
        </w:numPr>
        <w:jc w:val="both"/>
        <w:rPr>
          <w:rFonts w:ascii="Calibri" w:hAnsi="Calibri" w:eastAsia="Calibri" w:cs="Calibri" w:asciiTheme="majorAscii" w:hAnsiTheme="majorAscii" w:eastAsiaTheme="majorAscii" w:cstheme="majorAscii"/>
          <w:color w:val="auto"/>
        </w:rPr>
      </w:pPr>
      <w:r w:rsidRPr="43952F49" w:rsidR="688659CC">
        <w:rPr>
          <w:rFonts w:ascii="Calibri" w:hAnsi="Calibri" w:eastAsia="Calibri" w:cs="Calibri" w:asciiTheme="majorAscii" w:hAnsiTheme="majorAscii" w:eastAsiaTheme="majorAscii" w:cstheme="majorAscii"/>
          <w:color w:val="auto"/>
        </w:rPr>
        <w:t>Evaluating the sensitivity of the resulting portfolio to changes in the investment strategy.</w:t>
      </w:r>
    </w:p>
    <w:p xmlns:wp14="http://schemas.microsoft.com/office/word/2010/wordml" w:rsidP="688659CC" w14:paraId="1D39B7C4" wp14:textId="4598D109">
      <w:pPr>
        <w:pStyle w:val="Heading1"/>
        <w:numPr>
          <w:ilvl w:val="0"/>
          <w:numId w:val="12"/>
        </w:num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Data Organization and Database Structure</w:t>
      </w:r>
    </w:p>
    <w:p xmlns:wp14="http://schemas.microsoft.com/office/word/2010/wordml" w:rsidP="688659CC" w14:paraId="491E784B" wp14:textId="63DED9DE">
      <w:pPr>
        <w:jc w:val="both"/>
        <w:rPr>
          <w:rFonts w:ascii="Calibri" w:hAnsi="Calibri" w:eastAsia="Calibri" w:cs="Calibri" w:asciiTheme="majorAscii" w:hAnsiTheme="majorAscii" w:eastAsiaTheme="majorAscii" w:cstheme="majorAscii"/>
          <w:color w:val="auto"/>
        </w:rPr>
      </w:pPr>
      <w:r w:rsidRPr="688659CC" w:rsidR="168E2EA2">
        <w:rPr>
          <w:rFonts w:ascii="Calibri" w:hAnsi="Calibri" w:eastAsia="Calibri" w:cs="Calibri" w:asciiTheme="majorAscii" w:hAnsiTheme="majorAscii" w:eastAsiaTheme="majorAscii" w:cstheme="majorAscii"/>
          <w:color w:val="auto"/>
        </w:rPr>
        <w:t>All market data was transferred into a structured SQLite relational database, which organizes</w:t>
      </w:r>
      <w:r w:rsidRPr="688659CC" w:rsidR="688659CC">
        <w:rPr>
          <w:rFonts w:ascii="Calibri" w:hAnsi="Calibri" w:eastAsia="Calibri" w:cs="Calibri" w:asciiTheme="majorAscii" w:hAnsiTheme="majorAscii" w:eastAsiaTheme="majorAscii" w:cstheme="majorAscii"/>
          <w:color w:val="auto"/>
        </w:rPr>
        <w:t xml:space="preserve"> the information into two main components. The first </w:t>
      </w:r>
      <w:r w:rsidRPr="688659CC" w:rsidR="688659CC">
        <w:rPr>
          <w:rFonts w:ascii="Calibri" w:hAnsi="Calibri" w:eastAsia="Calibri" w:cs="Calibri" w:asciiTheme="majorAscii" w:hAnsiTheme="majorAscii" w:eastAsiaTheme="majorAscii" w:cstheme="majorAscii"/>
          <w:color w:val="auto"/>
        </w:rPr>
        <w:t>contains</w:t>
      </w:r>
      <w:r w:rsidRPr="688659CC" w:rsidR="688659CC">
        <w:rPr>
          <w:rFonts w:ascii="Calibri" w:hAnsi="Calibri" w:eastAsia="Calibri" w:cs="Calibri" w:asciiTheme="majorAscii" w:hAnsiTheme="majorAscii" w:eastAsiaTheme="majorAscii" w:cstheme="majorAscii"/>
          <w:color w:val="auto"/>
        </w:rPr>
        <w:t xml:space="preserve"> general information about each </w:t>
      </w:r>
      <w:r w:rsidRPr="688659CC" w:rsidR="688659CC">
        <w:rPr>
          <w:rFonts w:ascii="Calibri" w:hAnsi="Calibri" w:eastAsia="Calibri" w:cs="Calibri" w:asciiTheme="majorAscii" w:hAnsiTheme="majorAscii" w:eastAsiaTheme="majorAscii" w:cstheme="majorAscii"/>
          <w:b w:val="1"/>
          <w:bCs w:val="1"/>
          <w:color w:val="auto"/>
        </w:rPr>
        <w:t>stock</w:t>
      </w:r>
      <w:r w:rsidRPr="688659CC" w:rsidR="688659CC">
        <w:rPr>
          <w:rFonts w:ascii="Calibri" w:hAnsi="Calibri" w:eastAsia="Calibri" w:cs="Calibri" w:asciiTheme="majorAscii" w:hAnsiTheme="majorAscii" w:eastAsiaTheme="majorAscii" w:cstheme="majorAscii"/>
          <w:color w:val="auto"/>
        </w:rPr>
        <w:t xml:space="preserve">, including the stock identifier, the industry sector, and the number of outstanding shares. The second </w:t>
      </w:r>
      <w:r w:rsidRPr="688659CC" w:rsidR="688659CC">
        <w:rPr>
          <w:rFonts w:ascii="Calibri" w:hAnsi="Calibri" w:eastAsia="Calibri" w:cs="Calibri" w:asciiTheme="majorAscii" w:hAnsiTheme="majorAscii" w:eastAsiaTheme="majorAscii" w:cstheme="majorAscii"/>
          <w:color w:val="auto"/>
        </w:rPr>
        <w:t>contains</w:t>
      </w:r>
      <w:r w:rsidRPr="688659CC" w:rsidR="688659CC">
        <w:rPr>
          <w:rFonts w:ascii="Calibri" w:hAnsi="Calibri" w:eastAsia="Calibri" w:cs="Calibri" w:asciiTheme="majorAscii" w:hAnsiTheme="majorAscii" w:eastAsiaTheme="majorAscii" w:cstheme="majorAscii"/>
          <w:color w:val="auto"/>
        </w:rPr>
        <w:t xml:space="preserve"> </w:t>
      </w:r>
      <w:r w:rsidRPr="688659CC" w:rsidR="4F8224DF">
        <w:rPr>
          <w:rFonts w:ascii="Calibri" w:hAnsi="Calibri" w:eastAsia="Calibri" w:cs="Calibri" w:asciiTheme="majorAscii" w:hAnsiTheme="majorAscii" w:eastAsiaTheme="majorAscii" w:cstheme="majorAscii"/>
          <w:color w:val="auto"/>
        </w:rPr>
        <w:t>historical</w:t>
      </w:r>
      <w:r w:rsidRPr="688659CC" w:rsidR="688659CC">
        <w:rPr>
          <w:rFonts w:ascii="Calibri" w:hAnsi="Calibri" w:eastAsia="Calibri" w:cs="Calibri" w:asciiTheme="majorAscii" w:hAnsiTheme="majorAscii" w:eastAsiaTheme="majorAscii" w:cstheme="majorAscii"/>
          <w:color w:val="auto"/>
        </w:rPr>
        <w:t xml:space="preserve"> </w:t>
      </w:r>
      <w:r w:rsidRPr="688659CC" w:rsidR="688659CC">
        <w:rPr>
          <w:rFonts w:ascii="Calibri" w:hAnsi="Calibri" w:eastAsia="Calibri" w:cs="Calibri" w:asciiTheme="majorAscii" w:hAnsiTheme="majorAscii" w:eastAsiaTheme="majorAscii" w:cstheme="majorAscii"/>
          <w:b w:val="1"/>
          <w:bCs w:val="1"/>
          <w:color w:val="auto"/>
        </w:rPr>
        <w:t xml:space="preserve">price </w:t>
      </w:r>
      <w:r w:rsidRPr="688659CC" w:rsidR="688659CC">
        <w:rPr>
          <w:rFonts w:ascii="Calibri" w:hAnsi="Calibri" w:eastAsia="Calibri" w:cs="Calibri" w:asciiTheme="majorAscii" w:hAnsiTheme="majorAscii" w:eastAsiaTheme="majorAscii" w:cstheme="majorAscii"/>
          <w:color w:val="auto"/>
        </w:rPr>
        <w:t>observations, storing the closing price of each stock for every trading day.</w:t>
      </w:r>
    </w:p>
    <w:p xmlns:wp14="http://schemas.microsoft.com/office/word/2010/wordml" w:rsidP="688659CC" w14:paraId="689764AA" wp14:textId="77777777">
      <w:pPr>
        <w:jc w:val="both"/>
        <w:rPr>
          <w:rFonts w:ascii="Calibri" w:hAnsi="Calibri" w:eastAsia="Calibri" w:cs="Calibri" w:asciiTheme="majorAscii" w:hAnsiTheme="majorAscii" w:eastAsiaTheme="majorAscii" w:cstheme="majorAscii"/>
          <w:color w:val="auto"/>
        </w:rPr>
      </w:pPr>
      <w:r w:rsidRPr="43952F49" w:rsidR="43952F49">
        <w:rPr>
          <w:rFonts w:ascii="Calibri" w:hAnsi="Calibri" w:eastAsia="Calibri" w:cs="Calibri" w:asciiTheme="majorAscii" w:hAnsiTheme="majorAscii" w:eastAsiaTheme="majorAscii" w:cstheme="majorAscii"/>
        </w:rPr>
        <w:t>This structure ensures that the data is stored in a consistent format and can be efficiently retrieved through database queries. It also enables flexible filtering mechanisms that allow users to retrieve only relevant stocks.</w:t>
      </w:r>
    </w:p>
    <w:p w:rsidR="688659CC" w:rsidP="43952F49" w:rsidRDefault="688659CC" w14:paraId="32087EED" w14:textId="362E09C7">
      <w:pPr>
        <w:jc w:val="both"/>
        <w:rPr>
          <w:rFonts w:ascii="Calibri" w:hAnsi="Calibri" w:eastAsia="Calibri" w:cs="Calibri" w:asciiTheme="majorAscii" w:hAnsiTheme="majorAscii" w:eastAsiaTheme="majorAscii" w:cstheme="majorAscii"/>
          <w:color w:val="auto"/>
        </w:rPr>
      </w:pPr>
      <w:r w:rsidRPr="43952F49" w:rsidR="688659CC">
        <w:rPr>
          <w:rFonts w:ascii="Calibri" w:hAnsi="Calibri" w:eastAsia="Calibri" w:cs="Calibri" w:asciiTheme="majorAscii" w:hAnsiTheme="majorAscii" w:eastAsiaTheme="majorAscii" w:cstheme="majorAscii"/>
          <w:color w:val="auto"/>
        </w:rPr>
        <w:t xml:space="preserve">In particular, the decision support tool allows the user to </w:t>
      </w:r>
      <w:r w:rsidRPr="43952F49" w:rsidR="688659CC">
        <w:rPr>
          <w:rFonts w:ascii="Calibri" w:hAnsi="Calibri" w:eastAsia="Calibri" w:cs="Calibri" w:asciiTheme="majorAscii" w:hAnsiTheme="majorAscii" w:eastAsiaTheme="majorAscii" w:cstheme="majorAscii"/>
          <w:b w:val="1"/>
          <w:bCs w:val="1"/>
          <w:color w:val="auto"/>
        </w:rPr>
        <w:t>filter stocks based on two criteria</w:t>
      </w:r>
      <w:r w:rsidRPr="43952F49" w:rsidR="688659CC">
        <w:rPr>
          <w:rFonts w:ascii="Calibri" w:hAnsi="Calibri" w:eastAsia="Calibri" w:cs="Calibri" w:asciiTheme="majorAscii" w:hAnsiTheme="majorAscii" w:eastAsiaTheme="majorAscii" w:cstheme="majorAscii"/>
          <w:color w:val="auto"/>
        </w:rPr>
        <w:t>: the industry sector and the last known closing price. This functionality allows analysts to quickly restrict the analysis to specific segments of the market or to stocks that satisfy a given price threshold.</w:t>
      </w:r>
    </w:p>
    <w:p xmlns:wp14="http://schemas.microsoft.com/office/word/2010/wordml" w:rsidP="688659CC" w14:paraId="1C1A425E" wp14:textId="1BED542B">
      <w:pPr>
        <w:pStyle w:val="Heading1"/>
        <w:numPr>
          <w:ilvl w:val="0"/>
          <w:numId w:val="12"/>
        </w:num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Sector Performance Analysis</w:t>
      </w:r>
    </w:p>
    <w:p xmlns:wp14="http://schemas.microsoft.com/office/word/2010/wordml" w:rsidP="688659CC" w14:paraId="52A1A94A" wp14:textId="6FCEBACA">
      <w:p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 xml:space="preserve">Since no prior management directive specifies a focus on </w:t>
      </w:r>
      <w:r w:rsidRPr="688659CC" w:rsidR="688659CC">
        <w:rPr>
          <w:rFonts w:ascii="Calibri" w:hAnsi="Calibri" w:eastAsia="Calibri" w:cs="Calibri" w:asciiTheme="majorAscii" w:hAnsiTheme="majorAscii" w:eastAsiaTheme="majorAscii" w:cstheme="majorAscii"/>
          <w:color w:val="auto"/>
        </w:rPr>
        <w:t>particular sectors</w:t>
      </w:r>
      <w:r w:rsidRPr="688659CC" w:rsidR="688659CC">
        <w:rPr>
          <w:rFonts w:ascii="Calibri" w:hAnsi="Calibri" w:eastAsia="Calibri" w:cs="Calibri" w:asciiTheme="majorAscii" w:hAnsiTheme="majorAscii" w:eastAsiaTheme="majorAscii" w:cstheme="majorAscii"/>
          <w:color w:val="auto"/>
        </w:rPr>
        <w:t xml:space="preserve">, the analysis considers the </w:t>
      </w:r>
      <w:r w:rsidRPr="688659CC" w:rsidR="688659CC">
        <w:rPr>
          <w:rFonts w:ascii="Calibri" w:hAnsi="Calibri" w:eastAsia="Calibri" w:cs="Calibri" w:asciiTheme="majorAscii" w:hAnsiTheme="majorAscii" w:eastAsiaTheme="majorAscii" w:cstheme="majorAscii"/>
          <w:b w:val="1"/>
          <w:bCs w:val="1"/>
          <w:color w:val="auto"/>
        </w:rPr>
        <w:t>entire market</w:t>
      </w:r>
      <w:r w:rsidRPr="688659CC" w:rsidR="688659CC">
        <w:rPr>
          <w:rFonts w:ascii="Calibri" w:hAnsi="Calibri" w:eastAsia="Calibri" w:cs="Calibri" w:asciiTheme="majorAscii" w:hAnsiTheme="majorAscii" w:eastAsiaTheme="majorAscii" w:cstheme="majorAscii"/>
          <w:color w:val="auto"/>
        </w:rPr>
        <w:t>.</w:t>
      </w:r>
      <w:r w:rsidRPr="688659CC" w:rsidR="15BB6BC4">
        <w:rPr>
          <w:rFonts w:ascii="Calibri" w:hAnsi="Calibri" w:eastAsia="Calibri" w:cs="Calibri" w:asciiTheme="majorAscii" w:hAnsiTheme="majorAscii" w:eastAsiaTheme="majorAscii" w:cstheme="majorAscii"/>
          <w:color w:val="auto"/>
        </w:rPr>
        <w:t xml:space="preserve"> </w:t>
      </w:r>
      <w:r w:rsidRPr="688659CC" w:rsidR="688659CC">
        <w:rPr>
          <w:rFonts w:ascii="Calibri" w:hAnsi="Calibri" w:eastAsia="Calibri" w:cs="Calibri" w:asciiTheme="majorAscii" w:hAnsiTheme="majorAscii" w:eastAsiaTheme="majorAscii" w:cstheme="majorAscii"/>
          <w:color w:val="auto"/>
        </w:rPr>
        <w:t xml:space="preserve">The first </w:t>
      </w:r>
      <w:r w:rsidRPr="688659CC" w:rsidR="688659CC">
        <w:rPr>
          <w:rFonts w:ascii="Calibri" w:hAnsi="Calibri" w:eastAsia="Calibri" w:cs="Calibri" w:asciiTheme="majorAscii" w:hAnsiTheme="majorAscii" w:eastAsiaTheme="majorAscii" w:cstheme="majorAscii"/>
          <w:color w:val="auto"/>
        </w:rPr>
        <w:t>objective</w:t>
      </w:r>
      <w:r w:rsidRPr="688659CC" w:rsidR="688659CC">
        <w:rPr>
          <w:rFonts w:ascii="Calibri" w:hAnsi="Calibri" w:eastAsia="Calibri" w:cs="Calibri" w:asciiTheme="majorAscii" w:hAnsiTheme="majorAscii" w:eastAsiaTheme="majorAscii" w:cstheme="majorAscii"/>
          <w:color w:val="auto"/>
        </w:rPr>
        <w:t xml:space="preserve"> is therefore to obtain an </w:t>
      </w:r>
      <w:r w:rsidRPr="688659CC" w:rsidR="688659CC">
        <w:rPr>
          <w:rFonts w:ascii="Calibri" w:hAnsi="Calibri" w:eastAsia="Calibri" w:cs="Calibri" w:asciiTheme="majorAscii" w:hAnsiTheme="majorAscii" w:eastAsiaTheme="majorAscii" w:cstheme="majorAscii"/>
          <w:b w:val="1"/>
          <w:bCs w:val="1"/>
          <w:color w:val="auto"/>
        </w:rPr>
        <w:t>overview of sector performance during 2025</w:t>
      </w:r>
      <w:r w:rsidRPr="688659CC" w:rsidR="688659CC">
        <w:rPr>
          <w:rFonts w:ascii="Calibri" w:hAnsi="Calibri" w:eastAsia="Calibri" w:cs="Calibri" w:asciiTheme="majorAscii" w:hAnsiTheme="majorAscii" w:eastAsiaTheme="majorAscii" w:cstheme="majorAscii"/>
          <w:color w:val="auto"/>
        </w:rPr>
        <w:t>.</w:t>
      </w:r>
    </w:p>
    <w:p xmlns:wp14="http://schemas.microsoft.com/office/word/2010/wordml" w:rsidP="688659CC" w14:paraId="2E38B99E" wp14:textId="3AC71259">
      <w:pPr>
        <w:jc w:val="both"/>
        <w:rPr>
          <w:rFonts w:ascii="Calibri" w:hAnsi="Calibri" w:eastAsia="Calibri" w:cs="Calibri" w:asciiTheme="majorAscii" w:hAnsiTheme="majorAscii" w:eastAsiaTheme="majorAscii" w:cstheme="majorAscii"/>
          <w:color w:val="auto"/>
        </w:rPr>
      </w:pPr>
      <w:r w:rsidRPr="43952F49" w:rsidR="43952F49">
        <w:rPr>
          <w:rFonts w:ascii="Calibri" w:hAnsi="Calibri" w:eastAsia="Calibri" w:cs="Calibri" w:asciiTheme="majorAscii" w:hAnsiTheme="majorAscii" w:eastAsiaTheme="majorAscii" w:cstheme="majorAscii"/>
        </w:rPr>
        <w:t xml:space="preserve">For each stock, the annual return is computed using the first and last price observations available in the dataset. The first price is interpreted as the last closing price of 2024 and therefore </w:t>
      </w:r>
      <w:r w:rsidRPr="43952F49" w:rsidR="43952F49">
        <w:rPr>
          <w:rFonts w:ascii="Calibri" w:hAnsi="Calibri" w:eastAsia="Calibri" w:cs="Calibri" w:asciiTheme="majorAscii" w:hAnsiTheme="majorAscii" w:eastAsiaTheme="majorAscii" w:cstheme="majorAscii"/>
        </w:rPr>
        <w:t>represents</w:t>
      </w:r>
      <w:r w:rsidRPr="43952F49" w:rsidR="43952F49">
        <w:rPr>
          <w:rFonts w:ascii="Calibri" w:hAnsi="Calibri" w:eastAsia="Calibri" w:cs="Calibri" w:asciiTheme="majorAscii" w:hAnsiTheme="majorAscii" w:eastAsiaTheme="majorAscii" w:cstheme="majorAscii"/>
        </w:rPr>
        <w:t xml:space="preserve"> the reference value for computing the return in 2025: This measure </w:t>
      </w:r>
      <w:r w:rsidRPr="43952F49" w:rsidR="43952F49">
        <w:rPr>
          <w:rFonts w:ascii="Calibri" w:hAnsi="Calibri" w:eastAsia="Calibri" w:cs="Calibri" w:asciiTheme="majorAscii" w:hAnsiTheme="majorAscii" w:eastAsiaTheme="majorAscii" w:cstheme="majorAscii"/>
        </w:rPr>
        <w:t>represents</w:t>
      </w:r>
      <w:r w:rsidRPr="43952F49" w:rsidR="43952F49">
        <w:rPr>
          <w:rFonts w:ascii="Calibri" w:hAnsi="Calibri" w:eastAsia="Calibri" w:cs="Calibri" w:asciiTheme="majorAscii" w:hAnsiTheme="majorAscii" w:eastAsiaTheme="majorAscii" w:cstheme="majorAscii"/>
        </w:rPr>
        <w:t xml:space="preserve"> the stock performance over the year.</w:t>
      </w:r>
    </w:p>
    <w:p xmlns:wp14="http://schemas.microsoft.com/office/word/2010/wordml" w:rsidP="688659CC" w14:paraId="635A4B8C" wp14:textId="77777777">
      <w:pPr>
        <w:jc w:val="both"/>
        <w:rPr>
          <w:rFonts w:ascii="Calibri" w:hAnsi="Calibri" w:eastAsia="Calibri" w:cs="Calibri" w:asciiTheme="majorAscii" w:hAnsiTheme="majorAscii" w:eastAsiaTheme="majorAscii" w:cstheme="majorAscii"/>
          <w:color w:val="auto"/>
        </w:rPr>
      </w:pPr>
      <w:r w:rsidRPr="4626305C" w:rsidR="688659CC">
        <w:rPr>
          <w:rFonts w:ascii="Calibri" w:hAnsi="Calibri" w:eastAsia="Calibri" w:cs="Calibri" w:asciiTheme="majorAscii" w:hAnsiTheme="majorAscii" w:eastAsiaTheme="majorAscii" w:cstheme="majorAscii"/>
          <w:color w:val="auto"/>
        </w:rPr>
        <w:t xml:space="preserve">To better understand the characteristics of the dataset, the distribution of </w:t>
      </w:r>
      <w:r w:rsidRPr="4626305C" w:rsidR="688659CC">
        <w:rPr>
          <w:rFonts w:ascii="Calibri" w:hAnsi="Calibri" w:eastAsia="Calibri" w:cs="Calibri" w:asciiTheme="majorAscii" w:hAnsiTheme="majorAscii" w:eastAsiaTheme="majorAscii" w:cstheme="majorAscii"/>
          <w:b w:val="1"/>
          <w:bCs w:val="1"/>
          <w:color w:val="auto"/>
        </w:rPr>
        <w:t>individual stock returns is examined</w:t>
      </w:r>
      <w:r w:rsidRPr="4626305C" w:rsidR="688659CC">
        <w:rPr>
          <w:rFonts w:ascii="Calibri" w:hAnsi="Calibri" w:eastAsia="Calibri" w:cs="Calibri" w:asciiTheme="majorAscii" w:hAnsiTheme="majorAscii" w:eastAsiaTheme="majorAscii" w:cstheme="majorAscii"/>
          <w:color w:val="auto"/>
        </w:rPr>
        <w:t xml:space="preserve">. This analysis provides insight into the variability of stock performance and helps </w:t>
      </w:r>
      <w:r w:rsidRPr="4626305C" w:rsidR="688659CC">
        <w:rPr>
          <w:rFonts w:ascii="Calibri" w:hAnsi="Calibri" w:eastAsia="Calibri" w:cs="Calibri" w:asciiTheme="majorAscii" w:hAnsiTheme="majorAscii" w:eastAsiaTheme="majorAscii" w:cstheme="majorAscii"/>
          <w:color w:val="auto"/>
        </w:rPr>
        <w:t>identify</w:t>
      </w:r>
      <w:r w:rsidRPr="4626305C" w:rsidR="688659CC">
        <w:rPr>
          <w:rFonts w:ascii="Calibri" w:hAnsi="Calibri" w:eastAsia="Calibri" w:cs="Calibri" w:asciiTheme="majorAscii" w:hAnsiTheme="majorAscii" w:eastAsiaTheme="majorAscii" w:cstheme="majorAscii"/>
          <w:color w:val="auto"/>
        </w:rPr>
        <w:t xml:space="preserve"> the overall spread of returns across the market.</w:t>
      </w:r>
    </w:p>
    <w:p w:rsidR="16CAB093" w:rsidP="4626305C" w:rsidRDefault="16CAB093" w14:paraId="7B5094A8" w14:textId="7A7C522A">
      <w:pPr>
        <w:pStyle w:val="Normal"/>
        <w:jc w:val="center"/>
      </w:pPr>
      <w:r w:rsidR="16CAB093">
        <w:drawing>
          <wp:inline wp14:editId="4AB5C45A" wp14:anchorId="33CDA80C">
            <wp:extent cx="3083743" cy="2302100"/>
            <wp:effectExtent l="0" t="0" r="0" b="0"/>
            <wp:docPr id="893224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723913" name="Picture 159723913"/>
                    <pic:cNvPicPr/>
                  </pic:nvPicPr>
                  <pic:blipFill>
                    <a:blip xmlns:r="http://schemas.openxmlformats.org/officeDocument/2006/relationships" r:embed="rId1813691507">
                      <a:extLst>
                        <a:ext uri="{28A0092B-C50C-407E-A947-70E740481C1C}">
                          <a14:useLocalDpi xmlns:a14="http://schemas.microsoft.com/office/drawing/2010/main"/>
                        </a:ext>
                      </a:extLst>
                    </a:blip>
                    <a:stretch>
                      <a:fillRect/>
                    </a:stretch>
                  </pic:blipFill>
                  <pic:spPr>
                    <a:xfrm rot="0">
                      <a:off x="0" y="0"/>
                      <a:ext cx="3083743" cy="2302100"/>
                    </a:xfrm>
                    <a:prstGeom prst="rect">
                      <a:avLst/>
                    </a:prstGeom>
                  </pic:spPr>
                </pic:pic>
              </a:graphicData>
            </a:graphic>
          </wp:inline>
        </w:drawing>
      </w:r>
    </w:p>
    <w:p w:rsidR="16CAB093" w:rsidP="4626305C" w:rsidRDefault="16CAB093" w14:paraId="221D550F" w14:textId="47DDCA36">
      <w:pPr>
        <w:pStyle w:val="Normal"/>
        <w:jc w:val="center"/>
        <w:rPr>
          <w:rFonts w:ascii="Calibri" w:hAnsi="Calibri" w:eastAsia="Calibri" w:cs="Calibri"/>
          <w:b w:val="1"/>
          <w:bCs w:val="1"/>
          <w:noProof w:val="0"/>
          <w:sz w:val="18"/>
          <w:szCs w:val="18"/>
          <w:lang w:val="en-US"/>
        </w:rPr>
      </w:pPr>
      <w:r w:rsidRPr="4626305C" w:rsidR="16CAB093">
        <w:rPr>
          <w:rFonts w:ascii="Calibri" w:hAnsi="Calibri" w:eastAsia="Calibri" w:cs="Calibri"/>
          <w:b w:val="1"/>
          <w:bCs w:val="1"/>
          <w:noProof w:val="0"/>
          <w:sz w:val="20"/>
          <w:szCs w:val="20"/>
          <w:lang w:val="en-US"/>
        </w:rPr>
        <w:t>Figure 1 – Distribution of individual stock returns in 2025</w:t>
      </w:r>
    </w:p>
    <w:p w:rsidR="56D0E8D4" w:rsidP="4626305C" w:rsidRDefault="56D0E8D4" w14:paraId="0E101977" w14:textId="53945E2B">
      <w:pPr>
        <w:pStyle w:val="Normal"/>
        <w:jc w:val="center"/>
        <w:rPr>
          <w:rFonts w:ascii="Calibri" w:hAnsi="Calibri" w:eastAsia="Calibri" w:cs="Calibri"/>
          <w:b w:val="1"/>
          <w:bCs w:val="1"/>
          <w:noProof w:val="0"/>
          <w:sz w:val="18"/>
          <w:szCs w:val="18"/>
          <w:lang w:val="en-US"/>
        </w:rPr>
      </w:pPr>
      <w:r w:rsidR="56D0E8D4">
        <w:drawing>
          <wp:inline wp14:editId="2C09B743" wp14:anchorId="4886C21E">
            <wp:extent cx="3153581" cy="2200937"/>
            <wp:effectExtent l="0" t="0" r="0" b="0"/>
            <wp:docPr id="868226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0284931" name="Picture 330284931"/>
                    <pic:cNvPicPr/>
                  </pic:nvPicPr>
                  <pic:blipFill>
                    <a:blip xmlns:r="http://schemas.openxmlformats.org/officeDocument/2006/relationships" r:embed="rId1494267914">
                      <a:extLst>
                        <a:ext uri="{28A0092B-C50C-407E-A947-70E740481C1C}">
                          <a14:useLocalDpi xmlns:a14="http://schemas.microsoft.com/office/drawing/2010/main"/>
                        </a:ext>
                      </a:extLst>
                    </a:blip>
                    <a:stretch>
                      <a:fillRect/>
                    </a:stretch>
                  </pic:blipFill>
                  <pic:spPr>
                    <a:xfrm rot="0">
                      <a:off x="0" y="0"/>
                      <a:ext cx="3153581" cy="2200937"/>
                    </a:xfrm>
                    <a:prstGeom prst="rect">
                      <a:avLst/>
                    </a:prstGeom>
                  </pic:spPr>
                </pic:pic>
              </a:graphicData>
            </a:graphic>
          </wp:inline>
        </w:drawing>
      </w:r>
    </w:p>
    <w:p w:rsidR="56D0E8D4" w:rsidP="4626305C" w:rsidRDefault="56D0E8D4" w14:paraId="2E33D4E9" w14:textId="52A182ED">
      <w:pPr>
        <w:pStyle w:val="Normal"/>
        <w:jc w:val="center"/>
        <w:rPr>
          <w:rFonts w:ascii="Calibri" w:hAnsi="Calibri" w:eastAsia="Calibri" w:cs="Calibri" w:asciiTheme="majorAscii" w:hAnsiTheme="majorAscii" w:eastAsiaTheme="majorAscii" w:cstheme="majorAscii"/>
          <w:b w:val="1"/>
          <w:bCs w:val="1"/>
          <w:sz w:val="20"/>
          <w:szCs w:val="20"/>
        </w:rPr>
      </w:pPr>
      <w:r w:rsidRPr="4626305C" w:rsidR="56D0E8D4">
        <w:rPr>
          <w:rFonts w:ascii="Calibri" w:hAnsi="Calibri" w:eastAsia="Calibri" w:cs="Calibri" w:asciiTheme="majorAscii" w:hAnsiTheme="majorAscii" w:eastAsiaTheme="majorAscii" w:cstheme="majorAscii"/>
          <w:b w:val="1"/>
          <w:bCs w:val="1"/>
          <w:sz w:val="20"/>
          <w:szCs w:val="20"/>
        </w:rPr>
        <w:t>Figure 2 – Number of companies per industry sector</w:t>
      </w:r>
    </w:p>
    <w:p xmlns:wp14="http://schemas.microsoft.com/office/word/2010/wordml" w:rsidP="688659CC" w14:paraId="7243D2B9" wp14:textId="77777777">
      <w:pPr>
        <w:jc w:val="both"/>
        <w:rPr>
          <w:rFonts w:ascii="Calibri" w:hAnsi="Calibri" w:eastAsia="Calibri" w:cs="Calibri" w:asciiTheme="majorAscii" w:hAnsiTheme="majorAscii" w:eastAsiaTheme="majorAscii" w:cstheme="majorAscii"/>
          <w:color w:val="auto"/>
        </w:rPr>
      </w:pPr>
      <w:r w:rsidRPr="4626305C" w:rsidR="688659CC">
        <w:rPr>
          <w:rFonts w:ascii="Calibri" w:hAnsi="Calibri" w:eastAsia="Calibri" w:cs="Calibri" w:asciiTheme="majorAscii" w:hAnsiTheme="majorAscii" w:eastAsiaTheme="majorAscii" w:cstheme="majorAscii"/>
          <w:b w:val="1"/>
          <w:bCs w:val="1"/>
          <w:color w:val="auto"/>
        </w:rPr>
        <w:t xml:space="preserve">Sector performance </w:t>
      </w:r>
      <w:r w:rsidRPr="4626305C" w:rsidR="688659CC">
        <w:rPr>
          <w:rFonts w:ascii="Calibri" w:hAnsi="Calibri" w:eastAsia="Calibri" w:cs="Calibri" w:asciiTheme="majorAscii" w:hAnsiTheme="majorAscii" w:eastAsiaTheme="majorAscii" w:cstheme="majorAscii"/>
          <w:b w:val="0"/>
          <w:bCs w:val="0"/>
          <w:color w:val="auto"/>
        </w:rPr>
        <w:t>i</w:t>
      </w:r>
      <w:r w:rsidRPr="4626305C" w:rsidR="688659CC">
        <w:rPr>
          <w:rFonts w:ascii="Calibri" w:hAnsi="Calibri" w:eastAsia="Calibri" w:cs="Calibri" w:asciiTheme="majorAscii" w:hAnsiTheme="majorAscii" w:eastAsiaTheme="majorAscii" w:cstheme="majorAscii"/>
          <w:b w:val="0"/>
          <w:bCs w:val="0"/>
          <w:color w:val="auto"/>
        </w:rPr>
        <w:t xml:space="preserve">s </w:t>
      </w:r>
      <w:r w:rsidRPr="4626305C" w:rsidR="688659CC">
        <w:rPr>
          <w:rFonts w:ascii="Calibri" w:hAnsi="Calibri" w:eastAsia="Calibri" w:cs="Calibri" w:asciiTheme="majorAscii" w:hAnsiTheme="majorAscii" w:eastAsiaTheme="majorAscii" w:cstheme="majorAscii"/>
          <w:color w:val="auto"/>
        </w:rPr>
        <w:t>then evaluated by computing the average return of each sector. Instead of a simple arithmetic average, the analysis uses a m</w:t>
      </w:r>
      <w:r w:rsidRPr="4626305C" w:rsidR="688659CC">
        <w:rPr>
          <w:rFonts w:ascii="Calibri" w:hAnsi="Calibri" w:eastAsia="Calibri" w:cs="Calibri" w:asciiTheme="majorAscii" w:hAnsiTheme="majorAscii" w:eastAsiaTheme="majorAscii" w:cstheme="majorAscii"/>
          <w:b w:val="1"/>
          <w:bCs w:val="1"/>
          <w:color w:val="auto"/>
        </w:rPr>
        <w:t>arket‑capitalization‑weighted return</w:t>
      </w:r>
      <w:r w:rsidRPr="4626305C" w:rsidR="688659CC">
        <w:rPr>
          <w:rFonts w:ascii="Calibri" w:hAnsi="Calibri" w:eastAsia="Calibri" w:cs="Calibri" w:asciiTheme="majorAscii" w:hAnsiTheme="majorAscii" w:eastAsiaTheme="majorAscii" w:cstheme="majorAscii"/>
          <w:color w:val="auto"/>
        </w:rPr>
        <w:t xml:space="preserve">. Market capitalization is calculated as the product of the number of outstanding shares and the stock price. Weighting returns by market capitalization </w:t>
      </w:r>
      <w:r w:rsidRPr="4626305C" w:rsidR="688659CC">
        <w:rPr>
          <w:rFonts w:ascii="Calibri" w:hAnsi="Calibri" w:eastAsia="Calibri" w:cs="Calibri" w:asciiTheme="majorAscii" w:hAnsiTheme="majorAscii" w:eastAsiaTheme="majorAscii" w:cstheme="majorAscii"/>
          <w:color w:val="auto"/>
        </w:rPr>
        <w:t>ensures</w:t>
      </w:r>
      <w:r w:rsidRPr="4626305C" w:rsidR="688659CC">
        <w:rPr>
          <w:rFonts w:ascii="Calibri" w:hAnsi="Calibri" w:eastAsia="Calibri" w:cs="Calibri" w:asciiTheme="majorAscii" w:hAnsiTheme="majorAscii" w:eastAsiaTheme="majorAscii" w:cstheme="majorAscii"/>
          <w:color w:val="auto"/>
        </w:rPr>
        <w:t xml:space="preserve"> that larger firms have a proportionally larger impact on the </w:t>
      </w:r>
      <w:r w:rsidRPr="4626305C" w:rsidR="688659CC">
        <w:rPr>
          <w:rFonts w:ascii="Calibri" w:hAnsi="Calibri" w:eastAsia="Calibri" w:cs="Calibri" w:asciiTheme="majorAscii" w:hAnsiTheme="majorAscii" w:eastAsiaTheme="majorAscii" w:cstheme="majorAscii"/>
          <w:color w:val="auto"/>
        </w:rPr>
        <w:t>sector</w:t>
      </w:r>
      <w:r w:rsidRPr="4626305C" w:rsidR="688659CC">
        <w:rPr>
          <w:rFonts w:ascii="Calibri" w:hAnsi="Calibri" w:eastAsia="Calibri" w:cs="Calibri" w:asciiTheme="majorAscii" w:hAnsiTheme="majorAscii" w:eastAsiaTheme="majorAscii" w:cstheme="majorAscii"/>
          <w:color w:val="auto"/>
        </w:rPr>
        <w:t xml:space="preserve"> performance measure.</w:t>
      </w:r>
    </w:p>
    <w:p w:rsidR="43952F49" w:rsidP="4626305C" w:rsidRDefault="43952F49" w14:paraId="3166C723" w14:textId="2F093D4B">
      <w:pPr>
        <w:pStyle w:val="Normal"/>
        <w:jc w:val="both"/>
        <w:rPr>
          <w:rFonts w:ascii="Calibri" w:hAnsi="Calibri" w:eastAsia="Calibri" w:cs="Calibri" w:asciiTheme="majorAscii" w:hAnsiTheme="majorAscii" w:eastAsiaTheme="majorAscii" w:cstheme="majorAscii"/>
        </w:rPr>
      </w:pPr>
      <w:r w:rsidRPr="4626305C" w:rsidR="43952F49">
        <w:rPr>
          <w:rFonts w:ascii="Calibri" w:hAnsi="Calibri" w:eastAsia="Calibri" w:cs="Calibri" w:asciiTheme="majorAscii" w:hAnsiTheme="majorAscii" w:eastAsiaTheme="majorAscii" w:cstheme="majorAscii"/>
        </w:rPr>
        <w:t>The results are visualized to highlight differences in performance across sectors.</w:t>
      </w:r>
    </w:p>
    <w:p w:rsidR="3C5F0A70" w:rsidP="4626305C" w:rsidRDefault="3C5F0A70" w14:paraId="75360096" w14:textId="1FEF038C">
      <w:pPr>
        <w:pStyle w:val="Normal"/>
        <w:jc w:val="center"/>
        <w:rPr>
          <w:rFonts w:ascii="Calibri" w:hAnsi="Calibri" w:eastAsia="Calibri" w:cs="Calibri"/>
          <w:b w:val="1"/>
          <w:bCs w:val="1"/>
          <w:noProof w:val="0"/>
          <w:sz w:val="20"/>
          <w:szCs w:val="20"/>
          <w:lang w:val="en-US"/>
        </w:rPr>
      </w:pPr>
      <w:r w:rsidR="3C5F0A70">
        <w:drawing>
          <wp:inline wp14:editId="1CEA2246" wp14:anchorId="72F891D7">
            <wp:extent cx="5486400" cy="3200400"/>
            <wp:effectExtent l="0" t="0" r="0" b="0"/>
            <wp:docPr id="1921607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4226750" name="Picture 1674226750"/>
                    <pic:cNvPicPr/>
                  </pic:nvPicPr>
                  <pic:blipFill>
                    <a:blip xmlns:r="http://schemas.openxmlformats.org/officeDocument/2006/relationships" r:embed="rId1923166880">
                      <a:extLst>
                        <a:ext uri="{28A0092B-C50C-407E-A947-70E740481C1C}">
                          <a14:useLocalDpi xmlns:a14="http://schemas.microsoft.com/office/drawing/2010/main"/>
                        </a:ext>
                      </a:extLst>
                    </a:blip>
                    <a:stretch>
                      <a:fillRect/>
                    </a:stretch>
                  </pic:blipFill>
                  <pic:spPr>
                    <a:xfrm>
                      <a:off x="0" y="0"/>
                      <a:ext cx="5486400" cy="3200400"/>
                    </a:xfrm>
                    <a:prstGeom prst="rect">
                      <a:avLst/>
                    </a:prstGeom>
                  </pic:spPr>
                </pic:pic>
              </a:graphicData>
            </a:graphic>
          </wp:inline>
        </w:drawing>
      </w:r>
      <w:r w:rsidRPr="4626305C" w:rsidR="3C5F0A70">
        <w:rPr>
          <w:rFonts w:ascii="Calibri" w:hAnsi="Calibri" w:eastAsia="Calibri" w:cs="Calibri"/>
          <w:b w:val="1"/>
          <w:bCs w:val="1"/>
          <w:noProof w:val="0"/>
          <w:sz w:val="20"/>
          <w:szCs w:val="20"/>
          <w:lang w:val="en-US"/>
        </w:rPr>
        <w:t>Figure 3 – Market-capitalization weighted average return per sector</w:t>
      </w:r>
    </w:p>
    <w:p w:rsidR="4626305C" w:rsidP="4626305C" w:rsidRDefault="4626305C" w14:paraId="1C6A5DB5" w14:textId="6987BD05">
      <w:pPr>
        <w:pStyle w:val="Normal"/>
        <w:ind w:left="0"/>
        <w:jc w:val="both"/>
        <w:rPr>
          <w:rFonts w:ascii="Calibri" w:hAnsi="Calibri" w:eastAsia="Calibri" w:cs="Calibri" w:asciiTheme="majorAscii" w:hAnsiTheme="majorAscii" w:eastAsiaTheme="majorAscii" w:cstheme="majorAscii"/>
          <w:color w:val="auto"/>
        </w:rPr>
      </w:pPr>
    </w:p>
    <w:p xmlns:wp14="http://schemas.microsoft.com/office/word/2010/wordml" w:rsidP="688659CC" w14:paraId="4972082A" wp14:textId="3736BEAB">
      <w:pPr>
        <w:pStyle w:val="Normal"/>
        <w:ind w:left="0"/>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 xml:space="preserve">Based on their performance, sectors are grouped into </w:t>
      </w:r>
      <w:r w:rsidRPr="688659CC" w:rsidR="688659CC">
        <w:rPr>
          <w:rFonts w:ascii="Calibri" w:hAnsi="Calibri" w:eastAsia="Calibri" w:cs="Calibri" w:asciiTheme="majorAscii" w:hAnsiTheme="majorAscii" w:eastAsiaTheme="majorAscii" w:cstheme="majorAscii"/>
          <w:b w:val="1"/>
          <w:bCs w:val="1"/>
          <w:color w:val="auto"/>
        </w:rPr>
        <w:t>three categories</w:t>
      </w:r>
      <w:r w:rsidRPr="688659CC" w:rsidR="688659CC">
        <w:rPr>
          <w:rFonts w:ascii="Calibri" w:hAnsi="Calibri" w:eastAsia="Calibri" w:cs="Calibri" w:asciiTheme="majorAscii" w:hAnsiTheme="majorAscii" w:eastAsiaTheme="majorAscii" w:cstheme="majorAscii"/>
          <w:color w:val="auto"/>
        </w:rPr>
        <w:t>:</w:t>
      </w:r>
    </w:p>
    <w:p xmlns:wp14="http://schemas.microsoft.com/office/word/2010/wordml" w:rsidP="688659CC" w14:paraId="1DDEB2E7" wp14:textId="7C472F2A">
      <w:pPr>
        <w:pStyle w:val="ListParagraph"/>
        <w:numPr>
          <w:ilvl w:val="0"/>
          <w:numId w:val="14"/>
        </w:num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Top 25% performing sectors</w:t>
      </w:r>
    </w:p>
    <w:p xmlns:wp14="http://schemas.microsoft.com/office/word/2010/wordml" w:rsidP="688659CC" w14:paraId="4255FF3D" wp14:textId="206496CB">
      <w:pPr>
        <w:pStyle w:val="ListParagraph"/>
        <w:numPr>
          <w:ilvl w:val="0"/>
          <w:numId w:val="14"/>
        </w:num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Middle 50% sectors</w:t>
      </w:r>
    </w:p>
    <w:p xmlns:wp14="http://schemas.microsoft.com/office/word/2010/wordml" w:rsidP="688659CC" w14:paraId="23AA6AF6" wp14:textId="391D4152">
      <w:pPr>
        <w:pStyle w:val="ListParagraph"/>
        <w:numPr>
          <w:ilvl w:val="0"/>
          <w:numId w:val="14"/>
        </w:num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Bottom 25% performing sectors</w:t>
      </w:r>
    </w:p>
    <w:p xmlns:wp14="http://schemas.microsoft.com/office/word/2010/wordml" w:rsidP="4626305C" w14:paraId="6A5CCD85" wp14:textId="06930FCF">
      <w:pPr>
        <w:pStyle w:val="Normal"/>
        <w:jc w:val="both"/>
        <w:rPr>
          <w:rFonts w:ascii="Calibri" w:hAnsi="Calibri" w:eastAsia="Calibri" w:cs="Calibri" w:asciiTheme="majorAscii" w:hAnsiTheme="majorAscii" w:eastAsiaTheme="majorAscii" w:cstheme="majorAscii"/>
          <w:color w:val="auto"/>
        </w:rPr>
      </w:pPr>
      <w:r w:rsidRPr="4626305C" w:rsidR="688659CC">
        <w:rPr>
          <w:rFonts w:ascii="Calibri" w:hAnsi="Calibri" w:eastAsia="Calibri" w:cs="Calibri" w:asciiTheme="majorAscii" w:hAnsiTheme="majorAscii" w:eastAsiaTheme="majorAscii" w:cstheme="majorAscii"/>
          <w:color w:val="auto"/>
        </w:rPr>
        <w:t>This classification forms the basis for the portfolio allocation strategy described in the next section.</w:t>
      </w:r>
    </w:p>
    <w:p w:rsidR="77B19FD6" w:rsidP="4626305C" w:rsidRDefault="77B19FD6" w14:paraId="5C631112" w14:textId="505B597C">
      <w:pPr>
        <w:pStyle w:val="Normal"/>
        <w:jc w:val="center"/>
      </w:pPr>
    </w:p>
    <w:p w:rsidR="688659CC" w:rsidP="43952F49" w:rsidRDefault="688659CC" w14:paraId="70C06B72" w14:textId="1F1943C4">
      <w:pPr>
        <w:pStyle w:val="Normal"/>
        <w:jc w:val="both"/>
        <w:rPr>
          <w:rFonts w:ascii="Calibri" w:hAnsi="Calibri" w:eastAsia="Calibri" w:cs="Calibri" w:asciiTheme="majorAscii" w:hAnsiTheme="majorAscii" w:eastAsiaTheme="majorAscii" w:cstheme="majorAscii"/>
        </w:rPr>
      </w:pPr>
    </w:p>
    <w:p xmlns:wp14="http://schemas.microsoft.com/office/word/2010/wordml" w:rsidP="688659CC" w14:paraId="01D5CE36" wp14:textId="408D864B">
      <w:pPr>
        <w:pStyle w:val="Heading1"/>
        <w:numPr>
          <w:ilvl w:val="0"/>
          <w:numId w:val="12"/>
        </w:num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Portfolio Optimization</w:t>
      </w:r>
    </w:p>
    <w:p xmlns:wp14="http://schemas.microsoft.com/office/word/2010/wordml" w:rsidP="688659CC" w14:paraId="1082560F" wp14:textId="77777777">
      <w:pPr>
        <w:jc w:val="both"/>
        <w:rPr>
          <w:rFonts w:ascii="Calibri" w:hAnsi="Calibri" w:eastAsia="Calibri" w:cs="Calibri" w:asciiTheme="majorAscii" w:hAnsiTheme="majorAscii" w:eastAsiaTheme="majorAscii" w:cstheme="majorAscii"/>
          <w:color w:val="auto"/>
        </w:rPr>
      </w:pPr>
      <w:r w:rsidRPr="4626305C" w:rsidR="688659CC">
        <w:rPr>
          <w:rFonts w:ascii="Calibri" w:hAnsi="Calibri" w:eastAsia="Calibri" w:cs="Calibri" w:asciiTheme="majorAscii" w:hAnsiTheme="majorAscii" w:eastAsiaTheme="majorAscii" w:cstheme="majorAscii"/>
          <w:color w:val="auto"/>
        </w:rPr>
        <w:t xml:space="preserve">After analyzing the </w:t>
      </w:r>
      <w:r w:rsidRPr="4626305C" w:rsidR="688659CC">
        <w:rPr>
          <w:rFonts w:ascii="Calibri" w:hAnsi="Calibri" w:eastAsia="Calibri" w:cs="Calibri" w:asciiTheme="majorAscii" w:hAnsiTheme="majorAscii" w:eastAsiaTheme="majorAscii" w:cstheme="majorAscii"/>
          <w:color w:val="auto"/>
        </w:rPr>
        <w:t>sector</w:t>
      </w:r>
      <w:r w:rsidRPr="4626305C" w:rsidR="688659CC">
        <w:rPr>
          <w:rFonts w:ascii="Calibri" w:hAnsi="Calibri" w:eastAsia="Calibri" w:cs="Calibri" w:asciiTheme="majorAscii" w:hAnsiTheme="majorAscii" w:eastAsiaTheme="majorAscii" w:cstheme="majorAscii"/>
          <w:color w:val="auto"/>
        </w:rPr>
        <w:t xml:space="preserve"> performance, the next step is to </w:t>
      </w:r>
      <w:r w:rsidRPr="4626305C" w:rsidR="688659CC">
        <w:rPr>
          <w:rFonts w:ascii="Calibri" w:hAnsi="Calibri" w:eastAsia="Calibri" w:cs="Calibri" w:asciiTheme="majorAscii" w:hAnsiTheme="majorAscii" w:eastAsiaTheme="majorAscii" w:cstheme="majorAscii"/>
          <w:color w:val="auto"/>
        </w:rPr>
        <w:t>determine</w:t>
      </w:r>
      <w:r w:rsidRPr="4626305C" w:rsidR="688659CC">
        <w:rPr>
          <w:rFonts w:ascii="Calibri" w:hAnsi="Calibri" w:eastAsia="Calibri" w:cs="Calibri" w:asciiTheme="majorAscii" w:hAnsiTheme="majorAscii" w:eastAsiaTheme="majorAscii" w:cstheme="majorAscii"/>
          <w:color w:val="auto"/>
        </w:rPr>
        <w:t xml:space="preserve"> the </w:t>
      </w:r>
      <w:r w:rsidRPr="4626305C" w:rsidR="688659CC">
        <w:rPr>
          <w:rFonts w:ascii="Calibri" w:hAnsi="Calibri" w:eastAsia="Calibri" w:cs="Calibri" w:asciiTheme="majorAscii" w:hAnsiTheme="majorAscii" w:eastAsiaTheme="majorAscii" w:cstheme="majorAscii"/>
          <w:b w:val="1"/>
          <w:bCs w:val="1"/>
          <w:color w:val="auto"/>
        </w:rPr>
        <w:t>composition of the equity fund</w:t>
      </w:r>
      <w:r w:rsidRPr="4626305C" w:rsidR="688659CC">
        <w:rPr>
          <w:rFonts w:ascii="Calibri" w:hAnsi="Calibri" w:eastAsia="Calibri" w:cs="Calibri" w:asciiTheme="majorAscii" w:hAnsiTheme="majorAscii" w:eastAsiaTheme="majorAscii" w:cstheme="majorAscii"/>
          <w:color w:val="auto"/>
        </w:rPr>
        <w:t>.</w:t>
      </w:r>
    </w:p>
    <w:p xmlns:wp14="http://schemas.microsoft.com/office/word/2010/wordml" w:rsidP="688659CC" w14:paraId="02B93C6B" wp14:textId="77777777">
      <w:pPr>
        <w:jc w:val="both"/>
        <w:rPr>
          <w:rFonts w:ascii="Calibri" w:hAnsi="Calibri" w:eastAsia="Calibri" w:cs="Calibri" w:asciiTheme="majorAscii" w:hAnsiTheme="majorAscii" w:eastAsiaTheme="majorAscii" w:cstheme="majorAscii"/>
          <w:color w:val="auto"/>
        </w:rPr>
      </w:pPr>
      <w:r w:rsidRPr="4626305C" w:rsidR="688659CC">
        <w:rPr>
          <w:rFonts w:ascii="Calibri" w:hAnsi="Calibri" w:eastAsia="Calibri" w:cs="Calibri" w:asciiTheme="majorAscii" w:hAnsiTheme="majorAscii" w:eastAsiaTheme="majorAscii" w:cstheme="majorAscii"/>
          <w:color w:val="auto"/>
        </w:rPr>
        <w:t xml:space="preserve">The portfolio design </w:t>
      </w:r>
      <w:r w:rsidRPr="4626305C" w:rsidR="688659CC">
        <w:rPr>
          <w:rFonts w:ascii="Calibri" w:hAnsi="Calibri" w:eastAsia="Calibri" w:cs="Calibri" w:asciiTheme="majorAscii" w:hAnsiTheme="majorAscii" w:eastAsiaTheme="majorAscii" w:cstheme="majorAscii"/>
          <w:color w:val="auto"/>
        </w:rPr>
        <w:t>is based on the assumption</w:t>
      </w:r>
      <w:r w:rsidRPr="4626305C" w:rsidR="688659CC">
        <w:rPr>
          <w:rFonts w:ascii="Calibri" w:hAnsi="Calibri" w:eastAsia="Calibri" w:cs="Calibri" w:asciiTheme="majorAscii" w:hAnsiTheme="majorAscii" w:eastAsiaTheme="majorAscii" w:cstheme="majorAscii"/>
          <w:color w:val="auto"/>
        </w:rPr>
        <w:t xml:space="preserve"> that the relative performance </w:t>
      </w:r>
      <w:r w:rsidRPr="4626305C" w:rsidR="688659CC">
        <w:rPr>
          <w:rFonts w:ascii="Calibri" w:hAnsi="Calibri" w:eastAsia="Calibri" w:cs="Calibri" w:asciiTheme="majorAscii" w:hAnsiTheme="majorAscii" w:eastAsiaTheme="majorAscii" w:cstheme="majorAscii"/>
          <w:color w:val="auto"/>
        </w:rPr>
        <w:t>observed</w:t>
      </w:r>
      <w:r w:rsidRPr="4626305C" w:rsidR="688659CC">
        <w:rPr>
          <w:rFonts w:ascii="Calibri" w:hAnsi="Calibri" w:eastAsia="Calibri" w:cs="Calibri" w:asciiTheme="majorAscii" w:hAnsiTheme="majorAscii" w:eastAsiaTheme="majorAscii" w:cstheme="majorAscii"/>
          <w:color w:val="auto"/>
        </w:rPr>
        <w:t xml:space="preserve"> in 2025 provides </w:t>
      </w:r>
      <w:r w:rsidRPr="4626305C" w:rsidR="688659CC">
        <w:rPr>
          <w:rFonts w:ascii="Calibri" w:hAnsi="Calibri" w:eastAsia="Calibri" w:cs="Calibri" w:asciiTheme="majorAscii" w:hAnsiTheme="majorAscii" w:eastAsiaTheme="majorAscii" w:cstheme="majorAscii"/>
          <w:color w:val="auto"/>
        </w:rPr>
        <w:t>an indication</w:t>
      </w:r>
      <w:r w:rsidRPr="4626305C" w:rsidR="688659CC">
        <w:rPr>
          <w:rFonts w:ascii="Calibri" w:hAnsi="Calibri" w:eastAsia="Calibri" w:cs="Calibri" w:asciiTheme="majorAscii" w:hAnsiTheme="majorAscii" w:eastAsiaTheme="majorAscii" w:cstheme="majorAscii"/>
          <w:color w:val="auto"/>
        </w:rPr>
        <w:t xml:space="preserve"> of near‑term future performance. Based on this assumption, </w:t>
      </w:r>
      <w:r w:rsidRPr="4626305C" w:rsidR="688659CC">
        <w:rPr>
          <w:rFonts w:ascii="Calibri" w:hAnsi="Calibri" w:eastAsia="Calibri" w:cs="Calibri" w:asciiTheme="majorAscii" w:hAnsiTheme="majorAscii" w:eastAsiaTheme="majorAscii" w:cstheme="majorAscii"/>
          <w:b w:val="1"/>
          <w:bCs w:val="1"/>
          <w:color w:val="auto"/>
        </w:rPr>
        <w:t xml:space="preserve">capital is </w:t>
      </w:r>
      <w:r w:rsidRPr="4626305C" w:rsidR="688659CC">
        <w:rPr>
          <w:rFonts w:ascii="Calibri" w:hAnsi="Calibri" w:eastAsia="Calibri" w:cs="Calibri" w:asciiTheme="majorAscii" w:hAnsiTheme="majorAscii" w:eastAsiaTheme="majorAscii" w:cstheme="majorAscii"/>
          <w:b w:val="1"/>
          <w:bCs w:val="1"/>
          <w:color w:val="auto"/>
        </w:rPr>
        <w:t>allocated</w:t>
      </w:r>
      <w:r w:rsidRPr="4626305C" w:rsidR="688659CC">
        <w:rPr>
          <w:rFonts w:ascii="Calibri" w:hAnsi="Calibri" w:eastAsia="Calibri" w:cs="Calibri" w:asciiTheme="majorAscii" w:hAnsiTheme="majorAscii" w:eastAsiaTheme="majorAscii" w:cstheme="majorAscii"/>
          <w:b w:val="1"/>
          <w:bCs w:val="1"/>
          <w:color w:val="auto"/>
        </w:rPr>
        <w:t xml:space="preserve"> across sectors according to a predefined investment strateg</w:t>
      </w:r>
      <w:r w:rsidRPr="4626305C" w:rsidR="688659CC">
        <w:rPr>
          <w:rFonts w:ascii="Calibri" w:hAnsi="Calibri" w:eastAsia="Calibri" w:cs="Calibri" w:asciiTheme="majorAscii" w:hAnsiTheme="majorAscii" w:eastAsiaTheme="majorAscii" w:cstheme="majorAscii"/>
          <w:color w:val="auto"/>
        </w:rPr>
        <w:t>y.</w:t>
      </w:r>
    </w:p>
    <w:p xmlns:wp14="http://schemas.microsoft.com/office/word/2010/wordml" w:rsidP="688659CC" w14:paraId="3D313B45" wp14:textId="73757CD4">
      <w:p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The investment rules are as follows:</w:t>
      </w:r>
    </w:p>
    <w:p xmlns:wp14="http://schemas.microsoft.com/office/word/2010/wordml" w:rsidP="688659CC" w14:paraId="45765C23" wp14:textId="27304520">
      <w:pPr>
        <w:pStyle w:val="ListParagraph"/>
        <w:numPr>
          <w:ilvl w:val="0"/>
          <w:numId w:val="15"/>
        </w:numPr>
        <w:jc w:val="both"/>
        <w:rPr>
          <w:rFonts w:ascii="Calibri" w:hAnsi="Calibri" w:eastAsia="Calibri" w:cs="Calibri" w:asciiTheme="majorAscii" w:hAnsiTheme="majorAscii" w:eastAsiaTheme="majorAscii" w:cstheme="majorAscii"/>
          <w:b w:val="1"/>
          <w:bCs w:val="1"/>
          <w:color w:val="auto"/>
        </w:rPr>
      </w:pPr>
      <w:r w:rsidRPr="688659CC" w:rsidR="688659CC">
        <w:rPr>
          <w:rFonts w:ascii="Calibri" w:hAnsi="Calibri" w:eastAsia="Calibri" w:cs="Calibri" w:asciiTheme="majorAscii" w:hAnsiTheme="majorAscii" w:eastAsiaTheme="majorAscii" w:cstheme="majorAscii"/>
          <w:color w:val="auto"/>
        </w:rPr>
        <w:t xml:space="preserve">50% of the available capital is invested in stocks belonging to the top </w:t>
      </w:r>
      <w:r w:rsidRPr="688659CC" w:rsidR="688659CC">
        <w:rPr>
          <w:rFonts w:ascii="Calibri" w:hAnsi="Calibri" w:eastAsia="Calibri" w:cs="Calibri" w:asciiTheme="majorAscii" w:hAnsiTheme="majorAscii" w:eastAsiaTheme="majorAscii" w:cstheme="majorAscii"/>
          <w:b w:val="1"/>
          <w:bCs w:val="1"/>
          <w:color w:val="auto"/>
        </w:rPr>
        <w:t>25% performing sectors.</w:t>
      </w:r>
    </w:p>
    <w:p xmlns:wp14="http://schemas.microsoft.com/office/word/2010/wordml" w:rsidP="688659CC" w14:paraId="31CA3443" wp14:textId="7EE1EBA3">
      <w:pPr>
        <w:pStyle w:val="ListParagraph"/>
        <w:numPr>
          <w:ilvl w:val="0"/>
          <w:numId w:val="15"/>
        </w:numPr>
        <w:jc w:val="both"/>
        <w:rPr>
          <w:rFonts w:ascii="Calibri" w:hAnsi="Calibri" w:eastAsia="Calibri" w:cs="Calibri" w:asciiTheme="majorAscii" w:hAnsiTheme="majorAscii" w:eastAsiaTheme="majorAscii" w:cstheme="majorAscii"/>
          <w:b w:val="1"/>
          <w:bCs w:val="1"/>
          <w:color w:val="auto"/>
        </w:rPr>
      </w:pPr>
      <w:r w:rsidRPr="688659CC" w:rsidR="688659CC">
        <w:rPr>
          <w:rFonts w:ascii="Calibri" w:hAnsi="Calibri" w:eastAsia="Calibri" w:cs="Calibri" w:asciiTheme="majorAscii" w:hAnsiTheme="majorAscii" w:eastAsiaTheme="majorAscii" w:cstheme="majorAscii"/>
          <w:color w:val="auto"/>
        </w:rPr>
        <w:t>30% of the capital is invested in stocks from the middle</w:t>
      </w:r>
      <w:r w:rsidRPr="688659CC" w:rsidR="688659CC">
        <w:rPr>
          <w:rFonts w:ascii="Calibri" w:hAnsi="Calibri" w:eastAsia="Calibri" w:cs="Calibri" w:asciiTheme="majorAscii" w:hAnsiTheme="majorAscii" w:eastAsiaTheme="majorAscii" w:cstheme="majorAscii"/>
          <w:b w:val="1"/>
          <w:bCs w:val="1"/>
          <w:color w:val="auto"/>
        </w:rPr>
        <w:t xml:space="preserve"> 50% sectors.</w:t>
      </w:r>
    </w:p>
    <w:p xmlns:wp14="http://schemas.microsoft.com/office/word/2010/wordml" w:rsidP="688659CC" w14:paraId="34F04A92" wp14:textId="05711BD6">
      <w:pPr>
        <w:pStyle w:val="ListParagraph"/>
        <w:numPr>
          <w:ilvl w:val="0"/>
          <w:numId w:val="15"/>
        </w:numPr>
        <w:jc w:val="both"/>
        <w:rPr>
          <w:rFonts w:ascii="Calibri" w:hAnsi="Calibri" w:eastAsia="Calibri" w:cs="Calibri" w:asciiTheme="majorAscii" w:hAnsiTheme="majorAscii" w:eastAsiaTheme="majorAscii" w:cstheme="majorAscii"/>
          <w:b w:val="1"/>
          <w:bCs w:val="1"/>
          <w:color w:val="auto"/>
        </w:rPr>
      </w:pPr>
      <w:r w:rsidRPr="688659CC" w:rsidR="688659CC">
        <w:rPr>
          <w:rFonts w:ascii="Calibri" w:hAnsi="Calibri" w:eastAsia="Calibri" w:cs="Calibri" w:asciiTheme="majorAscii" w:hAnsiTheme="majorAscii" w:eastAsiaTheme="majorAscii" w:cstheme="majorAscii"/>
          <w:color w:val="auto"/>
        </w:rPr>
        <w:t>20% of the capital is invested in stocks from the bottom</w:t>
      </w:r>
      <w:r w:rsidRPr="688659CC" w:rsidR="688659CC">
        <w:rPr>
          <w:rFonts w:ascii="Calibri" w:hAnsi="Calibri" w:eastAsia="Calibri" w:cs="Calibri" w:asciiTheme="majorAscii" w:hAnsiTheme="majorAscii" w:eastAsiaTheme="majorAscii" w:cstheme="majorAscii"/>
          <w:b w:val="1"/>
          <w:bCs w:val="1"/>
          <w:color w:val="auto"/>
        </w:rPr>
        <w:t xml:space="preserve"> 25% sectors.</w:t>
      </w:r>
    </w:p>
    <w:p xmlns:wp14="http://schemas.microsoft.com/office/word/2010/wordml" w:rsidP="688659CC" w14:paraId="79CD8554" wp14:textId="77777777">
      <w:pPr>
        <w:jc w:val="both"/>
        <w:rPr>
          <w:rFonts w:ascii="Calibri" w:hAnsi="Calibri" w:eastAsia="Calibri" w:cs="Calibri" w:asciiTheme="majorAscii" w:hAnsiTheme="majorAscii" w:eastAsiaTheme="majorAscii" w:cstheme="majorAscii"/>
          <w:b w:val="1"/>
          <w:bCs w:val="1"/>
          <w:color w:val="auto"/>
        </w:rPr>
      </w:pPr>
      <w:r w:rsidRPr="688659CC" w:rsidR="688659CC">
        <w:rPr>
          <w:rFonts w:ascii="Calibri" w:hAnsi="Calibri" w:eastAsia="Calibri" w:cs="Calibri" w:asciiTheme="majorAscii" w:hAnsiTheme="majorAscii" w:eastAsiaTheme="majorAscii" w:cstheme="majorAscii"/>
          <w:color w:val="auto"/>
        </w:rPr>
        <w:t>In addition, to prevent excessive concentration risk,</w:t>
      </w:r>
      <w:r w:rsidRPr="688659CC" w:rsidR="688659CC">
        <w:rPr>
          <w:rFonts w:ascii="Calibri" w:hAnsi="Calibri" w:eastAsia="Calibri" w:cs="Calibri" w:asciiTheme="majorAscii" w:hAnsiTheme="majorAscii" w:eastAsiaTheme="majorAscii" w:cstheme="majorAscii"/>
          <w:b w:val="1"/>
          <w:bCs w:val="1"/>
          <w:color w:val="auto"/>
        </w:rPr>
        <w:t xml:space="preserve"> no more than 5% of the total capital may be invested in a single company.</w:t>
      </w:r>
    </w:p>
    <w:p xmlns:wp14="http://schemas.microsoft.com/office/word/2010/wordml" w:rsidP="688659CC" w14:paraId="03EE6A9D" wp14:textId="77777777">
      <w:p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 xml:space="preserve">The portfolio selection problem is formulated as a </w:t>
      </w:r>
      <w:r w:rsidRPr="688659CC" w:rsidR="688659CC">
        <w:rPr>
          <w:rFonts w:ascii="Calibri" w:hAnsi="Calibri" w:eastAsia="Calibri" w:cs="Calibri" w:asciiTheme="majorAscii" w:hAnsiTheme="majorAscii" w:eastAsiaTheme="majorAscii" w:cstheme="majorAscii"/>
          <w:b w:val="1"/>
          <w:bCs w:val="1"/>
          <w:color w:val="auto"/>
        </w:rPr>
        <w:t>mathematical optimization model</w:t>
      </w:r>
      <w:r w:rsidRPr="688659CC" w:rsidR="688659CC">
        <w:rPr>
          <w:rFonts w:ascii="Calibri" w:hAnsi="Calibri" w:eastAsia="Calibri" w:cs="Calibri" w:asciiTheme="majorAscii" w:hAnsiTheme="majorAscii" w:eastAsiaTheme="majorAscii" w:cstheme="majorAscii"/>
          <w:color w:val="auto"/>
        </w:rPr>
        <w:t xml:space="preserve">. The decision variables </w:t>
      </w:r>
      <w:r w:rsidRPr="688659CC" w:rsidR="688659CC">
        <w:rPr>
          <w:rFonts w:ascii="Calibri" w:hAnsi="Calibri" w:eastAsia="Calibri" w:cs="Calibri" w:asciiTheme="majorAscii" w:hAnsiTheme="majorAscii" w:eastAsiaTheme="majorAscii" w:cstheme="majorAscii"/>
          <w:color w:val="auto"/>
        </w:rPr>
        <w:t>represent</w:t>
      </w:r>
      <w:r w:rsidRPr="688659CC" w:rsidR="688659CC">
        <w:rPr>
          <w:rFonts w:ascii="Calibri" w:hAnsi="Calibri" w:eastAsia="Calibri" w:cs="Calibri" w:asciiTheme="majorAscii" w:hAnsiTheme="majorAscii" w:eastAsiaTheme="majorAscii" w:cstheme="majorAscii"/>
          <w:color w:val="auto"/>
        </w:rPr>
        <w:t xml:space="preserve"> the fraction of capital invested in each stock. </w:t>
      </w:r>
      <w:r w:rsidRPr="688659CC" w:rsidR="688659CC">
        <w:rPr>
          <w:rFonts w:ascii="Calibri" w:hAnsi="Calibri" w:eastAsia="Calibri" w:cs="Calibri" w:asciiTheme="majorAscii" w:hAnsiTheme="majorAscii" w:eastAsiaTheme="majorAscii" w:cstheme="majorAscii"/>
          <w:b w:val="1"/>
          <w:bCs w:val="1"/>
          <w:color w:val="auto"/>
        </w:rPr>
        <w:t xml:space="preserve">The </w:t>
      </w:r>
      <w:r w:rsidRPr="688659CC" w:rsidR="688659CC">
        <w:rPr>
          <w:rFonts w:ascii="Calibri" w:hAnsi="Calibri" w:eastAsia="Calibri" w:cs="Calibri" w:asciiTheme="majorAscii" w:hAnsiTheme="majorAscii" w:eastAsiaTheme="majorAscii" w:cstheme="majorAscii"/>
          <w:b w:val="1"/>
          <w:bCs w:val="1"/>
          <w:color w:val="auto"/>
        </w:rPr>
        <w:t>objective</w:t>
      </w:r>
      <w:r w:rsidRPr="688659CC" w:rsidR="688659CC">
        <w:rPr>
          <w:rFonts w:ascii="Calibri" w:hAnsi="Calibri" w:eastAsia="Calibri" w:cs="Calibri" w:asciiTheme="majorAscii" w:hAnsiTheme="majorAscii" w:eastAsiaTheme="majorAscii" w:cstheme="majorAscii"/>
          <w:b w:val="1"/>
          <w:bCs w:val="1"/>
          <w:color w:val="auto"/>
        </w:rPr>
        <w:t xml:space="preserve"> is to maximize the expected portfolio return </w:t>
      </w:r>
      <w:r w:rsidRPr="688659CC" w:rsidR="688659CC">
        <w:rPr>
          <w:rFonts w:ascii="Calibri" w:hAnsi="Calibri" w:eastAsia="Calibri" w:cs="Calibri" w:asciiTheme="majorAscii" w:hAnsiTheme="majorAscii" w:eastAsiaTheme="majorAscii" w:cstheme="majorAscii"/>
          <w:color w:val="auto"/>
        </w:rPr>
        <w:t>subject to the investment constraints described above.</w:t>
      </w:r>
    </w:p>
    <w:p w:rsidR="43952F49" w:rsidP="4626305C" w:rsidRDefault="43952F49" w14:paraId="202CCBF9" w14:textId="5709D881">
      <w:pPr>
        <w:pStyle w:val="Normal"/>
        <w:jc w:val="both"/>
        <w:rPr>
          <w:rFonts w:ascii="Calibri" w:hAnsi="Calibri" w:eastAsia="Calibri" w:cs="Calibri" w:asciiTheme="majorAscii" w:hAnsiTheme="majorAscii" w:eastAsiaTheme="majorAscii" w:cstheme="majorAscii"/>
        </w:rPr>
      </w:pPr>
      <w:r w:rsidRPr="4626305C" w:rsidR="43952F49">
        <w:rPr>
          <w:rFonts w:ascii="Calibri" w:hAnsi="Calibri" w:eastAsia="Calibri" w:cs="Calibri" w:asciiTheme="majorAscii" w:hAnsiTheme="majorAscii" w:eastAsiaTheme="majorAscii" w:cstheme="majorAscii"/>
        </w:rPr>
        <w:t xml:space="preserve">Solving this model produces the </w:t>
      </w:r>
      <w:r w:rsidRPr="4626305C" w:rsidR="43952F49">
        <w:rPr>
          <w:rFonts w:ascii="Calibri" w:hAnsi="Calibri" w:eastAsia="Calibri" w:cs="Calibri" w:asciiTheme="majorAscii" w:hAnsiTheme="majorAscii" w:eastAsiaTheme="majorAscii" w:cstheme="majorAscii"/>
        </w:rPr>
        <w:t>optimal</w:t>
      </w:r>
      <w:r w:rsidRPr="4626305C" w:rsidR="43952F49">
        <w:rPr>
          <w:rFonts w:ascii="Calibri" w:hAnsi="Calibri" w:eastAsia="Calibri" w:cs="Calibri" w:asciiTheme="majorAscii" w:hAnsiTheme="majorAscii" w:eastAsiaTheme="majorAscii" w:cstheme="majorAscii"/>
        </w:rPr>
        <w:t xml:space="preserve"> allocation of capital across the available stocks. Only the stocks receiving a positive allocation are included in the final portfolio. The resulting allocation </w:t>
      </w:r>
      <w:r w:rsidRPr="4626305C" w:rsidR="43952F49">
        <w:rPr>
          <w:rFonts w:ascii="Calibri" w:hAnsi="Calibri" w:eastAsia="Calibri" w:cs="Calibri" w:asciiTheme="majorAscii" w:hAnsiTheme="majorAscii" w:eastAsiaTheme="majorAscii" w:cstheme="majorAscii"/>
        </w:rPr>
        <w:t>identifies</w:t>
      </w:r>
      <w:r w:rsidRPr="4626305C" w:rsidR="43952F49">
        <w:rPr>
          <w:rFonts w:ascii="Calibri" w:hAnsi="Calibri" w:eastAsia="Calibri" w:cs="Calibri" w:asciiTheme="majorAscii" w:hAnsiTheme="majorAscii" w:eastAsiaTheme="majorAscii" w:cstheme="majorAscii"/>
        </w:rPr>
        <w:t xml:space="preserve"> the stocks included in the portfolio and </w:t>
      </w:r>
      <w:r w:rsidRPr="4626305C" w:rsidR="43952F49">
        <w:rPr>
          <w:rFonts w:ascii="Calibri" w:hAnsi="Calibri" w:eastAsia="Calibri" w:cs="Calibri" w:asciiTheme="majorAscii" w:hAnsiTheme="majorAscii" w:eastAsiaTheme="majorAscii" w:cstheme="majorAscii"/>
        </w:rPr>
        <w:t>their</w:t>
      </w:r>
      <w:r w:rsidRPr="4626305C" w:rsidR="43952F49">
        <w:rPr>
          <w:rFonts w:ascii="Calibri" w:hAnsi="Calibri" w:eastAsia="Calibri" w:cs="Calibri" w:asciiTheme="majorAscii" w:hAnsiTheme="majorAscii" w:eastAsiaTheme="majorAscii" w:cstheme="majorAscii"/>
        </w:rPr>
        <w:t xml:space="preserve"> investment weights.</w:t>
      </w:r>
    </w:p>
    <w:p w:rsidR="79637647" w:rsidP="4626305C" w:rsidRDefault="79637647" w14:paraId="6DA4681C" w14:textId="08A2C6B8">
      <w:pPr>
        <w:pStyle w:val="Normal"/>
        <w:jc w:val="center"/>
        <w:rPr>
          <w:rFonts w:ascii="Calibri" w:hAnsi="Calibri" w:eastAsia="Calibri" w:cs="Calibri" w:asciiTheme="majorAscii" w:hAnsiTheme="majorAscii" w:eastAsiaTheme="majorAscii" w:cstheme="majorAscii"/>
        </w:rPr>
      </w:pPr>
      <w:r w:rsidR="79637647">
        <w:drawing>
          <wp:inline wp14:editId="0EDB17DE" wp14:anchorId="38BF82A9">
            <wp:extent cx="4581262" cy="3197339"/>
            <wp:effectExtent l="0" t="0" r="0" b="0"/>
            <wp:docPr id="1201939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1939514" name="Picture 1201939514"/>
                    <pic:cNvPicPr/>
                  </pic:nvPicPr>
                  <pic:blipFill>
                    <a:blip xmlns:r="http://schemas.openxmlformats.org/officeDocument/2006/relationships" r:embed="rId23423163">
                      <a:extLst>
                        <a:ext uri="{28A0092B-C50C-407E-A947-70E740481C1C}">
                          <a14:useLocalDpi xmlns:a14="http://schemas.microsoft.com/office/drawing/2010/main"/>
                        </a:ext>
                      </a:extLst>
                    </a:blip>
                    <a:stretch>
                      <a:fillRect/>
                    </a:stretch>
                  </pic:blipFill>
                  <pic:spPr>
                    <a:xfrm rot="0">
                      <a:off x="0" y="0"/>
                      <a:ext cx="4581262" cy="3197339"/>
                    </a:xfrm>
                    <a:prstGeom prst="rect">
                      <a:avLst/>
                    </a:prstGeom>
                  </pic:spPr>
                </pic:pic>
              </a:graphicData>
            </a:graphic>
          </wp:inline>
        </w:drawing>
      </w:r>
    </w:p>
    <w:p w:rsidR="3BF8376A" w:rsidP="4626305C" w:rsidRDefault="3BF8376A" w14:paraId="2F0DB4EE" w14:textId="502B04D0">
      <w:pPr>
        <w:pStyle w:val="Normal"/>
        <w:jc w:val="center"/>
        <w:rPr>
          <w:rFonts w:ascii="Calibri" w:hAnsi="Calibri" w:eastAsia="Calibri" w:cs="Calibri" w:asciiTheme="majorAscii" w:hAnsiTheme="majorAscii" w:eastAsiaTheme="majorAscii" w:cstheme="majorAscii"/>
          <w:b w:val="1"/>
          <w:bCs w:val="1"/>
          <w:sz w:val="20"/>
          <w:szCs w:val="20"/>
        </w:rPr>
      </w:pPr>
      <w:r w:rsidRPr="4626305C" w:rsidR="3BF8376A">
        <w:rPr>
          <w:rFonts w:ascii="Calibri" w:hAnsi="Calibri" w:eastAsia="Calibri" w:cs="Calibri" w:asciiTheme="majorAscii" w:hAnsiTheme="majorAscii" w:eastAsiaTheme="majorAscii" w:cstheme="majorAscii"/>
          <w:b w:val="1"/>
          <w:bCs w:val="1"/>
          <w:noProof w:val="0"/>
          <w:sz w:val="20"/>
          <w:szCs w:val="20"/>
          <w:lang w:val="en-US"/>
        </w:rPr>
        <w:t>Figure 4 – Optimal portfolio allocation across selected stocks</w:t>
      </w:r>
    </w:p>
    <w:p w:rsidR="4626305C" w:rsidP="4626305C" w:rsidRDefault="4626305C" w14:paraId="5280F403" w14:textId="4FFFDE4C">
      <w:pPr>
        <w:pStyle w:val="Normal"/>
        <w:jc w:val="both"/>
        <w:rPr>
          <w:rFonts w:ascii="Cambria" w:hAnsi="Cambria" w:eastAsia="Cambria" w:cs="Cambria"/>
          <w:noProof w:val="0"/>
          <w:sz w:val="22"/>
          <w:szCs w:val="22"/>
          <w:lang w:val="en-US"/>
        </w:rPr>
      </w:pPr>
    </w:p>
    <w:p w:rsidR="3C089203" w:rsidP="4626305C" w:rsidRDefault="3C089203" w14:paraId="1C7DC18F" w14:textId="74A6F974">
      <w:pPr>
        <w:pStyle w:val="Normal"/>
        <w:jc w:val="center"/>
        <w:rPr>
          <w:rFonts w:ascii="Calibri" w:hAnsi="Calibri" w:eastAsia="Calibri" w:cs="Calibri" w:asciiTheme="majorAscii" w:hAnsiTheme="majorAscii" w:eastAsiaTheme="majorAscii" w:cstheme="majorAscii"/>
          <w:b w:val="1"/>
          <w:bCs w:val="1"/>
          <w:sz w:val="20"/>
          <w:szCs w:val="20"/>
        </w:rPr>
      </w:pPr>
      <w:r w:rsidR="3C089203">
        <w:drawing>
          <wp:inline wp14:editId="31F29D98" wp14:anchorId="43170B48">
            <wp:extent cx="4653468" cy="3239656"/>
            <wp:effectExtent l="0" t="0" r="0" b="0"/>
            <wp:docPr id="5449737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454442" name="Picture 1301454442"/>
                    <pic:cNvPicPr/>
                  </pic:nvPicPr>
                  <pic:blipFill>
                    <a:blip xmlns:r="http://schemas.openxmlformats.org/officeDocument/2006/relationships" r:embed="rId2092955546">
                      <a:extLst>
                        <a:ext uri="{28A0092B-C50C-407E-A947-70E740481C1C}">
                          <a14:useLocalDpi xmlns:a14="http://schemas.microsoft.com/office/drawing/2010/main"/>
                        </a:ext>
                      </a:extLst>
                    </a:blip>
                    <a:stretch>
                      <a:fillRect/>
                    </a:stretch>
                  </pic:blipFill>
                  <pic:spPr>
                    <a:xfrm rot="0">
                      <a:off x="0" y="0"/>
                      <a:ext cx="4653468" cy="3239656"/>
                    </a:xfrm>
                    <a:prstGeom prst="rect">
                      <a:avLst/>
                    </a:prstGeom>
                  </pic:spPr>
                </pic:pic>
              </a:graphicData>
            </a:graphic>
          </wp:inline>
        </w:drawing>
      </w:r>
    </w:p>
    <w:p w:rsidR="3C089203" w:rsidP="4626305C" w:rsidRDefault="3C089203" w14:paraId="61B6C37A" w14:textId="724A8280">
      <w:pPr>
        <w:pStyle w:val="Normal"/>
        <w:suppressLineNumbers w:val="0"/>
        <w:bidi w:val="0"/>
        <w:spacing w:before="0" w:beforeAutospacing="off" w:after="200" w:afterAutospacing="off" w:line="276" w:lineRule="auto"/>
        <w:ind w:left="0" w:right="0"/>
        <w:jc w:val="center"/>
        <w:rPr>
          <w:rFonts w:ascii="Calibri" w:hAnsi="Calibri" w:eastAsia="Calibri" w:cs="Calibri" w:asciiTheme="majorAscii" w:hAnsiTheme="majorAscii" w:eastAsiaTheme="majorAscii" w:cstheme="majorAscii"/>
          <w:b w:val="1"/>
          <w:bCs w:val="1"/>
          <w:noProof w:val="0"/>
          <w:sz w:val="20"/>
          <w:szCs w:val="20"/>
          <w:lang w:val="en-US"/>
        </w:rPr>
      </w:pPr>
      <w:r w:rsidRPr="4626305C" w:rsidR="3C089203">
        <w:rPr>
          <w:rFonts w:ascii="Calibri" w:hAnsi="Calibri" w:eastAsia="Calibri" w:cs="Calibri" w:asciiTheme="majorAscii" w:hAnsiTheme="majorAscii" w:eastAsiaTheme="majorAscii" w:cstheme="majorAscii"/>
          <w:b w:val="1"/>
          <w:bCs w:val="1"/>
          <w:noProof w:val="0"/>
          <w:sz w:val="20"/>
          <w:szCs w:val="20"/>
          <w:lang w:val="en-US"/>
        </w:rPr>
        <w:t xml:space="preserve">Figure </w:t>
      </w:r>
      <w:r w:rsidRPr="4626305C" w:rsidR="291C36EC">
        <w:rPr>
          <w:rFonts w:ascii="Calibri" w:hAnsi="Calibri" w:eastAsia="Calibri" w:cs="Calibri" w:asciiTheme="majorAscii" w:hAnsiTheme="majorAscii" w:eastAsiaTheme="majorAscii" w:cstheme="majorAscii"/>
          <w:b w:val="1"/>
          <w:bCs w:val="1"/>
          <w:noProof w:val="0"/>
          <w:sz w:val="20"/>
          <w:szCs w:val="20"/>
          <w:lang w:val="en-US"/>
        </w:rPr>
        <w:t>5</w:t>
      </w:r>
      <w:r w:rsidRPr="4626305C" w:rsidR="3C089203">
        <w:rPr>
          <w:rFonts w:ascii="Calibri" w:hAnsi="Calibri" w:eastAsia="Calibri" w:cs="Calibri" w:asciiTheme="majorAscii" w:hAnsiTheme="majorAscii" w:eastAsiaTheme="majorAscii" w:cstheme="majorAscii"/>
          <w:b w:val="1"/>
          <w:bCs w:val="1"/>
          <w:noProof w:val="0"/>
          <w:sz w:val="20"/>
          <w:szCs w:val="20"/>
          <w:lang w:val="en-US"/>
        </w:rPr>
        <w:t xml:space="preserve"> – </w:t>
      </w:r>
      <w:r w:rsidRPr="4626305C" w:rsidR="4F9B83A9">
        <w:rPr>
          <w:rFonts w:ascii="Calibri" w:hAnsi="Calibri" w:eastAsia="Calibri" w:cs="Calibri" w:asciiTheme="majorAscii" w:hAnsiTheme="majorAscii" w:eastAsiaTheme="majorAscii" w:cstheme="majorAscii"/>
          <w:b w:val="1"/>
          <w:bCs w:val="1"/>
          <w:noProof w:val="0"/>
          <w:sz w:val="20"/>
          <w:szCs w:val="20"/>
          <w:lang w:val="en-US"/>
        </w:rPr>
        <w:t xml:space="preserve">Number of selected stocks by </w:t>
      </w:r>
      <w:r w:rsidRPr="4626305C" w:rsidR="4F9B83A9">
        <w:rPr>
          <w:rFonts w:ascii="Calibri" w:hAnsi="Calibri" w:eastAsia="Calibri" w:cs="Calibri" w:asciiTheme="majorAscii" w:hAnsiTheme="majorAscii" w:eastAsiaTheme="majorAscii" w:cstheme="majorAscii"/>
          <w:b w:val="1"/>
          <w:bCs w:val="1"/>
          <w:noProof w:val="0"/>
          <w:sz w:val="20"/>
          <w:szCs w:val="20"/>
          <w:lang w:val="en-US"/>
        </w:rPr>
        <w:t>sector</w:t>
      </w:r>
    </w:p>
    <w:p w:rsidR="4626305C" w:rsidP="4626305C" w:rsidRDefault="4626305C" w14:paraId="561C047C" w14:textId="062B212F">
      <w:pPr>
        <w:pStyle w:val="Normal"/>
        <w:jc w:val="both"/>
        <w:rPr>
          <w:rFonts w:ascii="Cambria" w:hAnsi="Cambria" w:eastAsia="Cambria" w:cs="Cambria"/>
          <w:noProof w:val="0"/>
          <w:sz w:val="22"/>
          <w:szCs w:val="22"/>
          <w:lang w:val="en-US"/>
        </w:rPr>
      </w:pPr>
    </w:p>
    <w:p w:rsidR="79637647" w:rsidP="4626305C" w:rsidRDefault="79637647" w14:paraId="4456BB29" w14:textId="0C8817A8">
      <w:pPr>
        <w:pStyle w:val="Normal"/>
        <w:jc w:val="center"/>
        <w:rPr>
          <w:rFonts w:ascii="Calibri" w:hAnsi="Calibri" w:eastAsia="Calibri" w:cs="Calibri" w:asciiTheme="majorAscii" w:hAnsiTheme="majorAscii" w:eastAsiaTheme="majorAscii" w:cstheme="majorAscii"/>
        </w:rPr>
      </w:pPr>
      <w:r w:rsidR="79637647">
        <w:drawing>
          <wp:inline wp14:editId="22294029" wp14:anchorId="76391C5D">
            <wp:extent cx="4725200" cy="3306000"/>
            <wp:effectExtent l="0" t="0" r="0" b="0"/>
            <wp:docPr id="4228438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2843886" name="Picture 422843886"/>
                    <pic:cNvPicPr/>
                  </pic:nvPicPr>
                  <pic:blipFill>
                    <a:blip xmlns:r="http://schemas.openxmlformats.org/officeDocument/2006/relationships" r:embed="rId666321421">
                      <a:extLst>
                        <a:ext uri="{28A0092B-C50C-407E-A947-70E740481C1C}">
                          <a14:useLocalDpi xmlns:a14="http://schemas.microsoft.com/office/drawing/2010/main"/>
                        </a:ext>
                      </a:extLst>
                    </a:blip>
                    <a:stretch>
                      <a:fillRect/>
                    </a:stretch>
                  </pic:blipFill>
                  <pic:spPr>
                    <a:xfrm rot="0">
                      <a:off x="0" y="0"/>
                      <a:ext cx="4725200" cy="3306000"/>
                    </a:xfrm>
                    <a:prstGeom prst="rect">
                      <a:avLst/>
                    </a:prstGeom>
                  </pic:spPr>
                </pic:pic>
              </a:graphicData>
            </a:graphic>
          </wp:inline>
        </w:drawing>
      </w:r>
    </w:p>
    <w:p w:rsidR="0375F529" w:rsidP="4626305C" w:rsidRDefault="0375F529" w14:paraId="47F40264" w14:textId="5DAF7EE2">
      <w:pPr>
        <w:pStyle w:val="Normal"/>
        <w:suppressLineNumbers w:val="0"/>
        <w:bidi w:val="0"/>
        <w:spacing w:before="0" w:beforeAutospacing="off" w:after="200" w:afterAutospacing="off" w:line="276" w:lineRule="auto"/>
        <w:ind w:left="0" w:right="0"/>
        <w:jc w:val="center"/>
        <w:rPr>
          <w:rFonts w:ascii="Calibri" w:hAnsi="Calibri" w:eastAsia="Calibri" w:cs="Calibri" w:asciiTheme="majorAscii" w:hAnsiTheme="majorAscii" w:eastAsiaTheme="majorAscii" w:cstheme="majorAscii"/>
          <w:b w:val="1"/>
          <w:bCs w:val="1"/>
          <w:noProof w:val="0"/>
          <w:sz w:val="20"/>
          <w:szCs w:val="20"/>
          <w:lang w:val="en-US"/>
        </w:rPr>
      </w:pPr>
      <w:r w:rsidRPr="4626305C" w:rsidR="0375F529">
        <w:rPr>
          <w:rFonts w:ascii="Calibri" w:hAnsi="Calibri" w:eastAsia="Calibri" w:cs="Calibri" w:asciiTheme="majorAscii" w:hAnsiTheme="majorAscii" w:eastAsiaTheme="majorAscii" w:cstheme="majorAscii"/>
          <w:b w:val="1"/>
          <w:bCs w:val="1"/>
          <w:noProof w:val="0"/>
          <w:sz w:val="20"/>
          <w:szCs w:val="20"/>
          <w:lang w:val="en-US"/>
        </w:rPr>
        <w:t xml:space="preserve">Figure </w:t>
      </w:r>
      <w:r w:rsidRPr="4626305C" w:rsidR="59F7C98F">
        <w:rPr>
          <w:rFonts w:ascii="Calibri" w:hAnsi="Calibri" w:eastAsia="Calibri" w:cs="Calibri" w:asciiTheme="majorAscii" w:hAnsiTheme="majorAscii" w:eastAsiaTheme="majorAscii" w:cstheme="majorAscii"/>
          <w:b w:val="1"/>
          <w:bCs w:val="1"/>
          <w:noProof w:val="0"/>
          <w:sz w:val="20"/>
          <w:szCs w:val="20"/>
          <w:lang w:val="en-US"/>
        </w:rPr>
        <w:t>6</w:t>
      </w:r>
      <w:r w:rsidRPr="4626305C" w:rsidR="0375F529">
        <w:rPr>
          <w:rFonts w:ascii="Calibri" w:hAnsi="Calibri" w:eastAsia="Calibri" w:cs="Calibri" w:asciiTheme="majorAscii" w:hAnsiTheme="majorAscii" w:eastAsiaTheme="majorAscii" w:cstheme="majorAscii"/>
          <w:b w:val="1"/>
          <w:bCs w:val="1"/>
          <w:noProof w:val="0"/>
          <w:sz w:val="20"/>
          <w:szCs w:val="20"/>
          <w:lang w:val="en-US"/>
        </w:rPr>
        <w:t xml:space="preserve"> – </w:t>
      </w:r>
      <w:r w:rsidRPr="4626305C" w:rsidR="1B0D5BCE">
        <w:rPr>
          <w:rFonts w:ascii="Calibri" w:hAnsi="Calibri" w:eastAsia="Calibri" w:cs="Calibri" w:asciiTheme="majorAscii" w:hAnsiTheme="majorAscii" w:eastAsiaTheme="majorAscii" w:cstheme="majorAscii"/>
          <w:b w:val="1"/>
          <w:bCs w:val="1"/>
          <w:noProof w:val="0"/>
          <w:sz w:val="20"/>
          <w:szCs w:val="20"/>
          <w:lang w:val="en-US"/>
        </w:rPr>
        <w:t xml:space="preserve">Stock contribution to Expected Portfolio Return </w:t>
      </w:r>
    </w:p>
    <w:p xmlns:wp14="http://schemas.microsoft.com/office/word/2010/wordml" w:rsidP="688659CC" w14:paraId="2AE08BE0" wp14:textId="172D4886">
      <w:pPr>
        <w:pStyle w:val="Heading1"/>
        <w:numPr>
          <w:ilvl w:val="0"/>
          <w:numId w:val="12"/>
        </w:num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Sensitivity Analysis</w:t>
      </w:r>
    </w:p>
    <w:p xmlns:wp14="http://schemas.microsoft.com/office/word/2010/wordml" w:rsidP="688659CC" w14:paraId="3B08838E" wp14:textId="77777777">
      <w:p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 xml:space="preserve">Portfolio performance can be sensitive to the investment constraints imposed by the strategy. To </w:t>
      </w:r>
      <w:r w:rsidRPr="688659CC" w:rsidR="688659CC">
        <w:rPr>
          <w:rFonts w:ascii="Calibri" w:hAnsi="Calibri" w:eastAsia="Calibri" w:cs="Calibri" w:asciiTheme="majorAscii" w:hAnsiTheme="majorAscii" w:eastAsiaTheme="majorAscii" w:cstheme="majorAscii"/>
          <w:b w:val="1"/>
          <w:bCs w:val="1"/>
          <w:color w:val="auto"/>
        </w:rPr>
        <w:t>assess the robustness of the results, a sensitivity analysis is performed</w:t>
      </w:r>
      <w:r w:rsidRPr="688659CC" w:rsidR="688659CC">
        <w:rPr>
          <w:rFonts w:ascii="Calibri" w:hAnsi="Calibri" w:eastAsia="Calibri" w:cs="Calibri" w:asciiTheme="majorAscii" w:hAnsiTheme="majorAscii" w:eastAsiaTheme="majorAscii" w:cstheme="majorAscii"/>
          <w:color w:val="auto"/>
        </w:rPr>
        <w:t>.</w:t>
      </w:r>
    </w:p>
    <w:p xmlns:wp14="http://schemas.microsoft.com/office/word/2010/wordml" w:rsidP="688659CC" w14:paraId="74E1C17E" wp14:textId="037C3C87">
      <w:p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In particular, the effect of the</w:t>
      </w:r>
      <w:r w:rsidRPr="688659CC" w:rsidR="688659CC">
        <w:rPr>
          <w:rFonts w:ascii="Calibri" w:hAnsi="Calibri" w:eastAsia="Calibri" w:cs="Calibri" w:asciiTheme="majorAscii" w:hAnsiTheme="majorAscii" w:eastAsiaTheme="majorAscii" w:cstheme="majorAscii"/>
          <w:b w:val="1"/>
          <w:bCs w:val="1"/>
          <w:color w:val="auto"/>
        </w:rPr>
        <w:t xml:space="preserve"> maximum investment allowed per company is evaluated</w:t>
      </w:r>
      <w:r w:rsidRPr="688659CC" w:rsidR="688659CC">
        <w:rPr>
          <w:rFonts w:ascii="Calibri" w:hAnsi="Calibri" w:eastAsia="Calibri" w:cs="Calibri" w:asciiTheme="majorAscii" w:hAnsiTheme="majorAscii" w:eastAsiaTheme="majorAscii" w:cstheme="majorAscii"/>
          <w:color w:val="auto"/>
        </w:rPr>
        <w:t>. While the baseline strategy restricts investment in a single company to 5% of the total capital, alternative scenarios are considered in which this limit is increased.</w:t>
      </w:r>
      <w:r w:rsidRPr="688659CC" w:rsidR="31ED6E78">
        <w:rPr>
          <w:rFonts w:ascii="Calibri" w:hAnsi="Calibri" w:eastAsia="Calibri" w:cs="Calibri" w:asciiTheme="majorAscii" w:hAnsiTheme="majorAscii" w:eastAsiaTheme="majorAscii" w:cstheme="majorAscii"/>
          <w:color w:val="auto"/>
        </w:rPr>
        <w:t xml:space="preserve"> </w:t>
      </w:r>
    </w:p>
    <w:p xmlns:wp14="http://schemas.microsoft.com/office/word/2010/wordml" w:rsidP="688659CC" w14:paraId="2981FE94" wp14:textId="3895FE34">
      <w:p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Three scenarios are analyzed:</w:t>
      </w:r>
    </w:p>
    <w:p xmlns:wp14="http://schemas.microsoft.com/office/word/2010/wordml" w:rsidP="688659CC" w14:paraId="74FE1083" wp14:textId="1C76D2A7">
      <w:pPr>
        <w:pStyle w:val="ListParagraph"/>
        <w:numPr>
          <w:ilvl w:val="0"/>
          <w:numId w:val="16"/>
        </w:num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Maximum investment per stock equal to 5%</w:t>
      </w:r>
    </w:p>
    <w:p xmlns:wp14="http://schemas.microsoft.com/office/word/2010/wordml" w:rsidP="688659CC" w14:paraId="63C5C202" wp14:textId="724AC9C1">
      <w:pPr>
        <w:pStyle w:val="ListParagraph"/>
        <w:numPr>
          <w:ilvl w:val="0"/>
          <w:numId w:val="16"/>
        </w:num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Maximum investment per stock equal to 10%</w:t>
      </w:r>
    </w:p>
    <w:p xmlns:wp14="http://schemas.microsoft.com/office/word/2010/wordml" w:rsidP="688659CC" w14:paraId="48CC977F" wp14:textId="58E1DED7">
      <w:pPr>
        <w:pStyle w:val="ListParagraph"/>
        <w:numPr>
          <w:ilvl w:val="0"/>
          <w:numId w:val="16"/>
        </w:num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Maximum investment per stock equal to 20%</w:t>
      </w:r>
    </w:p>
    <w:p xmlns:wp14="http://schemas.microsoft.com/office/word/2010/wordml" w:rsidP="688659CC" w14:paraId="63B032E7" wp14:textId="77777777">
      <w:pPr>
        <w:jc w:val="both"/>
        <w:rPr>
          <w:rFonts w:ascii="Calibri" w:hAnsi="Calibri" w:eastAsia="Calibri" w:cs="Calibri" w:asciiTheme="majorAscii" w:hAnsiTheme="majorAscii" w:eastAsiaTheme="majorAscii" w:cstheme="majorAscii"/>
          <w:color w:val="auto"/>
        </w:rPr>
      </w:pPr>
      <w:r w:rsidRPr="688659CC" w:rsidR="688659CC">
        <w:rPr>
          <w:rFonts w:ascii="Calibri" w:hAnsi="Calibri" w:eastAsia="Calibri" w:cs="Calibri" w:asciiTheme="majorAscii" w:hAnsiTheme="majorAscii" w:eastAsiaTheme="majorAscii" w:cstheme="majorAscii"/>
          <w:color w:val="auto"/>
        </w:rPr>
        <w:t xml:space="preserve">For each scenario, </w:t>
      </w:r>
      <w:r w:rsidRPr="688659CC" w:rsidR="688659CC">
        <w:rPr>
          <w:rFonts w:ascii="Calibri" w:hAnsi="Calibri" w:eastAsia="Calibri" w:cs="Calibri" w:asciiTheme="majorAscii" w:hAnsiTheme="majorAscii" w:eastAsiaTheme="majorAscii" w:cstheme="majorAscii"/>
          <w:b w:val="1"/>
          <w:bCs w:val="1"/>
          <w:color w:val="auto"/>
        </w:rPr>
        <w:t>t</w:t>
      </w:r>
      <w:r w:rsidRPr="688659CC" w:rsidR="688659CC">
        <w:rPr>
          <w:rFonts w:ascii="Calibri" w:hAnsi="Calibri" w:eastAsia="Calibri" w:cs="Calibri" w:asciiTheme="majorAscii" w:hAnsiTheme="majorAscii" w:eastAsiaTheme="majorAscii" w:cstheme="majorAscii"/>
          <w:b w:val="1"/>
          <w:bCs w:val="1"/>
          <w:color w:val="auto"/>
        </w:rPr>
        <w:t>he</w:t>
      </w:r>
      <w:r w:rsidRPr="688659CC" w:rsidR="688659CC">
        <w:rPr>
          <w:rFonts w:ascii="Calibri" w:hAnsi="Calibri" w:eastAsia="Calibri" w:cs="Calibri" w:asciiTheme="majorAscii" w:hAnsiTheme="majorAscii" w:eastAsiaTheme="majorAscii" w:cstheme="majorAscii"/>
          <w:b w:val="1"/>
          <w:bCs w:val="1"/>
          <w:color w:val="auto"/>
        </w:rPr>
        <w:t xml:space="preserve"> optimization model is solved </w:t>
      </w:r>
      <w:r w:rsidRPr="688659CC" w:rsidR="688659CC">
        <w:rPr>
          <w:rFonts w:ascii="Calibri" w:hAnsi="Calibri" w:eastAsia="Calibri" w:cs="Calibri" w:asciiTheme="majorAscii" w:hAnsiTheme="majorAscii" w:eastAsiaTheme="majorAscii" w:cstheme="majorAscii"/>
          <w:b w:val="1"/>
          <w:bCs w:val="1"/>
          <w:color w:val="auto"/>
        </w:rPr>
        <w:t>again</w:t>
      </w:r>
      <w:r w:rsidRPr="688659CC" w:rsidR="688659CC">
        <w:rPr>
          <w:rFonts w:ascii="Calibri" w:hAnsi="Calibri" w:eastAsia="Calibri" w:cs="Calibri" w:asciiTheme="majorAscii" w:hAnsiTheme="majorAscii" w:eastAsiaTheme="majorAscii" w:cstheme="majorAscii"/>
          <w:color w:val="auto"/>
        </w:rPr>
        <w:t xml:space="preserve"> and the expected portfolio return is recorded. </w:t>
      </w:r>
      <w:r w:rsidRPr="688659CC" w:rsidR="688659CC">
        <w:rPr>
          <w:rFonts w:ascii="Calibri" w:hAnsi="Calibri" w:eastAsia="Calibri" w:cs="Calibri" w:asciiTheme="majorAscii" w:hAnsiTheme="majorAscii" w:eastAsiaTheme="majorAscii" w:cstheme="majorAscii"/>
          <w:b w:val="1"/>
          <w:bCs w:val="1"/>
          <w:color w:val="auto"/>
        </w:rPr>
        <w:t>Comparing the resulting returns</w:t>
      </w:r>
      <w:r w:rsidRPr="688659CC" w:rsidR="688659CC">
        <w:rPr>
          <w:rFonts w:ascii="Calibri" w:hAnsi="Calibri" w:eastAsia="Calibri" w:cs="Calibri" w:asciiTheme="majorAscii" w:hAnsiTheme="majorAscii" w:eastAsiaTheme="majorAscii" w:cstheme="majorAscii"/>
          <w:color w:val="auto"/>
        </w:rPr>
        <w:t xml:space="preserve"> allows an assessment of how strongly portfolio performance depends on the diversification constraint.</w:t>
      </w:r>
    </w:p>
    <w:p w:rsidR="688659CC" w:rsidP="688659CC" w:rsidRDefault="688659CC" w14:paraId="23397838" w14:textId="2D2DF67C">
      <w:pPr>
        <w:jc w:val="both"/>
        <w:rPr>
          <w:rFonts w:ascii="Calibri" w:hAnsi="Calibri" w:eastAsia="Calibri" w:cs="Calibri" w:asciiTheme="majorAscii" w:hAnsiTheme="majorAscii" w:eastAsiaTheme="majorAscii" w:cstheme="majorAscii"/>
          <w:color w:val="auto"/>
        </w:rPr>
      </w:pPr>
      <w:r w:rsidRPr="4626305C" w:rsidR="43952F49">
        <w:rPr>
          <w:rFonts w:ascii="Calibri" w:hAnsi="Calibri" w:eastAsia="Calibri" w:cs="Calibri" w:asciiTheme="majorAscii" w:hAnsiTheme="majorAscii" w:eastAsiaTheme="majorAscii" w:cstheme="majorAscii"/>
        </w:rPr>
        <w:t>This analysis shows how the concentration constraint influences the achievable portfolio return.</w:t>
      </w:r>
    </w:p>
    <w:p w:rsidR="1D9E7215" w:rsidP="4626305C" w:rsidRDefault="1D9E7215" w14:paraId="22DF3104" w14:textId="28794432">
      <w:pPr>
        <w:pStyle w:val="Normal"/>
        <w:jc w:val="center"/>
        <w:rPr>
          <w:rFonts w:ascii="Calibri" w:hAnsi="Calibri" w:eastAsia="Calibri" w:cs="Calibri" w:asciiTheme="majorAscii" w:hAnsiTheme="majorAscii" w:eastAsiaTheme="majorAscii" w:cstheme="majorAscii"/>
        </w:rPr>
      </w:pPr>
      <w:r w:rsidR="1D9E7215">
        <w:drawing>
          <wp:inline wp14:editId="28C3C846" wp14:anchorId="2905F0A1">
            <wp:extent cx="5048250" cy="3347971"/>
            <wp:effectExtent l="0" t="0" r="0" b="0"/>
            <wp:docPr id="20280357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8035739" name="Picture 2028035739"/>
                    <pic:cNvPicPr/>
                  </pic:nvPicPr>
                  <pic:blipFill>
                    <a:blip xmlns:r="http://schemas.openxmlformats.org/officeDocument/2006/relationships" r:embed="rId1154857139">
                      <a:extLst>
                        <a:ext uri="{28A0092B-C50C-407E-A947-70E740481C1C}">
                          <a14:useLocalDpi xmlns:a14="http://schemas.microsoft.com/office/drawing/2010/main"/>
                        </a:ext>
                      </a:extLst>
                    </a:blip>
                    <a:stretch>
                      <a:fillRect/>
                    </a:stretch>
                  </pic:blipFill>
                  <pic:spPr>
                    <a:xfrm rot="0">
                      <a:off x="0" y="0"/>
                      <a:ext cx="5048250" cy="3347971"/>
                    </a:xfrm>
                    <a:prstGeom prst="rect">
                      <a:avLst/>
                    </a:prstGeom>
                  </pic:spPr>
                </pic:pic>
              </a:graphicData>
            </a:graphic>
          </wp:inline>
        </w:drawing>
      </w:r>
    </w:p>
    <w:p w:rsidR="54005008" w:rsidP="4626305C" w:rsidRDefault="54005008" w14:paraId="2029C0FB" w14:textId="0AE03875">
      <w:pPr>
        <w:pStyle w:val="Normal"/>
        <w:jc w:val="center"/>
        <w:rPr>
          <w:rFonts w:ascii="Calibri" w:hAnsi="Calibri" w:eastAsia="Calibri" w:cs="Calibri"/>
          <w:b w:val="1"/>
          <w:bCs w:val="1"/>
          <w:noProof w:val="0"/>
          <w:sz w:val="18"/>
          <w:szCs w:val="18"/>
          <w:lang w:val="en-US"/>
        </w:rPr>
      </w:pPr>
      <w:r w:rsidRPr="4626305C" w:rsidR="54005008">
        <w:rPr>
          <w:rFonts w:ascii="Calibri" w:hAnsi="Calibri" w:eastAsia="Calibri" w:cs="Calibri"/>
          <w:b w:val="1"/>
          <w:bCs w:val="1"/>
          <w:noProof w:val="0"/>
          <w:sz w:val="20"/>
          <w:szCs w:val="20"/>
          <w:lang w:val="en-US"/>
        </w:rPr>
        <w:t>Figure 7 – Impact of concentration limits on expected portfolio return</w:t>
      </w:r>
    </w:p>
    <w:p w:rsidR="4626305C" w:rsidP="4626305C" w:rsidRDefault="4626305C" w14:paraId="38C90B5B" w14:textId="1EB5D87C">
      <w:pPr>
        <w:pStyle w:val="Normal"/>
        <w:jc w:val="center"/>
        <w:rPr>
          <w:rFonts w:ascii="Calibri" w:hAnsi="Calibri" w:eastAsia="Calibri" w:cs="Calibri"/>
          <w:b w:val="1"/>
          <w:bCs w:val="1"/>
          <w:noProof w:val="0"/>
          <w:sz w:val="20"/>
          <w:szCs w:val="20"/>
          <w:lang w:val="en-US"/>
        </w:rPr>
      </w:pPr>
    </w:p>
    <w:p xmlns:wp14="http://schemas.microsoft.com/office/word/2010/wordml" w:rsidP="688659CC" w14:paraId="2B2A7A39" wp14:textId="77777777">
      <w:pPr>
        <w:pStyle w:val="Heading1"/>
        <w:jc w:val="both"/>
        <w:rPr>
          <w:rFonts w:ascii="Calibri" w:hAnsi="Calibri" w:eastAsia="Calibri" w:cs="Calibri" w:asciiTheme="majorAscii" w:hAnsiTheme="majorAscii" w:eastAsiaTheme="majorAscii" w:cstheme="majorAscii"/>
          <w:color w:val="auto"/>
        </w:rPr>
      </w:pPr>
      <w:r w:rsidRPr="4626305C" w:rsidR="688659CC">
        <w:rPr>
          <w:rFonts w:ascii="Calibri" w:hAnsi="Calibri" w:eastAsia="Calibri" w:cs="Calibri" w:asciiTheme="majorAscii" w:hAnsiTheme="majorAscii" w:eastAsiaTheme="majorAscii" w:cstheme="majorAscii"/>
          <w:color w:val="auto"/>
        </w:rPr>
        <w:t>Conclusion</w:t>
      </w:r>
    </w:p>
    <w:p w:rsidR="3DB21C5B" w:rsidP="4626305C" w:rsidRDefault="3DB21C5B" w14:paraId="119B7B5E" w14:textId="49F3C51F">
      <w:pPr>
        <w:spacing w:before="240" w:beforeAutospacing="off" w:after="240" w:afterAutospacing="off"/>
        <w:jc w:val="both"/>
        <w:rPr>
          <w:rFonts w:ascii="Calibri" w:hAnsi="Calibri" w:eastAsia="Calibri" w:cs="Calibri" w:asciiTheme="majorAscii" w:hAnsiTheme="majorAscii" w:eastAsiaTheme="majorAscii" w:cstheme="majorAscii"/>
          <w:noProof w:val="0"/>
          <w:sz w:val="22"/>
          <w:szCs w:val="22"/>
          <w:lang w:val="en-US"/>
        </w:rPr>
      </w:pPr>
      <w:r w:rsidRPr="4626305C" w:rsidR="3DB21C5B">
        <w:rPr>
          <w:rFonts w:ascii="Calibri" w:hAnsi="Calibri" w:eastAsia="Calibri" w:cs="Calibri"/>
          <w:noProof w:val="0"/>
          <w:sz w:val="22"/>
          <w:szCs w:val="22"/>
          <w:lang w:val="en-US"/>
        </w:rPr>
        <w:t>T</w:t>
      </w:r>
      <w:r w:rsidRPr="4626305C" w:rsidR="3DB21C5B">
        <w:rPr>
          <w:rFonts w:ascii="Calibri" w:hAnsi="Calibri" w:eastAsia="Calibri" w:cs="Calibri" w:asciiTheme="majorAscii" w:hAnsiTheme="majorAscii" w:eastAsiaTheme="majorAscii" w:cstheme="majorAscii"/>
          <w:noProof w:val="0"/>
          <w:sz w:val="22"/>
          <w:szCs w:val="22"/>
          <w:lang w:val="en-US"/>
        </w:rPr>
        <w:t>his analysis provides a data-driven framework to support stock selection and portfolio construction for Shooting Star Capital.</w:t>
      </w:r>
    </w:p>
    <w:p w:rsidR="3DB21C5B" w:rsidP="4626305C" w:rsidRDefault="3DB21C5B" w14:paraId="0ED33919" w14:textId="02DDF649">
      <w:pPr>
        <w:spacing w:before="240" w:beforeAutospacing="off" w:after="240" w:afterAutospacing="off"/>
        <w:jc w:val="both"/>
        <w:rPr>
          <w:rFonts w:ascii="Calibri" w:hAnsi="Calibri" w:eastAsia="Calibri" w:cs="Calibri" w:asciiTheme="majorAscii" w:hAnsiTheme="majorAscii" w:eastAsiaTheme="majorAscii" w:cstheme="majorAscii"/>
          <w:noProof w:val="0"/>
          <w:sz w:val="22"/>
          <w:szCs w:val="22"/>
          <w:lang w:val="en-US"/>
        </w:rPr>
      </w:pPr>
      <w:r w:rsidRPr="4626305C" w:rsidR="3DB21C5B">
        <w:rPr>
          <w:rFonts w:ascii="Calibri" w:hAnsi="Calibri" w:eastAsia="Calibri" w:cs="Calibri" w:asciiTheme="majorAscii" w:hAnsiTheme="majorAscii" w:eastAsiaTheme="majorAscii" w:cstheme="majorAscii"/>
          <w:noProof w:val="0"/>
          <w:sz w:val="22"/>
          <w:szCs w:val="22"/>
          <w:lang w:val="en-US"/>
        </w:rPr>
        <w:t xml:space="preserve">The distribution of stock returns shows substantial variability across firms, with an average market return of approximately </w:t>
      </w:r>
      <w:r w:rsidRPr="4626305C" w:rsidR="3DB21C5B">
        <w:rPr>
          <w:rFonts w:ascii="Calibri" w:hAnsi="Calibri" w:eastAsia="Calibri" w:cs="Calibri" w:asciiTheme="majorAscii" w:hAnsiTheme="majorAscii" w:eastAsiaTheme="majorAscii" w:cstheme="majorAscii"/>
          <w:b w:val="1"/>
          <w:bCs w:val="1"/>
          <w:noProof w:val="0"/>
          <w:sz w:val="22"/>
          <w:szCs w:val="22"/>
          <w:lang w:val="en-US"/>
        </w:rPr>
        <w:t>2.1%</w:t>
      </w:r>
      <w:r w:rsidRPr="4626305C" w:rsidR="3DB21C5B">
        <w:rPr>
          <w:rFonts w:ascii="Calibri" w:hAnsi="Calibri" w:eastAsia="Calibri" w:cs="Calibri" w:asciiTheme="majorAscii" w:hAnsiTheme="majorAscii" w:eastAsiaTheme="majorAscii" w:cstheme="majorAscii"/>
          <w:noProof w:val="0"/>
          <w:sz w:val="22"/>
          <w:szCs w:val="22"/>
          <w:lang w:val="en-US"/>
        </w:rPr>
        <w:t>. While many stocks achieve moderate returns, a smaller group of companies produces significantly higher gains. This dispersion in performance highlights the importance of systematic stock selection when constructing a portfolio.</w:t>
      </w:r>
    </w:p>
    <w:p w:rsidR="3DB21C5B" w:rsidP="4626305C" w:rsidRDefault="3DB21C5B" w14:paraId="4737A58C" w14:textId="52EE30CF">
      <w:pPr>
        <w:spacing w:before="240" w:beforeAutospacing="off" w:after="240" w:afterAutospacing="off"/>
        <w:jc w:val="both"/>
        <w:rPr>
          <w:rFonts w:ascii="Calibri" w:hAnsi="Calibri" w:eastAsia="Calibri" w:cs="Calibri" w:asciiTheme="majorAscii" w:hAnsiTheme="majorAscii" w:eastAsiaTheme="majorAscii" w:cstheme="majorAscii"/>
          <w:noProof w:val="0"/>
          <w:sz w:val="22"/>
          <w:szCs w:val="22"/>
          <w:lang w:val="en-US"/>
        </w:rPr>
      </w:pPr>
      <w:r w:rsidRPr="4626305C" w:rsidR="3DB21C5B">
        <w:rPr>
          <w:rFonts w:ascii="Calibri" w:hAnsi="Calibri" w:eastAsia="Calibri" w:cs="Calibri" w:asciiTheme="majorAscii" w:hAnsiTheme="majorAscii" w:eastAsiaTheme="majorAscii" w:cstheme="majorAscii"/>
          <w:noProof w:val="0"/>
          <w:sz w:val="22"/>
          <w:szCs w:val="22"/>
          <w:lang w:val="en-US"/>
        </w:rPr>
        <w:t xml:space="preserve">The sector analysis reveals strong differences in performance across industries. </w:t>
      </w:r>
      <w:bookmarkStart w:name="_Int_GusHEiqH" w:id="816275183"/>
      <w:r w:rsidRPr="4626305C" w:rsidR="3DB21C5B">
        <w:rPr>
          <w:rFonts w:ascii="Calibri" w:hAnsi="Calibri" w:eastAsia="Calibri" w:cs="Calibri" w:asciiTheme="majorAscii" w:hAnsiTheme="majorAscii" w:eastAsiaTheme="majorAscii" w:cstheme="majorAscii"/>
          <w:noProof w:val="0"/>
          <w:sz w:val="22"/>
          <w:szCs w:val="22"/>
          <w:lang w:val="en-US"/>
        </w:rPr>
        <w:t xml:space="preserve">In particular, </w:t>
      </w:r>
      <w:r w:rsidRPr="4626305C" w:rsidR="3DB21C5B">
        <w:rPr>
          <w:rFonts w:ascii="Calibri" w:hAnsi="Calibri" w:eastAsia="Calibri" w:cs="Calibri" w:asciiTheme="majorAscii" w:hAnsiTheme="majorAscii" w:eastAsiaTheme="majorAscii" w:cstheme="majorAscii"/>
          <w:b w:val="1"/>
          <w:bCs w:val="1"/>
          <w:noProof w:val="0"/>
          <w:sz w:val="22"/>
          <w:szCs w:val="22"/>
          <w:lang w:val="en-US"/>
        </w:rPr>
        <w:t>mobility</w:t>
      </w:r>
      <w:bookmarkEnd w:id="816275183"/>
      <w:r w:rsidRPr="4626305C" w:rsidR="3DB21C5B">
        <w:rPr>
          <w:rFonts w:ascii="Calibri" w:hAnsi="Calibri" w:eastAsia="Calibri" w:cs="Calibri" w:asciiTheme="majorAscii" w:hAnsiTheme="majorAscii" w:eastAsiaTheme="majorAscii" w:cstheme="majorAscii"/>
          <w:b w:val="1"/>
          <w:bCs w:val="1"/>
          <w:noProof w:val="0"/>
          <w:sz w:val="22"/>
          <w:szCs w:val="22"/>
          <w:lang w:val="en-US"/>
        </w:rPr>
        <w:t xml:space="preserve">, </w:t>
      </w:r>
      <w:bookmarkStart w:name="_Int_L0zieTWg" w:id="1202316198"/>
      <w:r w:rsidRPr="4626305C" w:rsidR="3DB21C5B">
        <w:rPr>
          <w:rFonts w:ascii="Calibri" w:hAnsi="Calibri" w:eastAsia="Calibri" w:cs="Calibri" w:asciiTheme="majorAscii" w:hAnsiTheme="majorAscii" w:eastAsiaTheme="majorAscii" w:cstheme="majorAscii"/>
          <w:b w:val="1"/>
          <w:bCs w:val="1"/>
          <w:noProof w:val="0"/>
          <w:sz w:val="22"/>
          <w:szCs w:val="22"/>
          <w:lang w:val="en-US"/>
        </w:rPr>
        <w:t>AI</w:t>
      </w:r>
      <w:bookmarkEnd w:id="1202316198"/>
      <w:r w:rsidRPr="4626305C" w:rsidR="3DB21C5B">
        <w:rPr>
          <w:rFonts w:ascii="Calibri" w:hAnsi="Calibri" w:eastAsia="Calibri" w:cs="Calibri" w:asciiTheme="majorAscii" w:hAnsiTheme="majorAscii" w:eastAsiaTheme="majorAscii" w:cstheme="majorAscii"/>
          <w:b w:val="1"/>
          <w:bCs w:val="1"/>
          <w:noProof w:val="0"/>
          <w:sz w:val="22"/>
          <w:szCs w:val="22"/>
          <w:lang w:val="en-US"/>
        </w:rPr>
        <w:t xml:space="preserve"> and education</w:t>
      </w:r>
      <w:r w:rsidRPr="4626305C" w:rsidR="3DB21C5B">
        <w:rPr>
          <w:rFonts w:ascii="Calibri" w:hAnsi="Calibri" w:eastAsia="Calibri" w:cs="Calibri" w:asciiTheme="majorAscii" w:hAnsiTheme="majorAscii" w:eastAsiaTheme="majorAscii" w:cstheme="majorAscii"/>
          <w:noProof w:val="0"/>
          <w:sz w:val="22"/>
          <w:szCs w:val="22"/>
          <w:lang w:val="en-US"/>
        </w:rPr>
        <w:t xml:space="preserve"> </w:t>
      </w:r>
      <w:r w:rsidRPr="4626305C" w:rsidR="3DB21C5B">
        <w:rPr>
          <w:rFonts w:ascii="Calibri" w:hAnsi="Calibri" w:eastAsia="Calibri" w:cs="Calibri" w:asciiTheme="majorAscii" w:hAnsiTheme="majorAscii" w:eastAsiaTheme="majorAscii" w:cstheme="majorAscii"/>
          <w:noProof w:val="0"/>
          <w:sz w:val="22"/>
          <w:szCs w:val="22"/>
          <w:lang w:val="en-US"/>
        </w:rPr>
        <w:t>emerge</w:t>
      </w:r>
      <w:r w:rsidRPr="4626305C" w:rsidR="3DB21C5B">
        <w:rPr>
          <w:rFonts w:ascii="Calibri" w:hAnsi="Calibri" w:eastAsia="Calibri" w:cs="Calibri" w:asciiTheme="majorAscii" w:hAnsiTheme="majorAscii" w:eastAsiaTheme="majorAscii" w:cstheme="majorAscii"/>
          <w:noProof w:val="0"/>
          <w:sz w:val="22"/>
          <w:szCs w:val="22"/>
          <w:lang w:val="en-US"/>
        </w:rPr>
        <w:t xml:space="preserve"> as the best performing sectors, with average returns of </w:t>
      </w:r>
      <w:r w:rsidRPr="4626305C" w:rsidR="3DB21C5B">
        <w:rPr>
          <w:rFonts w:ascii="Calibri" w:hAnsi="Calibri" w:eastAsia="Calibri" w:cs="Calibri" w:asciiTheme="majorAscii" w:hAnsiTheme="majorAscii" w:eastAsiaTheme="majorAscii" w:cstheme="majorAscii"/>
          <w:noProof w:val="0"/>
          <w:sz w:val="22"/>
          <w:szCs w:val="22"/>
          <w:lang w:val="en-US"/>
        </w:rPr>
        <w:t xml:space="preserve">roughly </w:t>
      </w:r>
      <w:r w:rsidRPr="4626305C" w:rsidR="3DB21C5B">
        <w:rPr>
          <w:rFonts w:ascii="Calibri" w:hAnsi="Calibri" w:eastAsia="Calibri" w:cs="Calibri" w:asciiTheme="majorAscii" w:hAnsiTheme="majorAscii" w:eastAsiaTheme="majorAscii" w:cstheme="majorAscii"/>
          <w:b w:val="1"/>
          <w:bCs w:val="1"/>
          <w:noProof w:val="0"/>
          <w:sz w:val="22"/>
          <w:szCs w:val="22"/>
          <w:lang w:val="en-US"/>
        </w:rPr>
        <w:t>34%</w:t>
      </w:r>
      <w:r w:rsidRPr="4626305C" w:rsidR="3DB21C5B">
        <w:rPr>
          <w:rFonts w:ascii="Calibri" w:hAnsi="Calibri" w:eastAsia="Calibri" w:cs="Calibri" w:asciiTheme="majorAscii" w:hAnsiTheme="majorAscii" w:eastAsiaTheme="majorAscii" w:cstheme="majorAscii"/>
          <w:b w:val="1"/>
          <w:bCs w:val="1"/>
          <w:noProof w:val="0"/>
          <w:sz w:val="22"/>
          <w:szCs w:val="22"/>
          <w:lang w:val="en-US"/>
        </w:rPr>
        <w:t>, 28%</w:t>
      </w:r>
      <w:bookmarkStart w:name="_Int_dG5w3WD0" w:id="1957952006"/>
      <w:r w:rsidRPr="4626305C" w:rsidR="3DB21C5B">
        <w:rPr>
          <w:rFonts w:ascii="Calibri" w:hAnsi="Calibri" w:eastAsia="Calibri" w:cs="Calibri" w:asciiTheme="majorAscii" w:hAnsiTheme="majorAscii" w:eastAsiaTheme="majorAscii" w:cstheme="majorAscii"/>
          <w:b w:val="1"/>
          <w:bCs w:val="1"/>
          <w:noProof w:val="0"/>
          <w:sz w:val="22"/>
          <w:szCs w:val="22"/>
          <w:lang w:val="en-US"/>
        </w:rPr>
        <w:t xml:space="preserve"> and</w:t>
      </w:r>
      <w:bookmarkEnd w:id="1957952006"/>
      <w:r w:rsidRPr="4626305C" w:rsidR="3DB21C5B">
        <w:rPr>
          <w:rFonts w:ascii="Calibri" w:hAnsi="Calibri" w:eastAsia="Calibri" w:cs="Calibri" w:asciiTheme="majorAscii" w:hAnsiTheme="majorAscii" w:eastAsiaTheme="majorAscii" w:cstheme="majorAscii"/>
          <w:b w:val="1"/>
          <w:bCs w:val="1"/>
          <w:noProof w:val="0"/>
          <w:sz w:val="22"/>
          <w:szCs w:val="22"/>
          <w:lang w:val="en-US"/>
        </w:rPr>
        <w:t xml:space="preserve"> 18%</w:t>
      </w:r>
      <w:r w:rsidRPr="4626305C" w:rsidR="3DB21C5B">
        <w:rPr>
          <w:rFonts w:ascii="Calibri" w:hAnsi="Calibri" w:eastAsia="Calibri" w:cs="Calibri" w:asciiTheme="majorAscii" w:hAnsiTheme="majorAscii" w:eastAsiaTheme="majorAscii" w:cstheme="majorAscii"/>
          <w:noProof w:val="0"/>
          <w:sz w:val="22"/>
          <w:szCs w:val="22"/>
          <w:lang w:val="en-US"/>
        </w:rPr>
        <w:t xml:space="preserve">, respectively. In contrast, sectors such as </w:t>
      </w:r>
      <w:r w:rsidRPr="4626305C" w:rsidR="3DB21C5B">
        <w:rPr>
          <w:rFonts w:ascii="Calibri" w:hAnsi="Calibri" w:eastAsia="Calibri" w:cs="Calibri" w:asciiTheme="majorAscii" w:hAnsiTheme="majorAscii" w:eastAsiaTheme="majorAscii" w:cstheme="majorAscii"/>
          <w:b w:val="1"/>
          <w:bCs w:val="1"/>
          <w:noProof w:val="0"/>
          <w:sz w:val="22"/>
          <w:szCs w:val="22"/>
          <w:lang w:val="en-US"/>
        </w:rPr>
        <w:t xml:space="preserve">insurance, </w:t>
      </w:r>
      <w:bookmarkStart w:name="_Int_BOfijdMu" w:id="406956250"/>
      <w:r w:rsidRPr="4626305C" w:rsidR="3DB21C5B">
        <w:rPr>
          <w:rFonts w:ascii="Calibri" w:hAnsi="Calibri" w:eastAsia="Calibri" w:cs="Calibri" w:asciiTheme="majorAscii" w:hAnsiTheme="majorAscii" w:eastAsiaTheme="majorAscii" w:cstheme="majorAscii"/>
          <w:b w:val="1"/>
          <w:bCs w:val="1"/>
          <w:noProof w:val="0"/>
          <w:sz w:val="22"/>
          <w:szCs w:val="22"/>
          <w:lang w:val="en-US"/>
        </w:rPr>
        <w:t>engineering</w:t>
      </w:r>
      <w:bookmarkEnd w:id="406956250"/>
      <w:r w:rsidRPr="4626305C" w:rsidR="3DB21C5B">
        <w:rPr>
          <w:rFonts w:ascii="Calibri" w:hAnsi="Calibri" w:eastAsia="Calibri" w:cs="Calibri" w:asciiTheme="majorAscii" w:hAnsiTheme="majorAscii" w:eastAsiaTheme="majorAscii" w:cstheme="majorAscii"/>
          <w:b w:val="1"/>
          <w:bCs w:val="1"/>
          <w:noProof w:val="0"/>
          <w:sz w:val="22"/>
          <w:szCs w:val="22"/>
          <w:lang w:val="en-US"/>
        </w:rPr>
        <w:t xml:space="preserve"> and materials</w:t>
      </w:r>
      <w:r w:rsidRPr="4626305C" w:rsidR="3DB21C5B">
        <w:rPr>
          <w:rFonts w:ascii="Calibri" w:hAnsi="Calibri" w:eastAsia="Calibri" w:cs="Calibri" w:asciiTheme="majorAscii" w:hAnsiTheme="majorAscii" w:eastAsiaTheme="majorAscii" w:cstheme="majorAscii"/>
          <w:noProof w:val="0"/>
          <w:sz w:val="22"/>
          <w:szCs w:val="22"/>
          <w:lang w:val="en-US"/>
        </w:rPr>
        <w:t xml:space="preserve"> show negative average returns, </w:t>
      </w:r>
      <w:r w:rsidRPr="4626305C" w:rsidR="3DB21C5B">
        <w:rPr>
          <w:rFonts w:ascii="Calibri" w:hAnsi="Calibri" w:eastAsia="Calibri" w:cs="Calibri" w:asciiTheme="majorAscii" w:hAnsiTheme="majorAscii" w:eastAsiaTheme="majorAscii" w:cstheme="majorAscii"/>
          <w:noProof w:val="0"/>
          <w:sz w:val="22"/>
          <w:szCs w:val="22"/>
          <w:lang w:val="en-US"/>
        </w:rPr>
        <w:t>indicating</w:t>
      </w:r>
      <w:r w:rsidRPr="4626305C" w:rsidR="3DB21C5B">
        <w:rPr>
          <w:rFonts w:ascii="Calibri" w:hAnsi="Calibri" w:eastAsia="Calibri" w:cs="Calibri" w:asciiTheme="majorAscii" w:hAnsiTheme="majorAscii" w:eastAsiaTheme="majorAscii" w:cstheme="majorAscii"/>
          <w:noProof w:val="0"/>
          <w:sz w:val="22"/>
          <w:szCs w:val="22"/>
          <w:lang w:val="en-US"/>
        </w:rPr>
        <w:t xml:space="preserve"> weaker overall performance. These differences provide the basis for the sector classification used in the portfolio allocation strategy.</w:t>
      </w:r>
    </w:p>
    <w:p w:rsidR="3DB21C5B" w:rsidP="4626305C" w:rsidRDefault="3DB21C5B" w14:paraId="7AA15798" w14:textId="494C5D6F">
      <w:pPr>
        <w:spacing w:before="240" w:beforeAutospacing="off" w:after="240" w:afterAutospacing="off"/>
        <w:jc w:val="both"/>
        <w:rPr>
          <w:rFonts w:ascii="Calibri" w:hAnsi="Calibri" w:eastAsia="Calibri" w:cs="Calibri" w:asciiTheme="majorAscii" w:hAnsiTheme="majorAscii" w:eastAsiaTheme="majorAscii" w:cstheme="majorAscii"/>
          <w:noProof w:val="0"/>
          <w:sz w:val="22"/>
          <w:szCs w:val="22"/>
          <w:lang w:val="en-US"/>
        </w:rPr>
      </w:pPr>
      <w:r w:rsidRPr="4626305C" w:rsidR="3DB21C5B">
        <w:rPr>
          <w:rFonts w:ascii="Calibri" w:hAnsi="Calibri" w:eastAsia="Calibri" w:cs="Calibri" w:asciiTheme="majorAscii" w:hAnsiTheme="majorAscii" w:eastAsiaTheme="majorAscii" w:cstheme="majorAscii"/>
          <w:noProof w:val="0"/>
          <w:sz w:val="22"/>
          <w:szCs w:val="22"/>
          <w:lang w:val="en-US"/>
        </w:rPr>
        <w:t xml:space="preserve">The optimization model </w:t>
      </w:r>
      <w:r w:rsidRPr="4626305C" w:rsidR="3DB21C5B">
        <w:rPr>
          <w:rFonts w:ascii="Calibri" w:hAnsi="Calibri" w:eastAsia="Calibri" w:cs="Calibri" w:asciiTheme="majorAscii" w:hAnsiTheme="majorAscii" w:eastAsiaTheme="majorAscii" w:cstheme="majorAscii"/>
          <w:noProof w:val="0"/>
          <w:sz w:val="22"/>
          <w:szCs w:val="22"/>
          <w:lang w:val="en-US"/>
        </w:rPr>
        <w:t>allocates</w:t>
      </w:r>
      <w:r w:rsidRPr="4626305C" w:rsidR="3DB21C5B">
        <w:rPr>
          <w:rFonts w:ascii="Calibri" w:hAnsi="Calibri" w:eastAsia="Calibri" w:cs="Calibri" w:asciiTheme="majorAscii" w:hAnsiTheme="majorAscii" w:eastAsiaTheme="majorAscii" w:cstheme="majorAscii"/>
          <w:noProof w:val="0"/>
          <w:sz w:val="22"/>
          <w:szCs w:val="22"/>
          <w:lang w:val="en-US"/>
        </w:rPr>
        <w:t xml:space="preserve"> capital primarily to sectors with stronger performance while respecting the diversification constraint of </w:t>
      </w:r>
      <w:r w:rsidRPr="4626305C" w:rsidR="3DB21C5B">
        <w:rPr>
          <w:rFonts w:ascii="Calibri" w:hAnsi="Calibri" w:eastAsia="Calibri" w:cs="Calibri" w:asciiTheme="majorAscii" w:hAnsiTheme="majorAscii" w:eastAsiaTheme="majorAscii" w:cstheme="majorAscii"/>
          <w:b w:val="1"/>
          <w:bCs w:val="1"/>
          <w:noProof w:val="0"/>
          <w:sz w:val="22"/>
          <w:szCs w:val="22"/>
          <w:lang w:val="en-US"/>
        </w:rPr>
        <w:t>5% per stock</w:t>
      </w:r>
      <w:r w:rsidRPr="4626305C" w:rsidR="3DB21C5B">
        <w:rPr>
          <w:rFonts w:ascii="Calibri" w:hAnsi="Calibri" w:eastAsia="Calibri" w:cs="Calibri" w:asciiTheme="majorAscii" w:hAnsiTheme="majorAscii" w:eastAsiaTheme="majorAscii" w:cstheme="majorAscii"/>
          <w:noProof w:val="0"/>
          <w:sz w:val="22"/>
          <w:szCs w:val="22"/>
          <w:lang w:val="en-US"/>
        </w:rPr>
        <w:t xml:space="preserve">. As a result, the portfolio concentrates investments in sectors such as </w:t>
      </w:r>
      <w:r w:rsidRPr="4626305C" w:rsidR="3DB21C5B">
        <w:rPr>
          <w:rFonts w:ascii="Calibri" w:hAnsi="Calibri" w:eastAsia="Calibri" w:cs="Calibri" w:asciiTheme="majorAscii" w:hAnsiTheme="majorAscii" w:eastAsiaTheme="majorAscii" w:cstheme="majorAscii"/>
          <w:b w:val="1"/>
          <w:bCs w:val="1"/>
          <w:noProof w:val="0"/>
          <w:sz w:val="22"/>
          <w:szCs w:val="22"/>
          <w:lang w:val="en-US"/>
        </w:rPr>
        <w:t>healthcare (15%)</w:t>
      </w:r>
      <w:r w:rsidRPr="4626305C" w:rsidR="3DB21C5B">
        <w:rPr>
          <w:rFonts w:ascii="Calibri" w:hAnsi="Calibri" w:eastAsia="Calibri" w:cs="Calibri" w:asciiTheme="majorAscii" w:hAnsiTheme="majorAscii" w:eastAsiaTheme="majorAscii" w:cstheme="majorAscii"/>
          <w:noProof w:val="0"/>
          <w:sz w:val="22"/>
          <w:szCs w:val="22"/>
          <w:lang w:val="en-US"/>
        </w:rPr>
        <w:t xml:space="preserve">, </w:t>
      </w:r>
      <w:r w:rsidRPr="4626305C" w:rsidR="3DB21C5B">
        <w:rPr>
          <w:rFonts w:ascii="Calibri" w:hAnsi="Calibri" w:eastAsia="Calibri" w:cs="Calibri" w:asciiTheme="majorAscii" w:hAnsiTheme="majorAscii" w:eastAsiaTheme="majorAscii" w:cstheme="majorAscii"/>
          <w:b w:val="1"/>
          <w:bCs w:val="1"/>
          <w:noProof w:val="0"/>
          <w:sz w:val="22"/>
          <w:szCs w:val="22"/>
          <w:lang w:val="en-US"/>
        </w:rPr>
        <w:t xml:space="preserve">AI, mobility, </w:t>
      </w:r>
      <w:bookmarkStart w:name="_Int_gOMZIB6t" w:id="1405229463"/>
      <w:r w:rsidRPr="4626305C" w:rsidR="3DB21C5B">
        <w:rPr>
          <w:rFonts w:ascii="Calibri" w:hAnsi="Calibri" w:eastAsia="Calibri" w:cs="Calibri" w:asciiTheme="majorAscii" w:hAnsiTheme="majorAscii" w:eastAsiaTheme="majorAscii" w:cstheme="majorAscii"/>
          <w:b w:val="1"/>
          <w:bCs w:val="1"/>
          <w:noProof w:val="0"/>
          <w:sz w:val="22"/>
          <w:szCs w:val="22"/>
          <w:lang w:val="en-US"/>
        </w:rPr>
        <w:t>education</w:t>
      </w:r>
      <w:bookmarkEnd w:id="1405229463"/>
      <w:r w:rsidRPr="4626305C" w:rsidR="3DB21C5B">
        <w:rPr>
          <w:rFonts w:ascii="Calibri" w:hAnsi="Calibri" w:eastAsia="Calibri" w:cs="Calibri" w:asciiTheme="majorAscii" w:hAnsiTheme="majorAscii" w:eastAsiaTheme="majorAscii" w:cstheme="majorAscii"/>
          <w:b w:val="1"/>
          <w:bCs w:val="1"/>
          <w:noProof w:val="0"/>
          <w:sz w:val="22"/>
          <w:szCs w:val="22"/>
          <w:lang w:val="en-US"/>
        </w:rPr>
        <w:t xml:space="preserve"> and </w:t>
      </w:r>
      <w:r w:rsidRPr="4626305C" w:rsidR="3DB21C5B">
        <w:rPr>
          <w:rFonts w:ascii="Calibri" w:hAnsi="Calibri" w:eastAsia="Calibri" w:cs="Calibri" w:asciiTheme="majorAscii" w:hAnsiTheme="majorAscii" w:eastAsiaTheme="majorAscii" w:cstheme="majorAscii"/>
          <w:b w:val="1"/>
          <w:bCs w:val="1"/>
          <w:noProof w:val="0"/>
          <w:sz w:val="22"/>
          <w:szCs w:val="22"/>
          <w:lang w:val="en-US"/>
        </w:rPr>
        <w:t>logistics</w:t>
      </w:r>
      <w:r w:rsidRPr="4626305C" w:rsidR="3DB21C5B">
        <w:rPr>
          <w:rFonts w:ascii="Calibri" w:hAnsi="Calibri" w:eastAsia="Calibri" w:cs="Calibri" w:asciiTheme="majorAscii" w:hAnsiTheme="majorAscii" w:eastAsiaTheme="majorAscii" w:cstheme="majorAscii"/>
          <w:b w:val="1"/>
          <w:bCs w:val="1"/>
          <w:noProof w:val="0"/>
          <w:sz w:val="22"/>
          <w:szCs w:val="22"/>
          <w:lang w:val="en-US"/>
        </w:rPr>
        <w:t xml:space="preserve"> (around 10% each)</w:t>
      </w:r>
      <w:r w:rsidRPr="4626305C" w:rsidR="3DB21C5B">
        <w:rPr>
          <w:rFonts w:ascii="Calibri" w:hAnsi="Calibri" w:eastAsia="Calibri" w:cs="Calibri" w:asciiTheme="majorAscii" w:hAnsiTheme="majorAscii" w:eastAsiaTheme="majorAscii" w:cstheme="majorAscii"/>
          <w:noProof w:val="0"/>
          <w:sz w:val="22"/>
          <w:szCs w:val="22"/>
          <w:lang w:val="en-US"/>
        </w:rPr>
        <w:t xml:space="preserve">. At the same time, smaller allocations are distributed across </w:t>
      </w:r>
      <w:r w:rsidRPr="4626305C" w:rsidR="3DB21C5B">
        <w:rPr>
          <w:rFonts w:ascii="Calibri" w:hAnsi="Calibri" w:eastAsia="Calibri" w:cs="Calibri" w:asciiTheme="majorAscii" w:hAnsiTheme="majorAscii" w:eastAsiaTheme="majorAscii" w:cstheme="majorAscii"/>
          <w:noProof w:val="0"/>
          <w:sz w:val="22"/>
          <w:szCs w:val="22"/>
          <w:lang w:val="en-US"/>
        </w:rPr>
        <w:t>additional</w:t>
      </w:r>
      <w:r w:rsidRPr="4626305C" w:rsidR="3DB21C5B">
        <w:rPr>
          <w:rFonts w:ascii="Calibri" w:hAnsi="Calibri" w:eastAsia="Calibri" w:cs="Calibri" w:asciiTheme="majorAscii" w:hAnsiTheme="majorAscii" w:eastAsiaTheme="majorAscii" w:cstheme="majorAscii"/>
          <w:noProof w:val="0"/>
          <w:sz w:val="22"/>
          <w:szCs w:val="22"/>
          <w:lang w:val="en-US"/>
        </w:rPr>
        <w:t xml:space="preserve"> sectors to </w:t>
      </w:r>
      <w:r w:rsidRPr="4626305C" w:rsidR="3DB21C5B">
        <w:rPr>
          <w:rFonts w:ascii="Calibri" w:hAnsi="Calibri" w:eastAsia="Calibri" w:cs="Calibri" w:asciiTheme="majorAscii" w:hAnsiTheme="majorAscii" w:eastAsiaTheme="majorAscii" w:cstheme="majorAscii"/>
          <w:noProof w:val="0"/>
          <w:sz w:val="22"/>
          <w:szCs w:val="22"/>
          <w:lang w:val="en-US"/>
        </w:rPr>
        <w:t>maintain</w:t>
      </w:r>
      <w:r w:rsidRPr="4626305C" w:rsidR="3DB21C5B">
        <w:rPr>
          <w:rFonts w:ascii="Calibri" w:hAnsi="Calibri" w:eastAsia="Calibri" w:cs="Calibri" w:asciiTheme="majorAscii" w:hAnsiTheme="majorAscii" w:eastAsiaTheme="majorAscii" w:cstheme="majorAscii"/>
          <w:noProof w:val="0"/>
          <w:sz w:val="22"/>
          <w:szCs w:val="22"/>
          <w:lang w:val="en-US"/>
        </w:rPr>
        <w:t xml:space="preserve"> diversification.</w:t>
      </w:r>
    </w:p>
    <w:p w:rsidR="3DB21C5B" w:rsidP="4626305C" w:rsidRDefault="3DB21C5B" w14:paraId="071F8CD1" w14:textId="02B7B967">
      <w:pPr>
        <w:spacing w:before="240" w:beforeAutospacing="off" w:after="240" w:afterAutospacing="off"/>
        <w:jc w:val="both"/>
        <w:rPr>
          <w:rFonts w:ascii="Calibri" w:hAnsi="Calibri" w:eastAsia="Calibri" w:cs="Calibri" w:asciiTheme="majorAscii" w:hAnsiTheme="majorAscii" w:eastAsiaTheme="majorAscii" w:cstheme="majorAscii"/>
          <w:noProof w:val="0"/>
          <w:sz w:val="22"/>
          <w:szCs w:val="22"/>
          <w:lang w:val="en-US"/>
        </w:rPr>
      </w:pPr>
      <w:r w:rsidRPr="4626305C" w:rsidR="3DB21C5B">
        <w:rPr>
          <w:rFonts w:ascii="Calibri" w:hAnsi="Calibri" w:eastAsia="Calibri" w:cs="Calibri" w:asciiTheme="majorAscii" w:hAnsiTheme="majorAscii" w:eastAsiaTheme="majorAscii" w:cstheme="majorAscii"/>
          <w:noProof w:val="0"/>
          <w:sz w:val="22"/>
          <w:szCs w:val="22"/>
          <w:lang w:val="en-US"/>
        </w:rPr>
        <w:t xml:space="preserve">The analysis of stock contributions shows that portfolio performance is </w:t>
      </w:r>
      <w:r w:rsidRPr="4626305C" w:rsidR="3DB21C5B">
        <w:rPr>
          <w:rFonts w:ascii="Calibri" w:hAnsi="Calibri" w:eastAsia="Calibri" w:cs="Calibri" w:asciiTheme="majorAscii" w:hAnsiTheme="majorAscii" w:eastAsiaTheme="majorAscii" w:cstheme="majorAscii"/>
          <w:noProof w:val="0"/>
          <w:sz w:val="22"/>
          <w:szCs w:val="22"/>
          <w:lang w:val="en-US"/>
        </w:rPr>
        <w:t>mainly driven</w:t>
      </w:r>
      <w:r w:rsidRPr="4626305C" w:rsidR="3DB21C5B">
        <w:rPr>
          <w:rFonts w:ascii="Calibri" w:hAnsi="Calibri" w:eastAsia="Calibri" w:cs="Calibri" w:asciiTheme="majorAscii" w:hAnsiTheme="majorAscii" w:eastAsiaTheme="majorAscii" w:cstheme="majorAscii"/>
          <w:noProof w:val="0"/>
          <w:sz w:val="22"/>
          <w:szCs w:val="22"/>
          <w:lang w:val="en-US"/>
        </w:rPr>
        <w:t xml:space="preserve"> by a limited number of high-return stocks, which together account for a large share of the expected portfolio return. This confirms that the optimization model successfully prioritizes the most promising investment opportunities while respecting the imposed constraints.</w:t>
      </w:r>
    </w:p>
    <w:p w:rsidR="3DB21C5B" w:rsidP="4626305C" w:rsidRDefault="3DB21C5B" w14:paraId="35F26645" w14:textId="62723014">
      <w:pPr>
        <w:spacing w:before="240" w:beforeAutospacing="off" w:after="240" w:afterAutospacing="off"/>
        <w:jc w:val="both"/>
        <w:rPr>
          <w:rFonts w:ascii="Calibri" w:hAnsi="Calibri" w:eastAsia="Calibri" w:cs="Calibri" w:asciiTheme="majorAscii" w:hAnsiTheme="majorAscii" w:eastAsiaTheme="majorAscii" w:cstheme="majorAscii"/>
          <w:noProof w:val="0"/>
          <w:sz w:val="22"/>
          <w:szCs w:val="22"/>
          <w:lang w:val="en-US"/>
        </w:rPr>
      </w:pPr>
      <w:r w:rsidRPr="4626305C" w:rsidR="3DB21C5B">
        <w:rPr>
          <w:rFonts w:ascii="Calibri" w:hAnsi="Calibri" w:eastAsia="Calibri" w:cs="Calibri" w:asciiTheme="majorAscii" w:hAnsiTheme="majorAscii" w:eastAsiaTheme="majorAscii" w:cstheme="majorAscii"/>
          <w:noProof w:val="0"/>
          <w:sz w:val="22"/>
          <w:szCs w:val="22"/>
          <w:lang w:val="en-US"/>
        </w:rPr>
        <w:t xml:space="preserve">Finally, the sensitivity analysis </w:t>
      </w:r>
      <w:r w:rsidRPr="4626305C" w:rsidR="3DB21C5B">
        <w:rPr>
          <w:rFonts w:ascii="Calibri" w:hAnsi="Calibri" w:eastAsia="Calibri" w:cs="Calibri" w:asciiTheme="majorAscii" w:hAnsiTheme="majorAscii" w:eastAsiaTheme="majorAscii" w:cstheme="majorAscii"/>
          <w:noProof w:val="0"/>
          <w:sz w:val="22"/>
          <w:szCs w:val="22"/>
          <w:lang w:val="en-US"/>
        </w:rPr>
        <w:t>demonstrates</w:t>
      </w:r>
      <w:r w:rsidRPr="4626305C" w:rsidR="3DB21C5B">
        <w:rPr>
          <w:rFonts w:ascii="Calibri" w:hAnsi="Calibri" w:eastAsia="Calibri" w:cs="Calibri" w:asciiTheme="majorAscii" w:hAnsiTheme="majorAscii" w:eastAsiaTheme="majorAscii" w:cstheme="majorAscii"/>
          <w:noProof w:val="0"/>
          <w:sz w:val="22"/>
          <w:szCs w:val="22"/>
          <w:lang w:val="en-US"/>
        </w:rPr>
        <w:t xml:space="preserve"> that portfolio performance is strongly influenced by the concentration limit. When the maximum investment per stock increases from </w:t>
      </w:r>
      <w:r w:rsidRPr="4626305C" w:rsidR="3DB21C5B">
        <w:rPr>
          <w:rFonts w:ascii="Calibri" w:hAnsi="Calibri" w:eastAsia="Calibri" w:cs="Calibri" w:asciiTheme="majorAscii" w:hAnsiTheme="majorAscii" w:eastAsiaTheme="majorAscii" w:cstheme="majorAscii"/>
          <w:b w:val="1"/>
          <w:bCs w:val="1"/>
          <w:noProof w:val="0"/>
          <w:sz w:val="22"/>
          <w:szCs w:val="22"/>
          <w:lang w:val="en-US"/>
        </w:rPr>
        <w:t>5% to 10% and 20%</w:t>
      </w:r>
      <w:r w:rsidRPr="4626305C" w:rsidR="3DB21C5B">
        <w:rPr>
          <w:rFonts w:ascii="Calibri" w:hAnsi="Calibri" w:eastAsia="Calibri" w:cs="Calibri" w:asciiTheme="majorAscii" w:hAnsiTheme="majorAscii" w:eastAsiaTheme="majorAscii" w:cstheme="majorAscii"/>
          <w:noProof w:val="0"/>
          <w:sz w:val="22"/>
          <w:szCs w:val="22"/>
          <w:lang w:val="en-US"/>
        </w:rPr>
        <w:t xml:space="preserve">, the expected portfolio </w:t>
      </w:r>
      <w:r w:rsidRPr="4626305C" w:rsidR="3DB21C5B">
        <w:rPr>
          <w:rFonts w:ascii="Calibri" w:hAnsi="Calibri" w:eastAsia="Calibri" w:cs="Calibri" w:asciiTheme="majorAscii" w:hAnsiTheme="majorAscii" w:eastAsiaTheme="majorAscii" w:cstheme="majorAscii"/>
          <w:noProof w:val="0"/>
          <w:sz w:val="22"/>
          <w:szCs w:val="22"/>
          <w:lang w:val="en-US"/>
        </w:rPr>
        <w:t>return</w:t>
      </w:r>
      <w:r w:rsidRPr="4626305C" w:rsidR="3DB21C5B">
        <w:rPr>
          <w:rFonts w:ascii="Calibri" w:hAnsi="Calibri" w:eastAsia="Calibri" w:cs="Calibri" w:asciiTheme="majorAscii" w:hAnsiTheme="majorAscii" w:eastAsiaTheme="majorAscii" w:cstheme="majorAscii"/>
          <w:noProof w:val="0"/>
          <w:sz w:val="22"/>
          <w:szCs w:val="22"/>
          <w:lang w:val="en-US"/>
        </w:rPr>
        <w:t xml:space="preserve"> rises from </w:t>
      </w:r>
      <w:r w:rsidRPr="4626305C" w:rsidR="3DB21C5B">
        <w:rPr>
          <w:rFonts w:ascii="Calibri" w:hAnsi="Calibri" w:eastAsia="Calibri" w:cs="Calibri" w:asciiTheme="majorAscii" w:hAnsiTheme="majorAscii" w:eastAsiaTheme="majorAscii" w:cstheme="majorAscii"/>
          <w:noProof w:val="0"/>
          <w:sz w:val="22"/>
          <w:szCs w:val="22"/>
          <w:lang w:val="en-US"/>
        </w:rPr>
        <w:t xml:space="preserve">approximately </w:t>
      </w:r>
      <w:r w:rsidRPr="4626305C" w:rsidR="3DB21C5B">
        <w:rPr>
          <w:rFonts w:ascii="Calibri" w:hAnsi="Calibri" w:eastAsia="Calibri" w:cs="Calibri" w:asciiTheme="majorAscii" w:hAnsiTheme="majorAscii" w:eastAsiaTheme="majorAscii" w:cstheme="majorAscii"/>
          <w:b w:val="1"/>
          <w:bCs w:val="1"/>
          <w:noProof w:val="0"/>
          <w:sz w:val="22"/>
          <w:szCs w:val="22"/>
          <w:lang w:val="en-US"/>
        </w:rPr>
        <w:t>135%</w:t>
      </w:r>
      <w:r w:rsidRPr="4626305C" w:rsidR="3DB21C5B">
        <w:rPr>
          <w:rFonts w:ascii="Calibri" w:hAnsi="Calibri" w:eastAsia="Calibri" w:cs="Calibri" w:asciiTheme="majorAscii" w:hAnsiTheme="majorAscii" w:eastAsiaTheme="majorAscii" w:cstheme="majorAscii"/>
          <w:b w:val="1"/>
          <w:bCs w:val="1"/>
          <w:noProof w:val="0"/>
          <w:sz w:val="22"/>
          <w:szCs w:val="22"/>
          <w:lang w:val="en-US"/>
        </w:rPr>
        <w:t xml:space="preserve"> to 159% and 179%</w:t>
      </w:r>
      <w:r w:rsidRPr="4626305C" w:rsidR="3DB21C5B">
        <w:rPr>
          <w:rFonts w:ascii="Calibri" w:hAnsi="Calibri" w:eastAsia="Calibri" w:cs="Calibri" w:asciiTheme="majorAscii" w:hAnsiTheme="majorAscii" w:eastAsiaTheme="majorAscii" w:cstheme="majorAscii"/>
          <w:noProof w:val="0"/>
          <w:sz w:val="22"/>
          <w:szCs w:val="22"/>
          <w:lang w:val="en-US"/>
        </w:rPr>
        <w:t xml:space="preserve">, respectively. This result highlights the trade-off between diversification and </w:t>
      </w:r>
      <w:r w:rsidRPr="4626305C" w:rsidR="3DB21C5B">
        <w:rPr>
          <w:rFonts w:ascii="Calibri" w:hAnsi="Calibri" w:eastAsia="Calibri" w:cs="Calibri" w:asciiTheme="majorAscii" w:hAnsiTheme="majorAscii" w:eastAsiaTheme="majorAscii" w:cstheme="majorAscii"/>
          <w:noProof w:val="0"/>
          <w:sz w:val="22"/>
          <w:szCs w:val="22"/>
          <w:lang w:val="en-US"/>
        </w:rPr>
        <w:t>return</w:t>
      </w:r>
      <w:r w:rsidRPr="4626305C" w:rsidR="3DB21C5B">
        <w:rPr>
          <w:rFonts w:ascii="Calibri" w:hAnsi="Calibri" w:eastAsia="Calibri" w:cs="Calibri" w:asciiTheme="majorAscii" w:hAnsiTheme="majorAscii" w:eastAsiaTheme="majorAscii" w:cstheme="majorAscii"/>
          <w:noProof w:val="0"/>
          <w:sz w:val="22"/>
          <w:szCs w:val="22"/>
          <w:lang w:val="en-US"/>
        </w:rPr>
        <w:t xml:space="preserve"> concentration: allowing larger positions increases the achievable return but also reduces portfolio diversification.</w:t>
      </w:r>
    </w:p>
    <w:p w:rsidR="3DB21C5B" w:rsidP="4626305C" w:rsidRDefault="3DB21C5B" w14:paraId="12D84219" w14:textId="37AD4332">
      <w:pPr>
        <w:spacing w:before="240" w:beforeAutospacing="off" w:after="240" w:afterAutospacing="off"/>
        <w:jc w:val="both"/>
        <w:rPr>
          <w:rFonts w:ascii="Calibri" w:hAnsi="Calibri" w:eastAsia="Calibri" w:cs="Calibri" w:asciiTheme="majorAscii" w:hAnsiTheme="majorAscii" w:eastAsiaTheme="majorAscii" w:cstheme="majorAscii"/>
          <w:noProof w:val="0"/>
          <w:sz w:val="22"/>
          <w:szCs w:val="22"/>
          <w:lang w:val="en-US"/>
        </w:rPr>
      </w:pPr>
      <w:r w:rsidRPr="4626305C" w:rsidR="3DB21C5B">
        <w:rPr>
          <w:rFonts w:ascii="Calibri" w:hAnsi="Calibri" w:eastAsia="Calibri" w:cs="Calibri" w:asciiTheme="majorAscii" w:hAnsiTheme="majorAscii" w:eastAsiaTheme="majorAscii" w:cstheme="majorAscii"/>
          <w:noProof w:val="0"/>
          <w:sz w:val="22"/>
          <w:szCs w:val="22"/>
          <w:lang w:val="en-US"/>
        </w:rPr>
        <w:t>Overall, the decision support tool provides a structured approach for transforming market data into portfolio allocation decisions while clearly illustrating how sector performance and investment constraints influence the final portfolio.</w:t>
      </w:r>
    </w:p>
    <w:p w:rsidR="4626305C" w:rsidP="4626305C" w:rsidRDefault="4626305C" w14:paraId="57A44851" w14:textId="7EE004F4">
      <w:pPr>
        <w:jc w:val="both"/>
        <w:rPr>
          <w:rFonts w:ascii="Calibri" w:hAnsi="Calibri" w:eastAsia="Calibri" w:cs="Calibri" w:asciiTheme="majorAscii" w:hAnsiTheme="majorAscii" w:eastAsiaTheme="majorAscii" w:cstheme="majorAscii"/>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gOMZIB6t" int2:invalidationBookmarkName="" int2:hashCode="JOdFHfBe1c1M8Q" int2:id="8LXbORSh">
      <int2:state int2:type="gram" int2:value="Rejected"/>
    </int2:bookmark>
    <int2:bookmark int2:bookmarkName="_Int_BOfijdMu" int2:invalidationBookmarkName="" int2:hashCode="cpF+9sHZdvt9Xj" int2:id="oYbseXtN">
      <int2:state int2:type="gram" int2:value="Rejected"/>
    </int2:bookmark>
    <int2:bookmark int2:bookmarkName="_Int_dG5w3WD0" int2:invalidationBookmarkName="" int2:hashCode="2WsEDRdWXKeoFe" int2:id="dTUNlPux">
      <int2:state int2:type="gram" int2:value="Rejected"/>
    </int2:bookmark>
    <int2:bookmark int2:bookmarkName="_Int_L0zieTWg" int2:invalidationBookmarkName="" int2:hashCode="VgBAxUo7/q8kxK" int2:id="UYWN22ZW">
      <int2:state int2:type="gram" int2:value="Rejected"/>
    </int2:bookmark>
    <int2:bookmark int2:bookmarkName="_Int_GusHEiqH" int2:invalidationBookmarkName="" int2:hashCode="9C2yJE4mGNnoMZ" int2:id="mzkChu5h">
      <int2:state int2:type="style"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5">
    <w:nsid w:val="743bad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a530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4d24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cbe68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d7cf5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4a56b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133f535"/>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F72A1"/>
    <w:rsid w:val="00AF72A1"/>
    <w:rsid w:val="00B47730"/>
    <w:rsid w:val="00CB0664"/>
    <w:rsid w:val="00E4B653"/>
    <w:rsid w:val="00FC693F"/>
    <w:rsid w:val="0375F529"/>
    <w:rsid w:val="039B49DB"/>
    <w:rsid w:val="040C0C4C"/>
    <w:rsid w:val="040C0C4C"/>
    <w:rsid w:val="042A3118"/>
    <w:rsid w:val="0967C2BB"/>
    <w:rsid w:val="0D3045DE"/>
    <w:rsid w:val="0D628B3C"/>
    <w:rsid w:val="0EED7F8D"/>
    <w:rsid w:val="1359F436"/>
    <w:rsid w:val="135C8B45"/>
    <w:rsid w:val="15BB6BC4"/>
    <w:rsid w:val="168E2EA2"/>
    <w:rsid w:val="16CAB093"/>
    <w:rsid w:val="17007225"/>
    <w:rsid w:val="172FCF35"/>
    <w:rsid w:val="17DC91FA"/>
    <w:rsid w:val="19A363D2"/>
    <w:rsid w:val="1B0D5BCE"/>
    <w:rsid w:val="1D719262"/>
    <w:rsid w:val="1D9E7215"/>
    <w:rsid w:val="1F48C74D"/>
    <w:rsid w:val="1F52C88C"/>
    <w:rsid w:val="24DC6BF7"/>
    <w:rsid w:val="26C5E4DE"/>
    <w:rsid w:val="2711EFF0"/>
    <w:rsid w:val="28FB8F0E"/>
    <w:rsid w:val="28FB8F0E"/>
    <w:rsid w:val="291C36EC"/>
    <w:rsid w:val="29A01534"/>
    <w:rsid w:val="2B118042"/>
    <w:rsid w:val="2B118042"/>
    <w:rsid w:val="2F03AC45"/>
    <w:rsid w:val="307DDF37"/>
    <w:rsid w:val="318055D1"/>
    <w:rsid w:val="31ED6E78"/>
    <w:rsid w:val="34A29B47"/>
    <w:rsid w:val="354BDC39"/>
    <w:rsid w:val="39881160"/>
    <w:rsid w:val="3A6A9391"/>
    <w:rsid w:val="3AD2CE31"/>
    <w:rsid w:val="3AEAA889"/>
    <w:rsid w:val="3BF8376A"/>
    <w:rsid w:val="3C089203"/>
    <w:rsid w:val="3C5F0A70"/>
    <w:rsid w:val="3D4FB193"/>
    <w:rsid w:val="3DB21C5B"/>
    <w:rsid w:val="3EB262B0"/>
    <w:rsid w:val="3EF2B108"/>
    <w:rsid w:val="3F6D1CE6"/>
    <w:rsid w:val="43952F49"/>
    <w:rsid w:val="44CEBAAC"/>
    <w:rsid w:val="452BC6A1"/>
    <w:rsid w:val="4626305C"/>
    <w:rsid w:val="498C59A0"/>
    <w:rsid w:val="4A894EA8"/>
    <w:rsid w:val="4CBF8BED"/>
    <w:rsid w:val="4F8224DF"/>
    <w:rsid w:val="4F9B83A9"/>
    <w:rsid w:val="50F0207E"/>
    <w:rsid w:val="530AC0BD"/>
    <w:rsid w:val="530AC0BD"/>
    <w:rsid w:val="54005008"/>
    <w:rsid w:val="546C74EA"/>
    <w:rsid w:val="56D0E8D4"/>
    <w:rsid w:val="58411F85"/>
    <w:rsid w:val="59861B9D"/>
    <w:rsid w:val="59F7C98F"/>
    <w:rsid w:val="5A08CFBC"/>
    <w:rsid w:val="5D2BC4A5"/>
    <w:rsid w:val="64BAF860"/>
    <w:rsid w:val="66337F3F"/>
    <w:rsid w:val="672B06A8"/>
    <w:rsid w:val="672B06A8"/>
    <w:rsid w:val="688659CC"/>
    <w:rsid w:val="744CD3A1"/>
    <w:rsid w:val="765C96C8"/>
    <w:rsid w:val="765C96C8"/>
    <w:rsid w:val="77B19FD6"/>
    <w:rsid w:val="79637647"/>
    <w:rsid w:val="7D9090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A3503B0-8393-4B9A-86AA-F4A52BF33C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1494267914" /><Relationship Type="http://schemas.openxmlformats.org/officeDocument/2006/relationships/image" Target="../media/image2.png" Id="rId1813691507" /><Relationship Type="http://schemas.openxmlformats.org/officeDocument/2006/relationships/image" Target="../media/image3.png" Id="rId1923166880" /><Relationship Type="http://schemas.openxmlformats.org/officeDocument/2006/relationships/image" Target="../media/image4.png" Id="rId23423163" /><Relationship Type="http://schemas.openxmlformats.org/officeDocument/2006/relationships/image" Target="../media/image5.png" Id="rId666321421" /><Relationship Type="http://schemas.openxmlformats.org/officeDocument/2006/relationships/image" Target="../media/image6.png" Id="rId2092955546" /><Relationship Type="http://schemas.openxmlformats.org/officeDocument/2006/relationships/image" Target="../media/image7.png" Id="rId1154857139" /><Relationship Type="http://schemas.microsoft.com/office/2020/10/relationships/intelligence" Target="intelligence2.xml" Id="Raf14d265db374eb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Greta Marrone</lastModifiedBy>
  <revision>4</revision>
  <dcterms:created xsi:type="dcterms:W3CDTF">2013-12-23T23:15:00.0000000Z</dcterms:created>
  <dcterms:modified xsi:type="dcterms:W3CDTF">2026-03-14T21:33:44.4477575Z</dcterms:modified>
  <category/>
</coreProperties>
</file>