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</w:t>
      </w:r>
    </w:p>
    <w:p>
      <w:pPr>
        <w:pStyle w:val="Heading3"/>
      </w:pPr>
      <w:r>
        <w:t>Parte 1 – Domande a risposta multipla</w:t>
      </w:r>
    </w:p>
    <w:p>
      <w:r>
        <w:t>1.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r>
        <w:t>2.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Il lavoro</w:t>
      </w:r>
    </w:p>
    <w:p>
      <w:r>
        <w:t>3.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pieno industriale e quota costi di periodo</w:t>
      </w:r>
    </w:p>
    <w:p>
      <w:r>
        <w:t>4.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r>
        <w:t>5. Lo scopo di un'azienda può essere:  (0.2 pt)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r>
        <w:t>6. L'indice di redditività è ottenuto dal rapporto:  (0.2 pt)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r>
        <w:t>7.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Produzione e consumo</w:t>
      </w:r>
    </w:p>
    <w:p>
      <w:r>
        <w:t>8.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9. Nei sistemi direct costing, si privilegia un criterio di:  (0.2 pt)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Attribuzione di quote di costi indiretti tramite basi di allocazione</w:t>
      </w:r>
    </w:p>
    <w:p>
      <w:r>
        <w:t>10.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r>
        <w:t>11.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r>
        <w:t>13. In quale settore operano le organizzazioni riconosciute con l'acronimo ONLUS?  (0.2 pt)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14.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15. Il Whole Life Cycle Cost (WLCC) include:  (0.2 pt)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esterni a carico della collettività (es. danni ambientali)</w:t>
      </w:r>
    </w:p>
    <w:p>
      <w:r>
        <w:t>16.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r>
        <w:t>17.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18.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r>
        <w:t>19.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r>
        <w:t>20.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Descrivi il portafoglio applicativo direzionale.  (1.0 pt)</w:t>
      </w:r>
    </w:p>
    <w:p>
      <w:r>
        <w:br/>
        <w:br/>
        <w:br/>
      </w:r>
    </w:p>
    <w:p>
      <w:r>
        <w:t>3. Descrivi a cosa serve l'organigramma aziendale e quali informazioni offre.  (1.0 pt)</w:t>
      </w:r>
    </w:p>
    <w:p>
      <w:r>
        <w:br/>
        <w:br/>
        <w:br/>
      </w:r>
    </w:p>
    <w:p>
      <w:r>
        <w:t>4. Quali sono i quattro momenti fondamentali dell’attività aziendale in base alle operazioni di gestione?  (1.0 pt)</w:t>
      </w:r>
    </w:p>
    <w:p>
      <w:r>
        <w:br/>
        <w:br/>
        <w:br/>
      </w:r>
    </w:p>
    <w:p>
      <w:r>
        <w:t>5.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6. In base a quali tre aspetti è possibile esaminare la gestione aziendale e cosa considera ciascuno di essi?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