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6</w:t>
      </w:r>
    </w:p>
    <w:p>
      <w:pPr>
        <w:pStyle w:val="Heading3"/>
      </w:pPr>
      <w:r>
        <w:t>Parte 1 – Domande a risposta multipla</w:t>
      </w:r>
    </w:p>
    <w:p>
      <w:r>
        <w:t>1. Quale indice di efficienza è ottenuto dal rapporto tra costi e ricavi?  (0.2 pt)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Indice di economicità</w:t>
      </w:r>
    </w:p>
    <w:p>
      <w:pPr>
        <w:pStyle w:val="ListBullet"/>
      </w:pPr>
      <w:r>
        <w:t>Efficacia organizzativa</w:t>
      </w:r>
    </w:p>
    <w:p>
      <w:r>
        <w:t>2.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Lo sfruttamento delle risorse naturali (agricoltura, pesca)</w:t>
      </w:r>
    </w:p>
    <w:p>
      <w:r>
        <w:t>3. Quale tra i seguenti è un bisogno economico?  (0.2 pt)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r>
        <w:t>4.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non evitabili</w:t>
      </w:r>
    </w:p>
    <w:p>
      <w:r>
        <w:t>5. A un basso valore di quantità q, la massimizzazione del profitto si raggiunge quando:  (0.2 pt)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eguaglia il Costo marginale (Rm = Cm)</w:t>
      </w:r>
    </w:p>
    <w:p>
      <w:r>
        <w:t>6. I costi indiretti fissi (affitti, ammortamenti) sono tendenzialmente: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di prodotto</w:t>
      </w:r>
    </w:p>
    <w:p>
      <w:r>
        <w:t>7.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di conversione e costi del lavoro diretto</w:t>
      </w:r>
    </w:p>
    <w:p>
      <w:r>
        <w:t>8. Nei sistemi direct costing, si privilegia un criterio di:  (0.2 pt)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r>
        <w:t>9. La formula utilizzata per calcolare i ricavi (R) è:  (0.2 pt)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p · q (prezzo per quantità)</w:t>
      </w:r>
    </w:p>
    <w:p>
      <w:r>
        <w:t>10.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r>
        <w:t>11. Lo scopo di un'azienda può essere:  (0.2 pt)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r>
        <w:t>12. L'efficacia aziendale è misurata dal rapporto tra:  (0.2 pt)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t>Gli obiettivi ottenuti e quelli che si sarebbero dovuti conseguire</w:t>
      </w:r>
    </w:p>
    <w:p>
      <w:r>
        <w:t>13.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r>
        <w:t>14.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Amministrazione e contabilità</w:t>
      </w:r>
    </w:p>
    <w:p>
      <w:r>
        <w:t>15. A cosa serve il codice ATECO 2007 (fonte ISTAT)?  (0.2 pt)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t>Determinazione della curva dei ricavi marginali</w:t>
      </w:r>
    </w:p>
    <w:p>
      <w:r>
        <w:t>16. Una software house rientra nel settore:  (0.2 pt)</w:t>
      </w:r>
    </w:p>
    <w:p>
      <w:pPr>
        <w:pStyle w:val="ListBullet"/>
      </w:pPr>
      <w:r>
        <w:t>Primario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Terziario</w:t>
      </w:r>
    </w:p>
    <w:p>
      <w:r>
        <w:t>17. Il costo di conversione è la somma di:  (0.2 pt)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r>
        <w:t>18. L'aspetto economico della gestione considera:  (0.2 pt)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Il contributo delle operazioni alla produzione di ricchezza (costi e ricavi)</w:t>
      </w:r>
    </w:p>
    <w:p>
      <w:r>
        <w:t>19. Quale tra le seguenti è un'azienda pubblica che persegue gli interessi della collettività?  (0.2 pt)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Un circolo ricreativo privato</w:t>
      </w:r>
    </w:p>
    <w:p>
      <w:r>
        <w:t>20. I fattori produttivi specifici (o tecnici) consistono in:  (0.2 pt)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Il profitto dell'impresa</w:t>
      </w:r>
    </w:p>
    <w:p>
      <w:pPr>
        <w:pStyle w:val="Heading3"/>
      </w:pPr>
      <w:r>
        <w:t>Parte 2 – Domande a risposta aperta</w:t>
      </w:r>
    </w:p>
    <w:p>
      <w:r>
        <w:t>1. Spiega la differenza tra i sistemi di determinazione dei costi direct costing e full costing.  (1.0 pt)</w:t>
      </w:r>
    </w:p>
    <w:p>
      <w:r>
        <w:t>2. Cosa si intende per "configurazione di costo"?  (1.0 pt)</w:t>
      </w:r>
    </w:p>
    <w:p>
      <w:r>
        <w:t>3. Spiega la differenza tra costi fissi, variabili e semivariabili.  (1.0 pt)</w:t>
      </w:r>
    </w:p>
    <w:p>
      <w:r>
        <w:t>4. In base a quali tre aspetti è possibile esaminare la gestione aziendale e cosa considera ciascuno di essi?  (1.0 pt)</w:t>
      </w:r>
    </w:p>
    <w:p>
      <w:r>
        <w:t>5. Descrivi a cosa serve l'organigramma aziendale e quali informazioni offre.  (1.0 pt)</w:t>
      </w:r>
    </w:p>
    <w:p>
      <w:r>
        <w:t>6. Quali sono i tipi di aziende che rientrano nelle aziende di erogazione?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