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B61F0" w:rsidRDefault="00271F16" w:rsidP="00AE7546">
      <w:pPr>
        <w:pStyle w:val="Listenabsatz"/>
        <w:numPr>
          <w:ilvl w:val="0"/>
          <w:numId w:val="9"/>
        </w:numPr>
        <w:jc w:val="both"/>
        <w:rPr>
          <w:b/>
          <w:sz w:val="32"/>
        </w:rPr>
      </w:pPr>
      <w:r w:rsidRPr="00D2035F">
        <w:rPr>
          <w:b/>
          <w:sz w:val="32"/>
        </w:rPr>
        <w:t xml:space="preserve">ODEON </w:t>
      </w:r>
      <w:r w:rsidR="0086787A" w:rsidRPr="00D2035F">
        <w:rPr>
          <w:b/>
          <w:sz w:val="32"/>
        </w:rPr>
        <w:t>Trade</w:t>
      </w:r>
    </w:p>
    <w:p w:rsidR="00D82CC2" w:rsidRPr="00386ECE" w:rsidRDefault="005E6E48" w:rsidP="00386ECE">
      <w:pPr>
        <w:pStyle w:val="Listenabsatz"/>
        <w:numPr>
          <w:ilvl w:val="1"/>
          <w:numId w:val="9"/>
        </w:numPr>
        <w:jc w:val="both"/>
        <w:rPr>
          <w:b/>
          <w:sz w:val="32"/>
        </w:rPr>
      </w:pPr>
      <w:r w:rsidRPr="00386ECE">
        <w:rPr>
          <w:b/>
          <w:sz w:val="32"/>
        </w:rPr>
        <w:t xml:space="preserve">The </w:t>
      </w:r>
      <w:proofErr w:type="spellStart"/>
      <w:r w:rsidRPr="00386ECE">
        <w:rPr>
          <w:b/>
          <w:sz w:val="32"/>
        </w:rPr>
        <w:t>platform</w:t>
      </w:r>
      <w:proofErr w:type="spellEnd"/>
      <w:r w:rsidRPr="00386ECE">
        <w:rPr>
          <w:b/>
          <w:sz w:val="32"/>
        </w:rPr>
        <w:t xml:space="preserve"> &amp; </w:t>
      </w:r>
      <w:r w:rsidR="00AE7546" w:rsidRPr="00386ECE">
        <w:rPr>
          <w:b/>
          <w:sz w:val="32"/>
        </w:rPr>
        <w:t>M</w:t>
      </w:r>
      <w:r w:rsidR="004D6997" w:rsidRPr="00386ECE">
        <w:rPr>
          <w:b/>
          <w:sz w:val="32"/>
        </w:rPr>
        <w:t>otivation</w:t>
      </w:r>
    </w:p>
    <w:p w:rsidR="00386ECE" w:rsidRPr="00386ECE" w:rsidRDefault="00386ECE" w:rsidP="00386ECE">
      <w:pPr>
        <w:pStyle w:val="Listenabsatz"/>
        <w:ind w:left="1410"/>
        <w:jc w:val="both"/>
        <w:rPr>
          <w:b/>
          <w:sz w:val="32"/>
        </w:rPr>
      </w:pPr>
    </w:p>
    <w:p w:rsidR="00F66569" w:rsidRPr="005E6E48" w:rsidRDefault="00F66569" w:rsidP="00AE7546">
      <w:pPr>
        <w:shd w:val="clear" w:color="auto" w:fill="FFFFFF"/>
        <w:spacing w:after="0" w:line="240" w:lineRule="auto"/>
        <w:ind w:left="360"/>
        <w:jc w:val="both"/>
        <w:rPr>
          <w:rFonts w:eastAsia="Times New Roman" w:cstheme="minorHAnsi"/>
          <w:color w:val="000000"/>
          <w:szCs w:val="18"/>
          <w:lang w:val="en-AU" w:eastAsia="de-DE"/>
        </w:rPr>
      </w:pPr>
      <w:r w:rsidRPr="005E6E48">
        <w:rPr>
          <w:rFonts w:eastAsia="Times New Roman" w:cstheme="minorHAnsi"/>
          <w:color w:val="000000"/>
          <w:szCs w:val="18"/>
          <w:lang w:val="en-AU" w:eastAsia="de-DE"/>
        </w:rPr>
        <w:t>With the ODEON Trade platform ever</w:t>
      </w:r>
      <w:r w:rsidR="001974CB" w:rsidRPr="005E6E48">
        <w:rPr>
          <w:rFonts w:eastAsia="Times New Roman" w:cstheme="minorHAnsi"/>
          <w:color w:val="000000"/>
          <w:szCs w:val="18"/>
          <w:lang w:val="en-AU" w:eastAsia="de-DE"/>
        </w:rPr>
        <w:t>y</w:t>
      </w:r>
      <w:r w:rsidRPr="005E6E48">
        <w:rPr>
          <w:rFonts w:eastAsia="Times New Roman" w:cstheme="minorHAnsi"/>
          <w:color w:val="000000"/>
          <w:szCs w:val="18"/>
          <w:lang w:val="en-AU" w:eastAsia="de-DE"/>
        </w:rPr>
        <w:t xml:space="preserve">body </w:t>
      </w:r>
      <w:proofErr w:type="gramStart"/>
      <w:r w:rsidRPr="005E6E48">
        <w:rPr>
          <w:rFonts w:eastAsia="Times New Roman" w:cstheme="minorHAnsi"/>
          <w:color w:val="000000"/>
          <w:szCs w:val="18"/>
          <w:lang w:val="en-AU" w:eastAsia="de-DE"/>
        </w:rPr>
        <w:t>is able to</w:t>
      </w:r>
      <w:proofErr w:type="gramEnd"/>
      <w:r w:rsidRPr="005E6E48">
        <w:rPr>
          <w:rFonts w:eastAsia="Times New Roman" w:cstheme="minorHAnsi"/>
          <w:color w:val="000000"/>
          <w:szCs w:val="18"/>
          <w:lang w:val="en-AU" w:eastAsia="de-DE"/>
        </w:rPr>
        <w:t xml:space="preserve"> trade </w:t>
      </w:r>
      <w:r w:rsidR="0080147A" w:rsidRPr="005E6E48">
        <w:rPr>
          <w:rFonts w:eastAsia="Times New Roman" w:cstheme="minorHAnsi"/>
          <w:color w:val="000000"/>
          <w:szCs w:val="18"/>
          <w:lang w:val="en-AU" w:eastAsia="de-DE"/>
        </w:rPr>
        <w:t>their</w:t>
      </w:r>
      <w:r w:rsidRPr="005E6E48">
        <w:rPr>
          <w:rFonts w:eastAsia="Times New Roman" w:cstheme="minorHAnsi"/>
          <w:color w:val="000000"/>
          <w:szCs w:val="18"/>
          <w:lang w:val="en-AU" w:eastAsia="de-DE"/>
        </w:rPr>
        <w:t xml:space="preserve"> current mining contract</w:t>
      </w:r>
      <w:r w:rsidR="004E2D45" w:rsidRPr="005E6E48">
        <w:rPr>
          <w:rFonts w:eastAsia="Times New Roman" w:cstheme="minorHAnsi"/>
          <w:color w:val="000000"/>
          <w:szCs w:val="18"/>
          <w:lang w:val="en-AU" w:eastAsia="de-DE"/>
        </w:rPr>
        <w:t>s</w:t>
      </w:r>
      <w:r w:rsidRPr="005E6E48">
        <w:rPr>
          <w:rFonts w:eastAsia="Times New Roman" w:cstheme="minorHAnsi"/>
          <w:color w:val="000000"/>
          <w:szCs w:val="18"/>
          <w:lang w:val="en-AU" w:eastAsia="de-DE"/>
        </w:rPr>
        <w:t xml:space="preserve"> for </w:t>
      </w:r>
      <w:r w:rsidR="0080147A" w:rsidRPr="005E6E48">
        <w:rPr>
          <w:rFonts w:eastAsia="Times New Roman" w:cstheme="minorHAnsi"/>
          <w:color w:val="000000"/>
          <w:szCs w:val="18"/>
          <w:lang w:val="en-AU" w:eastAsia="de-DE"/>
        </w:rPr>
        <w:t>ODE tokens</w:t>
      </w:r>
      <w:r w:rsidR="001974CB" w:rsidRPr="005E6E48">
        <w:rPr>
          <w:rFonts w:eastAsia="Times New Roman" w:cstheme="minorHAnsi"/>
          <w:color w:val="000000"/>
          <w:szCs w:val="18"/>
          <w:lang w:val="en-AU" w:eastAsia="de-DE"/>
        </w:rPr>
        <w:t xml:space="preserve">. The idea </w:t>
      </w:r>
      <w:proofErr w:type="spellStart"/>
      <w:r w:rsidR="001974CB" w:rsidRPr="005E6E48">
        <w:rPr>
          <w:rFonts w:eastAsia="Times New Roman" w:cstheme="minorHAnsi"/>
          <w:color w:val="000000"/>
          <w:szCs w:val="18"/>
          <w:lang w:val="en-AU" w:eastAsia="de-DE"/>
        </w:rPr>
        <w:t>arised</w:t>
      </w:r>
      <w:proofErr w:type="spellEnd"/>
      <w:r w:rsidR="001974CB" w:rsidRPr="005E6E48">
        <w:rPr>
          <w:rFonts w:eastAsia="Times New Roman" w:cstheme="minorHAnsi"/>
          <w:color w:val="000000"/>
          <w:szCs w:val="18"/>
          <w:lang w:val="en-AU" w:eastAsia="de-DE"/>
        </w:rPr>
        <w:t xml:space="preserve"> from the regret many customers remark after purchasing a mining contract and seeing their coin dipping.</w:t>
      </w:r>
      <w:r w:rsidRPr="005E6E48">
        <w:rPr>
          <w:rFonts w:eastAsia="Times New Roman" w:cstheme="minorHAnsi"/>
          <w:color w:val="000000"/>
          <w:szCs w:val="18"/>
          <w:lang w:val="en-AU" w:eastAsia="de-DE"/>
        </w:rPr>
        <w:t xml:space="preserve"> Therefor</w:t>
      </w:r>
      <w:r w:rsidR="0080147A" w:rsidRPr="005E6E48">
        <w:rPr>
          <w:rFonts w:eastAsia="Times New Roman" w:cstheme="minorHAnsi"/>
          <w:color w:val="000000"/>
          <w:szCs w:val="18"/>
          <w:lang w:val="en-AU" w:eastAsia="de-DE"/>
        </w:rPr>
        <w:t>e,</w:t>
      </w:r>
      <w:r w:rsidRPr="005E6E48">
        <w:rPr>
          <w:rFonts w:eastAsia="Times New Roman" w:cstheme="minorHAnsi"/>
          <w:color w:val="000000"/>
          <w:szCs w:val="18"/>
          <w:lang w:val="en-AU" w:eastAsia="de-DE"/>
        </w:rPr>
        <w:t xml:space="preserve"> ODEON is using the knowledgeable valuation Black–Scholes model to calculate the theoretical value of your current mining contract</w:t>
      </w:r>
      <w:r w:rsidR="0080147A" w:rsidRPr="005E6E48">
        <w:rPr>
          <w:rFonts w:eastAsia="Times New Roman" w:cstheme="minorHAnsi"/>
          <w:color w:val="000000"/>
          <w:szCs w:val="18"/>
          <w:lang w:val="en-AU" w:eastAsia="de-DE"/>
        </w:rPr>
        <w:t xml:space="preserve"> and to give you an idea about potential </w:t>
      </w:r>
      <w:r w:rsidR="001974CB" w:rsidRPr="005E6E48">
        <w:rPr>
          <w:rFonts w:eastAsia="Times New Roman" w:cstheme="minorHAnsi"/>
          <w:color w:val="000000"/>
          <w:szCs w:val="18"/>
          <w:lang w:val="en-AU" w:eastAsia="de-DE"/>
        </w:rPr>
        <w:t>revenue</w:t>
      </w:r>
      <w:r w:rsidR="0080147A" w:rsidRPr="005E6E48">
        <w:rPr>
          <w:rFonts w:eastAsia="Times New Roman" w:cstheme="minorHAnsi"/>
          <w:color w:val="000000"/>
          <w:szCs w:val="18"/>
          <w:lang w:val="en-AU" w:eastAsia="de-DE"/>
        </w:rPr>
        <w:t xml:space="preserve"> in case of offloading your mining contracts.</w:t>
      </w:r>
    </w:p>
    <w:p w:rsidR="006521EF" w:rsidRPr="005E6E48" w:rsidRDefault="00AE7546" w:rsidP="00C62A75">
      <w:pPr>
        <w:shd w:val="clear" w:color="auto" w:fill="FFFFFF"/>
        <w:spacing w:after="0" w:line="240" w:lineRule="auto"/>
        <w:ind w:left="360"/>
        <w:jc w:val="both"/>
        <w:rPr>
          <w:rFonts w:eastAsia="Times New Roman" w:cstheme="minorHAnsi"/>
          <w:color w:val="000000"/>
          <w:szCs w:val="18"/>
          <w:lang w:val="en-AU" w:eastAsia="de-DE"/>
        </w:rPr>
      </w:pPr>
      <w:r w:rsidRPr="005E6E48">
        <w:rPr>
          <w:rFonts w:eastAsia="Times New Roman" w:cstheme="minorHAnsi"/>
          <w:color w:val="000000"/>
          <w:szCs w:val="18"/>
          <w:lang w:val="en-AU" w:eastAsia="de-DE"/>
        </w:rPr>
        <w:t xml:space="preserve">We also want to highlight the price to volume correlation as already roughly presented in the Whitepaper before. At first, we </w:t>
      </w:r>
      <w:r w:rsidR="002B215E" w:rsidRPr="005E6E48">
        <w:rPr>
          <w:rFonts w:eastAsia="Times New Roman" w:cstheme="minorHAnsi"/>
          <w:color w:val="000000"/>
          <w:szCs w:val="18"/>
          <w:lang w:val="en-AU" w:eastAsia="de-DE"/>
        </w:rPr>
        <w:t>describe</w:t>
      </w:r>
      <w:r w:rsidRPr="005E6E48">
        <w:rPr>
          <w:rFonts w:eastAsia="Times New Roman" w:cstheme="minorHAnsi"/>
          <w:color w:val="000000"/>
          <w:szCs w:val="18"/>
          <w:lang w:val="en-AU" w:eastAsia="de-DE"/>
        </w:rPr>
        <w:t xml:space="preserve"> how the bid</w:t>
      </w:r>
      <w:r w:rsidR="0087512E" w:rsidRPr="005E6E48">
        <w:rPr>
          <w:rFonts w:eastAsia="Times New Roman" w:cstheme="minorHAnsi"/>
          <w:color w:val="000000"/>
          <w:szCs w:val="18"/>
          <w:lang w:val="en-AU" w:eastAsia="de-DE"/>
        </w:rPr>
        <w:t>-</w:t>
      </w:r>
      <w:r w:rsidRPr="005E6E48">
        <w:rPr>
          <w:rFonts w:eastAsia="Times New Roman" w:cstheme="minorHAnsi"/>
          <w:color w:val="000000"/>
          <w:szCs w:val="18"/>
          <w:lang w:val="en-AU" w:eastAsia="de-DE"/>
        </w:rPr>
        <w:t>ask</w:t>
      </w:r>
      <w:r w:rsidR="0087512E" w:rsidRPr="005E6E48">
        <w:rPr>
          <w:rFonts w:eastAsia="Times New Roman" w:cstheme="minorHAnsi"/>
          <w:color w:val="000000"/>
          <w:szCs w:val="18"/>
          <w:lang w:val="en-AU" w:eastAsia="de-DE"/>
        </w:rPr>
        <w:t>-</w:t>
      </w:r>
      <w:r w:rsidRPr="005E6E48">
        <w:rPr>
          <w:rFonts w:eastAsia="Times New Roman" w:cstheme="minorHAnsi"/>
          <w:color w:val="000000"/>
          <w:szCs w:val="18"/>
          <w:lang w:val="en-AU" w:eastAsia="de-DE"/>
        </w:rPr>
        <w:t>model</w:t>
      </w:r>
      <w:r w:rsidR="00C62A75" w:rsidRPr="005E6E48">
        <w:rPr>
          <w:rFonts w:eastAsia="Times New Roman" w:cstheme="minorHAnsi"/>
          <w:color w:val="000000"/>
          <w:szCs w:val="18"/>
          <w:lang w:val="en-AU" w:eastAsia="de-DE"/>
        </w:rPr>
        <w:t xml:space="preserve"> works, which is used by most (cryptocurrency-)exchanges, by applying the </w:t>
      </w:r>
      <w:r w:rsidR="00C170FD" w:rsidRPr="005E6E48">
        <w:rPr>
          <w:rFonts w:eastAsia="Times New Roman" w:cstheme="minorHAnsi"/>
          <w:color w:val="000000"/>
          <w:szCs w:val="18"/>
          <w:lang w:val="en-AU" w:eastAsia="de-DE"/>
        </w:rPr>
        <w:t>“</w:t>
      </w:r>
      <w:r w:rsidR="00C62A75" w:rsidRPr="005E6E48">
        <w:rPr>
          <w:rFonts w:eastAsia="Times New Roman" w:cstheme="minorHAnsi"/>
          <w:color w:val="000000"/>
          <w:szCs w:val="18"/>
          <w:lang w:val="en-AU" w:eastAsia="de-DE"/>
        </w:rPr>
        <w:t>Black-</w:t>
      </w:r>
      <w:r w:rsidR="00C170FD" w:rsidRPr="005E6E48">
        <w:rPr>
          <w:rFonts w:eastAsia="Times New Roman" w:cstheme="minorHAnsi"/>
          <w:color w:val="000000"/>
          <w:szCs w:val="18"/>
          <w:lang w:val="en-AU" w:eastAsia="de-DE"/>
        </w:rPr>
        <w:t>S</w:t>
      </w:r>
      <w:r w:rsidR="00C62A75" w:rsidRPr="005E6E48">
        <w:rPr>
          <w:rFonts w:eastAsia="Times New Roman" w:cstheme="minorHAnsi"/>
          <w:color w:val="000000"/>
          <w:szCs w:val="18"/>
          <w:lang w:val="en-AU" w:eastAsia="de-DE"/>
        </w:rPr>
        <w:t>choles Model</w:t>
      </w:r>
      <w:r w:rsidR="00C170FD" w:rsidRPr="005E6E48">
        <w:rPr>
          <w:rFonts w:eastAsia="Times New Roman" w:cstheme="minorHAnsi"/>
          <w:color w:val="000000"/>
          <w:szCs w:val="18"/>
          <w:lang w:val="en-AU" w:eastAsia="de-DE"/>
        </w:rPr>
        <w:t>”</w:t>
      </w:r>
      <w:r w:rsidR="00C62A75" w:rsidRPr="005E6E48">
        <w:rPr>
          <w:rFonts w:eastAsia="Times New Roman" w:cstheme="minorHAnsi"/>
          <w:color w:val="000000"/>
          <w:szCs w:val="18"/>
          <w:lang w:val="en-AU" w:eastAsia="de-DE"/>
        </w:rPr>
        <w:t>.</w:t>
      </w:r>
      <w:r w:rsidR="00747320" w:rsidRPr="005E6E48">
        <w:rPr>
          <w:rFonts w:eastAsia="Times New Roman" w:cstheme="minorHAnsi"/>
          <w:color w:val="000000"/>
          <w:szCs w:val="18"/>
          <w:lang w:val="en-AU" w:eastAsia="de-DE"/>
        </w:rPr>
        <w:t xml:space="preserve"> Again, since the main platform was describe</w:t>
      </w:r>
      <w:r w:rsidR="005B42E9" w:rsidRPr="005E6E48">
        <w:rPr>
          <w:rFonts w:eastAsia="Times New Roman" w:cstheme="minorHAnsi"/>
          <w:color w:val="000000"/>
          <w:szCs w:val="18"/>
          <w:lang w:val="en-AU" w:eastAsia="de-DE"/>
        </w:rPr>
        <w:t>d</w:t>
      </w:r>
      <w:r w:rsidR="00747320" w:rsidRPr="005E6E48">
        <w:rPr>
          <w:rFonts w:eastAsia="Times New Roman" w:cstheme="minorHAnsi"/>
          <w:color w:val="000000"/>
          <w:szCs w:val="18"/>
          <w:lang w:val="en-AU" w:eastAsia="de-DE"/>
        </w:rPr>
        <w:t xml:space="preserve"> in detail in the Whitepaper, we will only roughly describe it now and focus on trading motivations methods to evaluate the market and market moves such as ask and bid.</w:t>
      </w:r>
    </w:p>
    <w:p w:rsidR="00BB2BEF" w:rsidRPr="009F7743" w:rsidRDefault="00BB2BEF" w:rsidP="00C62A75">
      <w:pPr>
        <w:shd w:val="clear" w:color="auto" w:fill="FFFFFF"/>
        <w:spacing w:after="0" w:line="240" w:lineRule="auto"/>
        <w:ind w:left="360"/>
        <w:jc w:val="both"/>
        <w:rPr>
          <w:rFonts w:ascii="Arial" w:eastAsia="Times New Roman" w:hAnsi="Arial" w:cs="Arial"/>
          <w:color w:val="000000"/>
          <w:szCs w:val="18"/>
          <w:lang w:val="en-AU" w:eastAsia="de-DE"/>
        </w:rPr>
      </w:pPr>
    </w:p>
    <w:p w:rsidR="00AE7546" w:rsidRDefault="001B0DE1" w:rsidP="00AE7546">
      <w:pPr>
        <w:shd w:val="clear" w:color="auto" w:fill="FFFFFF"/>
        <w:spacing w:after="0" w:line="240" w:lineRule="auto"/>
        <w:ind w:left="360"/>
        <w:jc w:val="both"/>
        <w:rPr>
          <w:lang w:val="en-AU"/>
        </w:rPr>
      </w:pPr>
      <w:r>
        <w:rPr>
          <w:lang w:val="en-AU"/>
        </w:rPr>
        <w:t>ODEON Trade will bring to you the never seen before feature of tradeable hash</w:t>
      </w:r>
      <w:r w:rsidR="00C70A5C">
        <w:rPr>
          <w:lang w:val="en-AU"/>
        </w:rPr>
        <w:t xml:space="preserve"> </w:t>
      </w:r>
      <w:r>
        <w:rPr>
          <w:lang w:val="en-AU"/>
        </w:rPr>
        <w:t>power in form of contracts. As described in the introduction, many customers fear that they purchase the wrong mining contract leaving them with losses at the contract’s end. Some might even consider not investing into hash</w:t>
      </w:r>
      <w:r w:rsidR="00C70A5C">
        <w:rPr>
          <w:lang w:val="en-AU"/>
        </w:rPr>
        <w:t xml:space="preserve"> </w:t>
      </w:r>
      <w:r>
        <w:rPr>
          <w:lang w:val="en-AU"/>
        </w:rPr>
        <w:t>power at all, because they want to live risk</w:t>
      </w:r>
      <w:r w:rsidR="00C170FD">
        <w:rPr>
          <w:lang w:val="en-AU"/>
        </w:rPr>
        <w:t>-</w:t>
      </w:r>
      <w:r>
        <w:rPr>
          <w:lang w:val="en-AU"/>
        </w:rPr>
        <w:t>free and avoid said losses.</w:t>
      </w:r>
    </w:p>
    <w:p w:rsidR="001B0DE1" w:rsidRDefault="001B0DE1" w:rsidP="00AE7546">
      <w:pPr>
        <w:shd w:val="clear" w:color="auto" w:fill="FFFFFF"/>
        <w:spacing w:after="0" w:line="240" w:lineRule="auto"/>
        <w:ind w:left="360"/>
        <w:jc w:val="both"/>
        <w:rPr>
          <w:lang w:val="en-AU"/>
        </w:rPr>
      </w:pPr>
      <w:r>
        <w:rPr>
          <w:lang w:val="en-AU"/>
        </w:rPr>
        <w:t>ODEON Trade will solve this problem. The platform will over tradeable contracts, leaving customers with a chance to bail out for ODE tokens which then can be sold, or to buy more hash</w:t>
      </w:r>
      <w:r w:rsidR="00C70A5C">
        <w:rPr>
          <w:lang w:val="en-AU"/>
        </w:rPr>
        <w:t xml:space="preserve"> </w:t>
      </w:r>
      <w:r>
        <w:rPr>
          <w:lang w:val="en-AU"/>
        </w:rPr>
        <w:t>power from other selling customers. Notable, you do not specifically buy the hash</w:t>
      </w:r>
      <w:r w:rsidR="00C70A5C">
        <w:rPr>
          <w:lang w:val="en-AU"/>
        </w:rPr>
        <w:t xml:space="preserve"> </w:t>
      </w:r>
      <w:r>
        <w:rPr>
          <w:lang w:val="en-AU"/>
        </w:rPr>
        <w:t xml:space="preserve">power from ODEON itself but from other users of our multi-altcoin-mining cloud-platform. </w:t>
      </w:r>
    </w:p>
    <w:p w:rsidR="00AE7546" w:rsidRDefault="001B0DE1" w:rsidP="00C170FD">
      <w:pPr>
        <w:shd w:val="clear" w:color="auto" w:fill="FFFFFF"/>
        <w:spacing w:after="0" w:line="240" w:lineRule="auto"/>
        <w:ind w:left="360"/>
        <w:jc w:val="both"/>
        <w:rPr>
          <w:lang w:val="en-AU"/>
        </w:rPr>
      </w:pPr>
      <w:r>
        <w:rPr>
          <w:lang w:val="en-AU"/>
        </w:rPr>
        <w:t xml:space="preserve">This is where the bid-ask-model finds appliance. </w:t>
      </w:r>
      <w:r w:rsidR="0087512E">
        <w:rPr>
          <w:lang w:val="en-AU"/>
        </w:rPr>
        <w:t xml:space="preserve">As already used in classical exchanges, the model allows customers to buy products at the lowest price possible at a given exchange and a given time. </w:t>
      </w:r>
    </w:p>
    <w:p w:rsidR="00745C37" w:rsidRDefault="00745C37" w:rsidP="00C170FD">
      <w:pPr>
        <w:shd w:val="clear" w:color="auto" w:fill="FFFFFF"/>
        <w:spacing w:after="0" w:line="240" w:lineRule="auto"/>
        <w:ind w:left="360"/>
        <w:jc w:val="both"/>
        <w:rPr>
          <w:lang w:val="en-AU"/>
        </w:rPr>
      </w:pPr>
    </w:p>
    <w:p w:rsidR="005E6E48" w:rsidRDefault="005E6E48" w:rsidP="00C170FD">
      <w:pPr>
        <w:shd w:val="clear" w:color="auto" w:fill="FFFFFF"/>
        <w:spacing w:after="0" w:line="240" w:lineRule="auto"/>
        <w:ind w:left="360"/>
        <w:jc w:val="both"/>
        <w:rPr>
          <w:lang w:val="en-AU"/>
        </w:rPr>
      </w:pPr>
    </w:p>
    <w:p w:rsidR="00745C37" w:rsidRPr="00DC7F6B" w:rsidRDefault="00745C37" w:rsidP="00745C37">
      <w:pPr>
        <w:ind w:left="360"/>
        <w:jc w:val="both"/>
        <w:rPr>
          <w:b/>
          <w:sz w:val="32"/>
          <w:lang w:val="en-AU"/>
        </w:rPr>
      </w:pPr>
      <w:r w:rsidRPr="00DC7F6B">
        <w:rPr>
          <w:b/>
          <w:sz w:val="32"/>
          <w:lang w:val="en-AU"/>
        </w:rPr>
        <w:t>3.</w:t>
      </w:r>
      <w:r w:rsidR="005E6E48">
        <w:rPr>
          <w:b/>
          <w:sz w:val="32"/>
          <w:lang w:val="en-AU"/>
        </w:rPr>
        <w:t>2</w:t>
      </w:r>
      <w:r w:rsidRPr="00DC7F6B">
        <w:rPr>
          <w:b/>
          <w:sz w:val="32"/>
          <w:lang w:val="en-AU"/>
        </w:rPr>
        <w:tab/>
      </w:r>
      <w:r>
        <w:rPr>
          <w:b/>
          <w:sz w:val="32"/>
          <w:lang w:val="en-AU"/>
        </w:rPr>
        <w:t>Black-Scholes-Model</w:t>
      </w:r>
    </w:p>
    <w:p w:rsidR="00745C37" w:rsidRDefault="00745C37" w:rsidP="001735F7">
      <w:pPr>
        <w:shd w:val="clear" w:color="auto" w:fill="FFFFFF"/>
        <w:spacing w:after="0" w:line="240" w:lineRule="auto"/>
        <w:jc w:val="both"/>
        <w:rPr>
          <w:lang w:val="en-AU"/>
        </w:rPr>
      </w:pPr>
    </w:p>
    <w:p w:rsidR="00C170FD" w:rsidRDefault="00C170FD" w:rsidP="00C170FD">
      <w:pPr>
        <w:shd w:val="clear" w:color="auto" w:fill="FFFFFF"/>
        <w:spacing w:after="0" w:line="240" w:lineRule="auto"/>
        <w:ind w:left="360"/>
        <w:jc w:val="both"/>
        <w:rPr>
          <w:lang w:val="en-AU"/>
        </w:rPr>
      </w:pPr>
      <w:bookmarkStart w:id="0" w:name="_Hlk515552387"/>
      <w:r>
        <w:rPr>
          <w:lang w:val="en-AU"/>
        </w:rPr>
        <w:t xml:space="preserve">Black-Scholes is a pricing model that is usually used </w:t>
      </w:r>
      <w:r w:rsidR="00EB6018">
        <w:rPr>
          <w:lang w:val="en-AU"/>
        </w:rPr>
        <w:t xml:space="preserve">by option traders </w:t>
      </w:r>
      <w:r>
        <w:rPr>
          <w:lang w:val="en-AU"/>
        </w:rPr>
        <w:t xml:space="preserve">to determine theoretical value for call and put options. More precisely, it requires six input variables </w:t>
      </w:r>
    </w:p>
    <w:p w:rsidR="007E5C36" w:rsidRDefault="007E5C36" w:rsidP="00C170FD">
      <w:pPr>
        <w:shd w:val="clear" w:color="auto" w:fill="FFFFFF"/>
        <w:spacing w:after="0" w:line="240" w:lineRule="auto"/>
        <w:ind w:left="360"/>
        <w:jc w:val="both"/>
        <w:rPr>
          <w:lang w:val="en-AU"/>
        </w:rPr>
      </w:pPr>
    </w:p>
    <w:bookmarkEnd w:id="0"/>
    <w:p w:rsidR="00C170FD" w:rsidRPr="00EE27DA" w:rsidRDefault="00C170FD" w:rsidP="00EE27DA">
      <w:pPr>
        <w:pStyle w:val="Listenabsatz"/>
        <w:numPr>
          <w:ilvl w:val="0"/>
          <w:numId w:val="11"/>
        </w:numPr>
        <w:shd w:val="clear" w:color="auto" w:fill="FFFFFF"/>
        <w:spacing w:after="0" w:line="240" w:lineRule="auto"/>
        <w:jc w:val="both"/>
        <w:rPr>
          <w:lang w:val="en-AU"/>
        </w:rPr>
      </w:pPr>
      <w:r w:rsidRPr="00EE27DA">
        <w:rPr>
          <w:lang w:val="en-AU"/>
        </w:rPr>
        <w:t>Volatility</w:t>
      </w:r>
      <w:r w:rsidR="00205CC9" w:rsidRPr="00EE27DA">
        <w:rPr>
          <w:lang w:val="en-AU"/>
        </w:rPr>
        <w:t xml:space="preserve"> </w:t>
      </w:r>
      <w:r w:rsidR="00AD7DA2" w:rsidRPr="00EE27DA">
        <w:rPr>
          <w:lang w:val="en-AU"/>
        </w:rPr>
        <w:t>s</w:t>
      </w:r>
    </w:p>
    <w:p w:rsidR="00C170FD" w:rsidRDefault="00C170FD" w:rsidP="00C170FD">
      <w:pPr>
        <w:pStyle w:val="Listenabsatz"/>
        <w:numPr>
          <w:ilvl w:val="0"/>
          <w:numId w:val="11"/>
        </w:numPr>
        <w:shd w:val="clear" w:color="auto" w:fill="FFFFFF"/>
        <w:spacing w:after="0" w:line="240" w:lineRule="auto"/>
        <w:jc w:val="both"/>
        <w:rPr>
          <w:lang w:val="en-AU"/>
        </w:rPr>
      </w:pPr>
      <w:r>
        <w:rPr>
          <w:lang w:val="en-AU"/>
        </w:rPr>
        <w:t>Stock price</w:t>
      </w:r>
      <w:r w:rsidR="00A4077C">
        <w:rPr>
          <w:lang w:val="en-AU"/>
        </w:rPr>
        <w:t xml:space="preserve"> S</w:t>
      </w:r>
    </w:p>
    <w:p w:rsidR="00C170FD" w:rsidRDefault="00C170FD" w:rsidP="00C170FD">
      <w:pPr>
        <w:pStyle w:val="Listenabsatz"/>
        <w:numPr>
          <w:ilvl w:val="0"/>
          <w:numId w:val="11"/>
        </w:numPr>
        <w:shd w:val="clear" w:color="auto" w:fill="FFFFFF"/>
        <w:spacing w:after="0" w:line="240" w:lineRule="auto"/>
        <w:jc w:val="both"/>
        <w:rPr>
          <w:lang w:val="en-AU"/>
        </w:rPr>
      </w:pPr>
      <w:r>
        <w:rPr>
          <w:lang w:val="en-AU"/>
        </w:rPr>
        <w:t>Time</w:t>
      </w:r>
      <w:r w:rsidR="00671556">
        <w:rPr>
          <w:lang w:val="en-AU"/>
        </w:rPr>
        <w:t xml:space="preserve"> until option expiration t</w:t>
      </w:r>
    </w:p>
    <w:p w:rsidR="00C170FD" w:rsidRDefault="00C170FD" w:rsidP="00C170FD">
      <w:pPr>
        <w:pStyle w:val="Listenabsatz"/>
        <w:numPr>
          <w:ilvl w:val="0"/>
          <w:numId w:val="11"/>
        </w:numPr>
        <w:shd w:val="clear" w:color="auto" w:fill="FFFFFF"/>
        <w:spacing w:after="0" w:line="240" w:lineRule="auto"/>
        <w:jc w:val="both"/>
        <w:rPr>
          <w:lang w:val="en-AU"/>
        </w:rPr>
      </w:pPr>
      <w:r>
        <w:rPr>
          <w:lang w:val="en-AU"/>
        </w:rPr>
        <w:t>Strike price</w:t>
      </w:r>
      <w:r w:rsidR="00671556">
        <w:rPr>
          <w:lang w:val="en-AU"/>
        </w:rPr>
        <w:t xml:space="preserve"> K</w:t>
      </w:r>
    </w:p>
    <w:p w:rsidR="00AD7DA2" w:rsidRDefault="00C170FD" w:rsidP="00AD7DA2">
      <w:pPr>
        <w:pStyle w:val="Listenabsatz"/>
        <w:numPr>
          <w:ilvl w:val="0"/>
          <w:numId w:val="11"/>
        </w:numPr>
        <w:shd w:val="clear" w:color="auto" w:fill="FFFFFF"/>
        <w:spacing w:after="0" w:line="240" w:lineRule="auto"/>
        <w:jc w:val="both"/>
        <w:rPr>
          <w:lang w:val="en-AU"/>
        </w:rPr>
      </w:pPr>
      <w:r>
        <w:rPr>
          <w:lang w:val="en-AU"/>
        </w:rPr>
        <w:t>Risk-free rate</w:t>
      </w:r>
      <w:r w:rsidR="00671556">
        <w:rPr>
          <w:lang w:val="en-AU"/>
        </w:rPr>
        <w:t xml:space="preserve"> </w:t>
      </w:r>
      <w:r w:rsidR="00AD7DA2">
        <w:rPr>
          <w:lang w:val="en-AU"/>
        </w:rPr>
        <w:t>r</w:t>
      </w:r>
    </w:p>
    <w:p w:rsidR="00AD7DA2" w:rsidRDefault="00AD7DA2" w:rsidP="00AD7DA2">
      <w:pPr>
        <w:shd w:val="clear" w:color="auto" w:fill="FFFFFF"/>
        <w:spacing w:after="0" w:line="240" w:lineRule="auto"/>
        <w:jc w:val="both"/>
        <w:rPr>
          <w:lang w:val="en-AU"/>
        </w:rPr>
      </w:pPr>
    </w:p>
    <w:p w:rsidR="00AD7DA2" w:rsidRDefault="00AD7DA2" w:rsidP="00AD7DA2">
      <w:pPr>
        <w:shd w:val="clear" w:color="auto" w:fill="FFFFFF"/>
        <w:spacing w:after="0" w:line="240" w:lineRule="auto"/>
        <w:ind w:left="360"/>
        <w:jc w:val="both"/>
        <w:rPr>
          <w:lang w:val="en-AU"/>
        </w:rPr>
      </w:pPr>
      <w:r>
        <w:rPr>
          <w:lang w:val="en-AU"/>
        </w:rPr>
        <w:t>Its mathematical expression is the following:</w:t>
      </w:r>
    </w:p>
    <w:p w:rsidR="00AD7DA2" w:rsidRDefault="00AD7DA2" w:rsidP="00AD7DA2">
      <w:pPr>
        <w:shd w:val="clear" w:color="auto" w:fill="FFFFFF"/>
        <w:spacing w:after="0" w:line="240" w:lineRule="auto"/>
        <w:ind w:left="360"/>
        <w:jc w:val="both"/>
        <w:rPr>
          <w:lang w:val="en-AU"/>
        </w:rPr>
      </w:pPr>
    </w:p>
    <w:p w:rsidR="00AD7DA2" w:rsidRPr="00AD7DA2" w:rsidRDefault="00AD7DA2" w:rsidP="00AD7DA2">
      <w:pPr>
        <w:shd w:val="clear" w:color="auto" w:fill="FFFFFF"/>
        <w:spacing w:after="0" w:line="240" w:lineRule="auto"/>
        <w:ind w:left="360"/>
        <w:jc w:val="both"/>
        <w:rPr>
          <w:lang w:val="en-AU"/>
        </w:rPr>
      </w:pPr>
      <m:oMathPara>
        <m:oMath>
          <m:r>
            <w:rPr>
              <w:rFonts w:ascii="Cambria Math" w:hAnsi="Cambria Math"/>
              <w:lang w:val="en-AU"/>
            </w:rPr>
            <m:t>C</m:t>
          </m:r>
          <m:d>
            <m:dPr>
              <m:ctrlPr>
                <w:rPr>
                  <w:rFonts w:ascii="Cambria Math" w:hAnsi="Cambria Math"/>
                  <w:i/>
                  <w:lang w:val="en-AU"/>
                </w:rPr>
              </m:ctrlPr>
            </m:dPr>
            <m:e>
              <m:r>
                <w:rPr>
                  <w:rFonts w:ascii="Cambria Math" w:hAnsi="Cambria Math"/>
                  <w:lang w:val="en-AU"/>
                </w:rPr>
                <m:t>S,t</m:t>
              </m:r>
            </m:e>
          </m:d>
          <m:r>
            <w:rPr>
              <w:rFonts w:ascii="Cambria Math" w:hAnsi="Cambria Math"/>
              <w:lang w:val="en-AU"/>
            </w:rPr>
            <m:t>=N</m:t>
          </m:r>
          <m:d>
            <m:dPr>
              <m:ctrlPr>
                <w:rPr>
                  <w:rFonts w:ascii="Cambria Math" w:hAnsi="Cambria Math"/>
                  <w:i/>
                  <w:lang w:val="en-AU"/>
                </w:rPr>
              </m:ctrlPr>
            </m:dPr>
            <m:e>
              <m:sSub>
                <m:sSubPr>
                  <m:ctrlPr>
                    <w:rPr>
                      <w:rFonts w:ascii="Cambria Math" w:hAnsi="Cambria Math"/>
                      <w:i/>
                      <w:lang w:val="en-AU"/>
                    </w:rPr>
                  </m:ctrlPr>
                </m:sSubPr>
                <m:e>
                  <m:r>
                    <w:rPr>
                      <w:rFonts w:ascii="Cambria Math" w:hAnsi="Cambria Math"/>
                      <w:lang w:val="en-AU"/>
                    </w:rPr>
                    <m:t>d</m:t>
                  </m:r>
                </m:e>
                <m:sub>
                  <m:r>
                    <w:rPr>
                      <w:rFonts w:ascii="Cambria Math" w:hAnsi="Cambria Math"/>
                      <w:lang w:val="en-AU"/>
                    </w:rPr>
                    <m:t>1</m:t>
                  </m:r>
                </m:sub>
              </m:sSub>
            </m:e>
          </m:d>
          <m:r>
            <w:rPr>
              <w:rFonts w:ascii="Cambria Math" w:hAnsi="Cambria Math"/>
              <w:lang w:val="en-AU"/>
            </w:rPr>
            <m:t>S-N</m:t>
          </m:r>
          <m:d>
            <m:dPr>
              <m:ctrlPr>
                <w:rPr>
                  <w:rFonts w:ascii="Cambria Math" w:hAnsi="Cambria Math"/>
                  <w:i/>
                  <w:lang w:val="en-AU"/>
                </w:rPr>
              </m:ctrlPr>
            </m:dPr>
            <m:e>
              <m:sSub>
                <m:sSubPr>
                  <m:ctrlPr>
                    <w:rPr>
                      <w:rFonts w:ascii="Cambria Math" w:hAnsi="Cambria Math"/>
                      <w:i/>
                      <w:lang w:val="en-AU"/>
                    </w:rPr>
                  </m:ctrlPr>
                </m:sSubPr>
                <m:e>
                  <m:r>
                    <w:rPr>
                      <w:rFonts w:ascii="Cambria Math" w:hAnsi="Cambria Math"/>
                      <w:lang w:val="en-AU"/>
                    </w:rPr>
                    <m:t>d</m:t>
                  </m:r>
                </m:e>
                <m:sub>
                  <m:r>
                    <w:rPr>
                      <w:rFonts w:ascii="Cambria Math" w:hAnsi="Cambria Math"/>
                      <w:lang w:val="en-AU"/>
                    </w:rPr>
                    <m:t>2</m:t>
                  </m:r>
                </m:sub>
              </m:sSub>
            </m:e>
          </m:d>
          <m:r>
            <w:rPr>
              <w:rFonts w:ascii="Cambria Math" w:hAnsi="Cambria Math"/>
              <w:lang w:val="en-AU"/>
            </w:rPr>
            <m:t>K</m:t>
          </m:r>
          <m:sSup>
            <m:sSupPr>
              <m:ctrlPr>
                <w:rPr>
                  <w:rFonts w:ascii="Cambria Math" w:hAnsi="Cambria Math"/>
                  <w:i/>
                  <w:lang w:val="en-AU"/>
                </w:rPr>
              </m:ctrlPr>
            </m:sSupPr>
            <m:e>
              <m:r>
                <w:rPr>
                  <w:rFonts w:ascii="Cambria Math" w:hAnsi="Cambria Math"/>
                  <w:lang w:val="en-AU"/>
                </w:rPr>
                <m:t>e</m:t>
              </m:r>
            </m:e>
            <m:sup>
              <m:r>
                <w:rPr>
                  <w:rFonts w:ascii="Cambria Math" w:hAnsi="Cambria Math"/>
                  <w:lang w:val="en-AU"/>
                </w:rPr>
                <m:t>-r</m:t>
              </m:r>
              <m:d>
                <m:dPr>
                  <m:ctrlPr>
                    <w:rPr>
                      <w:rFonts w:ascii="Cambria Math" w:hAnsi="Cambria Math"/>
                      <w:i/>
                      <w:lang w:val="en-AU"/>
                    </w:rPr>
                  </m:ctrlPr>
                </m:dPr>
                <m:e>
                  <m:r>
                    <w:rPr>
                      <w:rFonts w:ascii="Cambria Math" w:hAnsi="Cambria Math"/>
                      <w:lang w:val="en-AU"/>
                    </w:rPr>
                    <m:t>T-t</m:t>
                  </m:r>
                </m:e>
              </m:d>
            </m:sup>
          </m:sSup>
        </m:oMath>
      </m:oMathPara>
    </w:p>
    <w:p w:rsidR="00AD7DA2" w:rsidRDefault="00AD7DA2" w:rsidP="009F7743">
      <w:pPr>
        <w:shd w:val="clear" w:color="auto" w:fill="FFFFFF"/>
        <w:spacing w:after="0" w:line="240" w:lineRule="auto"/>
        <w:jc w:val="both"/>
        <w:rPr>
          <w:lang w:val="en-AU"/>
        </w:rPr>
      </w:pPr>
      <w:r>
        <w:rPr>
          <w:lang w:val="en-AU"/>
        </w:rPr>
        <w:tab/>
        <w:t>Where N is the cumulative distribution function of the standard normal distribution</w:t>
      </w:r>
      <w:r w:rsidR="00C33248">
        <w:rPr>
          <w:lang w:val="en-AU"/>
        </w:rPr>
        <w:t>,</w:t>
      </w:r>
      <w:r>
        <w:rPr>
          <w:lang w:val="en-AU"/>
        </w:rPr>
        <w:t xml:space="preserve"> e is the exponential function</w:t>
      </w:r>
      <w:r w:rsidR="00C33248">
        <w:rPr>
          <w:lang w:val="en-AU"/>
        </w:rPr>
        <w:t xml:space="preserve">, and </w:t>
      </w:r>
      <w:r w:rsidR="00BE0668">
        <w:rPr>
          <w:lang w:val="en-AU"/>
        </w:rPr>
        <w:t>d_1 and d_2 as follows</w:t>
      </w:r>
    </w:p>
    <w:p w:rsidR="00BE0668" w:rsidRPr="00BE0668" w:rsidRDefault="00DB585F" w:rsidP="009F7743">
      <w:pPr>
        <w:shd w:val="clear" w:color="auto" w:fill="FFFFFF"/>
        <w:spacing w:after="0" w:line="240" w:lineRule="auto"/>
        <w:jc w:val="both"/>
        <w:rPr>
          <w:rFonts w:eastAsiaTheme="minorEastAsia"/>
          <w:lang w:val="en-AU"/>
        </w:rPr>
      </w:pPr>
      <m:oMathPara>
        <m:oMath>
          <m:sSub>
            <m:sSubPr>
              <m:ctrlPr>
                <w:rPr>
                  <w:rFonts w:ascii="Cambria Math" w:hAnsi="Cambria Math"/>
                  <w:i/>
                  <w:lang w:val="en-AU"/>
                </w:rPr>
              </m:ctrlPr>
            </m:sSubPr>
            <m:e>
              <m:r>
                <w:rPr>
                  <w:rFonts w:ascii="Cambria Math" w:hAnsi="Cambria Math"/>
                  <w:lang w:val="en-AU"/>
                </w:rPr>
                <m:t>d</m:t>
              </m:r>
            </m:e>
            <m:sub>
              <m:r>
                <w:rPr>
                  <w:rFonts w:ascii="Cambria Math" w:hAnsi="Cambria Math"/>
                  <w:lang w:val="en-AU"/>
                </w:rPr>
                <m:t>1</m:t>
              </m:r>
            </m:sub>
          </m:sSub>
          <m:r>
            <w:rPr>
              <w:rFonts w:ascii="Cambria Math" w:hAnsi="Cambria Math"/>
              <w:lang w:val="en-AU"/>
            </w:rPr>
            <m:t>=</m:t>
          </m:r>
          <m:f>
            <m:fPr>
              <m:ctrlPr>
                <w:rPr>
                  <w:rFonts w:ascii="Cambria Math" w:hAnsi="Cambria Math"/>
                  <w:i/>
                  <w:lang w:val="en-AU"/>
                </w:rPr>
              </m:ctrlPr>
            </m:fPr>
            <m:num>
              <m:func>
                <m:funcPr>
                  <m:ctrlPr>
                    <w:rPr>
                      <w:rFonts w:ascii="Cambria Math" w:hAnsi="Cambria Math"/>
                      <w:i/>
                      <w:lang w:val="en-AU"/>
                    </w:rPr>
                  </m:ctrlPr>
                </m:funcPr>
                <m:fName>
                  <m:r>
                    <m:rPr>
                      <m:sty m:val="p"/>
                    </m:rPr>
                    <w:rPr>
                      <w:rFonts w:ascii="Cambria Math" w:hAnsi="Cambria Math"/>
                      <w:lang w:val="en-AU"/>
                    </w:rPr>
                    <m:t>ln</m:t>
                  </m:r>
                </m:fName>
                <m:e>
                  <m:d>
                    <m:dPr>
                      <m:ctrlPr>
                        <w:rPr>
                          <w:rFonts w:ascii="Cambria Math" w:hAnsi="Cambria Math"/>
                          <w:i/>
                          <w:lang w:val="en-AU"/>
                        </w:rPr>
                      </m:ctrlPr>
                    </m:dPr>
                    <m:e>
                      <m:f>
                        <m:fPr>
                          <m:ctrlPr>
                            <w:rPr>
                              <w:rFonts w:ascii="Cambria Math" w:hAnsi="Cambria Math"/>
                              <w:i/>
                              <w:lang w:val="en-AU"/>
                            </w:rPr>
                          </m:ctrlPr>
                        </m:fPr>
                        <m:num>
                          <m:r>
                            <w:rPr>
                              <w:rFonts w:ascii="Cambria Math" w:hAnsi="Cambria Math"/>
                              <w:lang w:val="en-AU"/>
                            </w:rPr>
                            <m:t>S</m:t>
                          </m:r>
                        </m:num>
                        <m:den>
                          <m:r>
                            <w:rPr>
                              <w:rFonts w:ascii="Cambria Math" w:hAnsi="Cambria Math"/>
                              <w:lang w:val="en-AU"/>
                            </w:rPr>
                            <m:t>K</m:t>
                          </m:r>
                        </m:den>
                      </m:f>
                    </m:e>
                  </m:d>
                </m:e>
              </m:func>
              <m:r>
                <w:rPr>
                  <w:rFonts w:ascii="Cambria Math" w:hAnsi="Cambria Math"/>
                  <w:lang w:val="en-AU"/>
                </w:rPr>
                <m:t>+</m:t>
              </m:r>
              <m:d>
                <m:dPr>
                  <m:ctrlPr>
                    <w:rPr>
                      <w:rFonts w:ascii="Cambria Math" w:hAnsi="Cambria Math"/>
                      <w:i/>
                      <w:lang w:val="en-AU"/>
                    </w:rPr>
                  </m:ctrlPr>
                </m:dPr>
                <m:e>
                  <m:r>
                    <w:rPr>
                      <w:rFonts w:ascii="Cambria Math" w:hAnsi="Cambria Math"/>
                      <w:lang w:val="en-AU"/>
                    </w:rPr>
                    <m:t>r+</m:t>
                  </m:r>
                  <m:f>
                    <m:fPr>
                      <m:ctrlPr>
                        <w:rPr>
                          <w:rFonts w:ascii="Cambria Math" w:hAnsi="Cambria Math"/>
                          <w:i/>
                          <w:lang w:val="en-AU"/>
                        </w:rPr>
                      </m:ctrlPr>
                    </m:fPr>
                    <m:num>
                      <m:sSup>
                        <m:sSupPr>
                          <m:ctrlPr>
                            <w:rPr>
                              <w:rFonts w:ascii="Cambria Math" w:hAnsi="Cambria Math"/>
                              <w:i/>
                              <w:lang w:val="en-AU"/>
                            </w:rPr>
                          </m:ctrlPr>
                        </m:sSupPr>
                        <m:e>
                          <m:r>
                            <w:rPr>
                              <w:rFonts w:ascii="Cambria Math" w:hAnsi="Cambria Math"/>
                              <w:lang w:val="en-AU"/>
                            </w:rPr>
                            <m:t>s</m:t>
                          </m:r>
                        </m:e>
                        <m:sup>
                          <m:r>
                            <w:rPr>
                              <w:rFonts w:ascii="Cambria Math" w:hAnsi="Cambria Math"/>
                              <w:lang w:val="en-AU"/>
                            </w:rPr>
                            <m:t>2</m:t>
                          </m:r>
                        </m:sup>
                      </m:sSup>
                    </m:num>
                    <m:den>
                      <m:r>
                        <w:rPr>
                          <w:rFonts w:ascii="Cambria Math" w:hAnsi="Cambria Math"/>
                          <w:lang w:val="en-AU"/>
                        </w:rPr>
                        <m:t>2</m:t>
                      </m:r>
                    </m:den>
                  </m:f>
                </m:e>
              </m:d>
              <m:r>
                <w:rPr>
                  <w:rFonts w:ascii="Cambria Math" w:hAnsi="Cambria Math"/>
                  <w:lang w:val="en-AU"/>
                </w:rPr>
                <m:t>t</m:t>
              </m:r>
            </m:num>
            <m:den>
              <m:r>
                <w:rPr>
                  <w:rFonts w:ascii="Cambria Math" w:hAnsi="Cambria Math"/>
                  <w:lang w:val="en-AU"/>
                </w:rPr>
                <m:t>s*</m:t>
              </m:r>
              <m:rad>
                <m:radPr>
                  <m:degHide m:val="1"/>
                  <m:ctrlPr>
                    <w:rPr>
                      <w:rFonts w:ascii="Cambria Math" w:hAnsi="Cambria Math"/>
                      <w:i/>
                      <w:lang w:val="en-AU"/>
                    </w:rPr>
                  </m:ctrlPr>
                </m:radPr>
                <m:deg/>
                <m:e>
                  <m:r>
                    <w:rPr>
                      <w:rFonts w:ascii="Cambria Math" w:hAnsi="Cambria Math"/>
                      <w:lang w:val="en-AU"/>
                    </w:rPr>
                    <m:t>t</m:t>
                  </m:r>
                </m:e>
              </m:rad>
            </m:den>
          </m:f>
        </m:oMath>
      </m:oMathPara>
    </w:p>
    <w:p w:rsidR="00BE0668" w:rsidRPr="009F7743" w:rsidRDefault="00DB585F" w:rsidP="009F7743">
      <w:pPr>
        <w:shd w:val="clear" w:color="auto" w:fill="FFFFFF"/>
        <w:spacing w:after="0" w:line="240" w:lineRule="auto"/>
        <w:jc w:val="both"/>
        <w:rPr>
          <w:lang w:val="en-AU"/>
        </w:rPr>
      </w:pPr>
      <m:oMathPara>
        <m:oMath>
          <m:sSub>
            <m:sSubPr>
              <m:ctrlPr>
                <w:rPr>
                  <w:rFonts w:ascii="Cambria Math" w:hAnsi="Cambria Math"/>
                  <w:i/>
                  <w:lang w:val="en-AU"/>
                </w:rPr>
              </m:ctrlPr>
            </m:sSubPr>
            <m:e>
              <m:r>
                <w:rPr>
                  <w:rFonts w:ascii="Cambria Math" w:hAnsi="Cambria Math"/>
                  <w:lang w:val="en-AU"/>
                </w:rPr>
                <m:t>d</m:t>
              </m:r>
            </m:e>
            <m:sub>
              <m:r>
                <w:rPr>
                  <w:rFonts w:ascii="Cambria Math" w:hAnsi="Cambria Math"/>
                  <w:lang w:val="en-AU"/>
                </w:rPr>
                <m:t>2</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d</m:t>
              </m:r>
            </m:e>
            <m:sub>
              <m:r>
                <w:rPr>
                  <w:rFonts w:ascii="Cambria Math" w:hAnsi="Cambria Math"/>
                  <w:lang w:val="en-AU"/>
                </w:rPr>
                <m:t>1</m:t>
              </m:r>
            </m:sub>
          </m:sSub>
          <m:r>
            <w:rPr>
              <w:rFonts w:ascii="Cambria Math" w:hAnsi="Cambria Math"/>
              <w:lang w:val="en-AU"/>
            </w:rPr>
            <m:t xml:space="preserve">-s* </m:t>
          </m:r>
          <m:rad>
            <m:radPr>
              <m:degHide m:val="1"/>
              <m:ctrlPr>
                <w:rPr>
                  <w:rFonts w:ascii="Cambria Math" w:hAnsi="Cambria Math"/>
                  <w:i/>
                  <w:lang w:val="en-AU"/>
                </w:rPr>
              </m:ctrlPr>
            </m:radPr>
            <m:deg/>
            <m:e>
              <m:r>
                <w:rPr>
                  <w:rFonts w:ascii="Cambria Math" w:hAnsi="Cambria Math"/>
                  <w:lang w:val="en-AU"/>
                </w:rPr>
                <m:t>t</m:t>
              </m:r>
            </m:e>
          </m:rad>
        </m:oMath>
      </m:oMathPara>
    </w:p>
    <w:p w:rsidR="00EB6018" w:rsidRDefault="009F7743" w:rsidP="00EB6018">
      <w:pPr>
        <w:shd w:val="clear" w:color="auto" w:fill="FFFFFF"/>
        <w:spacing w:after="0" w:line="240" w:lineRule="auto"/>
        <w:ind w:left="360"/>
        <w:jc w:val="both"/>
        <w:rPr>
          <w:lang w:val="en-AU"/>
        </w:rPr>
      </w:pPr>
      <w:r>
        <w:rPr>
          <w:noProof/>
        </w:rPr>
        <w:lastRenderedPageBreak/>
        <w:drawing>
          <wp:inline distT="0" distB="0" distL="0" distR="0">
            <wp:extent cx="4162425" cy="2973161"/>
            <wp:effectExtent l="0" t="0" r="0" b="0"/>
            <wp:docPr id="3" name="Grafik 3" descr="File:Call option's value diagram of the Black-Scholes model.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le:Call option's value diagram of the Black-Scholes model.sv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170691" cy="2979065"/>
                    </a:xfrm>
                    <a:prstGeom prst="rect">
                      <a:avLst/>
                    </a:prstGeom>
                    <a:noFill/>
                    <a:ln>
                      <a:noFill/>
                    </a:ln>
                  </pic:spPr>
                </pic:pic>
              </a:graphicData>
            </a:graphic>
          </wp:inline>
        </w:drawing>
      </w:r>
      <w:r>
        <w:rPr>
          <w:lang w:val="en-AU"/>
        </w:rPr>
        <w:t xml:space="preserve">Source: </w:t>
      </w:r>
      <w:proofErr w:type="spellStart"/>
      <w:r w:rsidR="002B215E">
        <w:rPr>
          <w:lang w:val="en-AU"/>
        </w:rPr>
        <w:t>wikimedia</w:t>
      </w:r>
      <w:proofErr w:type="spellEnd"/>
    </w:p>
    <w:p w:rsidR="009F7743" w:rsidRDefault="009F7743" w:rsidP="00EB6018">
      <w:pPr>
        <w:shd w:val="clear" w:color="auto" w:fill="FFFFFF"/>
        <w:spacing w:after="0" w:line="240" w:lineRule="auto"/>
        <w:ind w:left="360"/>
        <w:jc w:val="both"/>
        <w:rPr>
          <w:lang w:val="en-AU"/>
        </w:rPr>
      </w:pPr>
    </w:p>
    <w:p w:rsidR="009F7743" w:rsidRDefault="009F7743" w:rsidP="00EB6018">
      <w:pPr>
        <w:shd w:val="clear" w:color="auto" w:fill="FFFFFF"/>
        <w:spacing w:after="0" w:line="240" w:lineRule="auto"/>
        <w:ind w:left="360"/>
        <w:jc w:val="both"/>
        <w:rPr>
          <w:lang w:val="en-AU"/>
        </w:rPr>
      </w:pPr>
      <w:r>
        <w:rPr>
          <w:lang w:val="en-AU"/>
        </w:rPr>
        <w:t>For a given point in time it outputs the calculated payoff</w:t>
      </w:r>
      <w:r w:rsidR="00E62B07">
        <w:rPr>
          <w:lang w:val="en-AU"/>
        </w:rPr>
        <w:t xml:space="preserve"> with respect to the other parameters as mentioned before</w:t>
      </w:r>
      <w:r>
        <w:rPr>
          <w:lang w:val="en-AU"/>
        </w:rPr>
        <w:t>.</w:t>
      </w:r>
      <w:r w:rsidR="00BE0668">
        <w:rPr>
          <w:lang w:val="en-AU"/>
        </w:rPr>
        <w:t xml:space="preserve"> The above example shows the relevance of the time to option expiration.</w:t>
      </w:r>
    </w:p>
    <w:p w:rsidR="005D421D" w:rsidRDefault="005D421D" w:rsidP="00EB6018">
      <w:pPr>
        <w:shd w:val="clear" w:color="auto" w:fill="FFFFFF"/>
        <w:spacing w:after="0" w:line="240" w:lineRule="auto"/>
        <w:ind w:left="360"/>
        <w:jc w:val="both"/>
        <w:rPr>
          <w:lang w:val="en-AU"/>
        </w:rPr>
      </w:pPr>
      <w:r>
        <w:rPr>
          <w:lang w:val="en-AU"/>
        </w:rPr>
        <w:t>Bid-ask-model (also known as buy-sell) as used by many exchanges offers investors the possibility to get the most out of their shares by not buying at a fixed price only (as known from direct trading), but buying for a specific price or below</w:t>
      </w:r>
      <w:r w:rsidR="00C17B4E">
        <w:rPr>
          <w:lang w:val="en-AU"/>
        </w:rPr>
        <w:t>,</w:t>
      </w:r>
      <w:r>
        <w:rPr>
          <w:lang w:val="en-AU"/>
        </w:rPr>
        <w:t xml:space="preserve"> or selling for an exact value or above, respectively.</w:t>
      </w:r>
    </w:p>
    <w:p w:rsidR="005D421D" w:rsidRDefault="005D421D" w:rsidP="00EB6018">
      <w:pPr>
        <w:shd w:val="clear" w:color="auto" w:fill="FFFFFF"/>
        <w:spacing w:after="0" w:line="240" w:lineRule="auto"/>
        <w:ind w:left="360"/>
        <w:jc w:val="both"/>
        <w:rPr>
          <w:lang w:val="en-AU"/>
        </w:rPr>
      </w:pPr>
      <w:r>
        <w:rPr>
          <w:lang w:val="en-AU"/>
        </w:rPr>
        <w:t>Tables that show the price correlations usually look like this</w:t>
      </w:r>
    </w:p>
    <w:p w:rsidR="0060614F" w:rsidRDefault="0060614F" w:rsidP="00EB6018">
      <w:pPr>
        <w:shd w:val="clear" w:color="auto" w:fill="FFFFFF"/>
        <w:spacing w:after="0" w:line="240" w:lineRule="auto"/>
        <w:ind w:left="360"/>
        <w:jc w:val="both"/>
        <w:rPr>
          <w:lang w:val="en-AU"/>
        </w:rPr>
      </w:pPr>
    </w:p>
    <w:p w:rsidR="005D421D" w:rsidRDefault="005D421D" w:rsidP="00EB6018">
      <w:pPr>
        <w:shd w:val="clear" w:color="auto" w:fill="FFFFFF"/>
        <w:spacing w:after="0" w:line="240" w:lineRule="auto"/>
        <w:ind w:left="360"/>
        <w:jc w:val="both"/>
        <w:rPr>
          <w:lang w:val="en-AU"/>
        </w:rPr>
      </w:pPr>
      <w:r>
        <w:rPr>
          <w:noProof/>
        </w:rPr>
        <w:drawing>
          <wp:inline distT="0" distB="0" distL="0" distR="0" wp14:anchorId="5D4D0436" wp14:editId="3E5790F5">
            <wp:extent cx="5760720" cy="290449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904490"/>
                    </a:xfrm>
                    <a:prstGeom prst="rect">
                      <a:avLst/>
                    </a:prstGeom>
                  </pic:spPr>
                </pic:pic>
              </a:graphicData>
            </a:graphic>
          </wp:inline>
        </w:drawing>
      </w:r>
    </w:p>
    <w:p w:rsidR="005D421D" w:rsidRDefault="005D421D" w:rsidP="00EB6018">
      <w:pPr>
        <w:shd w:val="clear" w:color="auto" w:fill="FFFFFF"/>
        <w:spacing w:after="0" w:line="240" w:lineRule="auto"/>
        <w:ind w:left="360"/>
        <w:jc w:val="both"/>
        <w:rPr>
          <w:lang w:val="en-AU"/>
        </w:rPr>
      </w:pPr>
      <w:r>
        <w:rPr>
          <w:lang w:val="en-AU"/>
        </w:rPr>
        <w:t xml:space="preserve">(Captured from </w:t>
      </w:r>
      <w:proofErr w:type="spellStart"/>
      <w:r>
        <w:rPr>
          <w:lang w:val="en-AU"/>
        </w:rPr>
        <w:t>poloniex</w:t>
      </w:r>
      <w:proofErr w:type="spellEnd"/>
      <w:r w:rsidR="00B354CF">
        <w:rPr>
          <w:lang w:val="en-AU"/>
        </w:rPr>
        <w:t xml:space="preserve"> crypto-exchange</w:t>
      </w:r>
      <w:r>
        <w:rPr>
          <w:lang w:val="en-AU"/>
        </w:rPr>
        <w:t>)</w:t>
      </w:r>
    </w:p>
    <w:p w:rsidR="005D421D" w:rsidRDefault="005D421D" w:rsidP="005D421D">
      <w:pPr>
        <w:shd w:val="clear" w:color="auto" w:fill="FFFFFF"/>
        <w:spacing w:after="0" w:line="240" w:lineRule="auto"/>
        <w:ind w:left="360"/>
        <w:jc w:val="both"/>
        <w:rPr>
          <w:lang w:val="en-AU"/>
        </w:rPr>
      </w:pPr>
      <w:r>
        <w:rPr>
          <w:lang w:val="en-AU"/>
        </w:rPr>
        <w:t xml:space="preserve"> </w:t>
      </w:r>
    </w:p>
    <w:p w:rsidR="00B66EAE" w:rsidRDefault="005D421D" w:rsidP="005D421D">
      <w:pPr>
        <w:shd w:val="clear" w:color="auto" w:fill="FFFFFF"/>
        <w:spacing w:after="0" w:line="240" w:lineRule="auto"/>
        <w:ind w:left="360"/>
        <w:jc w:val="both"/>
        <w:rPr>
          <w:lang w:val="en-AU"/>
        </w:rPr>
      </w:pPr>
      <w:r>
        <w:rPr>
          <w:lang w:val="en-AU"/>
        </w:rPr>
        <w:t xml:space="preserve">While it’s easy to spot that the lowest sell price will be lower than the </w:t>
      </w:r>
      <w:r w:rsidR="0060614F">
        <w:rPr>
          <w:lang w:val="en-AU"/>
        </w:rPr>
        <w:t>highest buy price (which means that sellers want to get as much as possible and buyers want to pay as little as possible),</w:t>
      </w:r>
      <w:r w:rsidR="00B66EAE">
        <w:rPr>
          <w:lang w:val="en-AU"/>
        </w:rPr>
        <w:t xml:space="preserve"> the spread, i.e., the “gap” between buy and sell, and the amounts of requests for each price offer the possibility to visualize the bid-ask-model as follows</w:t>
      </w:r>
    </w:p>
    <w:p w:rsidR="0060614F" w:rsidRDefault="00B66EAE" w:rsidP="00B66EAE">
      <w:pPr>
        <w:shd w:val="clear" w:color="auto" w:fill="FFFFFF"/>
        <w:spacing w:after="0" w:line="240" w:lineRule="auto"/>
        <w:ind w:left="360"/>
        <w:jc w:val="both"/>
        <w:rPr>
          <w:lang w:val="en-AU"/>
        </w:rPr>
      </w:pPr>
      <w:r>
        <w:rPr>
          <w:lang w:val="en-AU"/>
        </w:rPr>
        <w:t xml:space="preserve"> </w:t>
      </w:r>
    </w:p>
    <w:p w:rsidR="0060614F" w:rsidRDefault="00B66EAE" w:rsidP="005D421D">
      <w:pPr>
        <w:shd w:val="clear" w:color="auto" w:fill="FFFFFF"/>
        <w:spacing w:after="0" w:line="240" w:lineRule="auto"/>
        <w:ind w:left="360"/>
        <w:jc w:val="both"/>
        <w:rPr>
          <w:lang w:val="en-AU"/>
        </w:rPr>
      </w:pPr>
      <w:r>
        <w:rPr>
          <w:noProof/>
        </w:rPr>
        <w:lastRenderedPageBreak/>
        <w:drawing>
          <wp:inline distT="0" distB="0" distL="0" distR="0" wp14:anchorId="19DDC0DC" wp14:editId="2DD69FA7">
            <wp:extent cx="5760720" cy="1671320"/>
            <wp:effectExtent l="0" t="0" r="0" b="508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1671320"/>
                    </a:xfrm>
                    <a:prstGeom prst="rect">
                      <a:avLst/>
                    </a:prstGeom>
                  </pic:spPr>
                </pic:pic>
              </a:graphicData>
            </a:graphic>
          </wp:inline>
        </w:drawing>
      </w:r>
    </w:p>
    <w:p w:rsidR="00B66EAE" w:rsidRDefault="00B66EAE" w:rsidP="005D421D">
      <w:pPr>
        <w:shd w:val="clear" w:color="auto" w:fill="FFFFFF"/>
        <w:spacing w:after="0" w:line="240" w:lineRule="auto"/>
        <w:ind w:left="360"/>
        <w:jc w:val="both"/>
        <w:rPr>
          <w:lang w:val="en-AU"/>
        </w:rPr>
      </w:pPr>
    </w:p>
    <w:p w:rsidR="00B66EAE" w:rsidRDefault="00B728E0" w:rsidP="005D421D">
      <w:pPr>
        <w:shd w:val="clear" w:color="auto" w:fill="FFFFFF"/>
        <w:spacing w:after="0" w:line="240" w:lineRule="auto"/>
        <w:ind w:left="360"/>
        <w:jc w:val="both"/>
        <w:rPr>
          <w:lang w:val="en-AU"/>
        </w:rPr>
      </w:pPr>
      <w:r>
        <w:rPr>
          <w:lang w:val="en-AU"/>
        </w:rPr>
        <w:t>The heights of the walls at several points display the main “psychological barriers” for prices. Usually, it requires a lot of buy power to break through a full $ 100 multiple or even through $ 1.000s.</w:t>
      </w:r>
    </w:p>
    <w:p w:rsidR="0060614F" w:rsidRDefault="00B354CF" w:rsidP="005D421D">
      <w:pPr>
        <w:shd w:val="clear" w:color="auto" w:fill="FFFFFF"/>
        <w:spacing w:after="0" w:line="240" w:lineRule="auto"/>
        <w:ind w:left="360"/>
        <w:jc w:val="both"/>
        <w:rPr>
          <w:lang w:val="en-AU"/>
        </w:rPr>
      </w:pPr>
      <w:r>
        <w:rPr>
          <w:lang w:val="en-AU"/>
        </w:rPr>
        <w:t>Aside f</w:t>
      </w:r>
      <w:r w:rsidR="0060614F">
        <w:rPr>
          <w:lang w:val="en-AU"/>
        </w:rPr>
        <w:t xml:space="preserve">rom the </w:t>
      </w:r>
      <w:r w:rsidR="00514EEA">
        <w:rPr>
          <w:lang w:val="en-AU"/>
        </w:rPr>
        <w:t>above</w:t>
      </w:r>
      <w:r w:rsidR="0060614F">
        <w:rPr>
          <w:lang w:val="en-AU"/>
        </w:rPr>
        <w:t xml:space="preserve"> figure we can also look at the volume. While the volume for bid-ask graphs can also be relevant to price development, another aspect is the trading volume of a currency. It usually correlates to the price as well and we can find patters like the Wedge </w:t>
      </w:r>
      <w:r w:rsidR="00942BC5">
        <w:rPr>
          <w:lang w:val="en-AU"/>
        </w:rPr>
        <w:t>as described in the next section</w:t>
      </w:r>
      <w:r w:rsidR="0060614F">
        <w:rPr>
          <w:lang w:val="en-AU"/>
        </w:rPr>
        <w:t>. These, however, do not always apply and it is generally a good idea to consider multiple market rating systems.</w:t>
      </w:r>
    </w:p>
    <w:p w:rsidR="00AE7546" w:rsidRDefault="00AE7546" w:rsidP="00942BC5">
      <w:pPr>
        <w:jc w:val="both"/>
        <w:rPr>
          <w:b/>
          <w:sz w:val="32"/>
          <w:lang w:val="en-AU"/>
        </w:rPr>
      </w:pPr>
    </w:p>
    <w:p w:rsidR="00C013A5" w:rsidRPr="00DC7F6B" w:rsidRDefault="00C013A5" w:rsidP="00AE7546">
      <w:pPr>
        <w:ind w:left="360"/>
        <w:jc w:val="both"/>
        <w:rPr>
          <w:b/>
          <w:sz w:val="32"/>
          <w:lang w:val="en-AU"/>
        </w:rPr>
      </w:pPr>
      <w:r w:rsidRPr="00DC7F6B">
        <w:rPr>
          <w:b/>
          <w:sz w:val="32"/>
          <w:lang w:val="en-AU"/>
        </w:rPr>
        <w:t>3.</w:t>
      </w:r>
      <w:r w:rsidR="005E6E48">
        <w:rPr>
          <w:b/>
          <w:sz w:val="32"/>
          <w:lang w:val="en-AU"/>
        </w:rPr>
        <w:t>3</w:t>
      </w:r>
      <w:r w:rsidRPr="00DC7F6B">
        <w:rPr>
          <w:b/>
          <w:sz w:val="32"/>
          <w:lang w:val="en-AU"/>
        </w:rPr>
        <w:tab/>
      </w:r>
      <w:r w:rsidR="00DC7F6B" w:rsidRPr="00DC7F6B">
        <w:rPr>
          <w:b/>
          <w:sz w:val="32"/>
          <w:lang w:val="en-AU"/>
        </w:rPr>
        <w:t>Pr</w:t>
      </w:r>
      <w:r w:rsidR="00DC7F6B">
        <w:rPr>
          <w:b/>
          <w:sz w:val="32"/>
          <w:lang w:val="en-AU"/>
        </w:rPr>
        <w:t>ice</w:t>
      </w:r>
      <w:r w:rsidR="00212977">
        <w:rPr>
          <w:b/>
          <w:sz w:val="32"/>
          <w:lang w:val="en-AU"/>
        </w:rPr>
        <w:t xml:space="preserve"> to </w:t>
      </w:r>
      <w:r w:rsidR="00AE7546">
        <w:rPr>
          <w:b/>
          <w:sz w:val="32"/>
          <w:lang w:val="en-AU"/>
        </w:rPr>
        <w:t>volume</w:t>
      </w:r>
      <w:r w:rsidR="00212977">
        <w:rPr>
          <w:b/>
          <w:sz w:val="32"/>
          <w:lang w:val="en-AU"/>
        </w:rPr>
        <w:t xml:space="preserve"> correlation</w:t>
      </w:r>
    </w:p>
    <w:p w:rsidR="00C013A5" w:rsidRDefault="008D75FF" w:rsidP="00AE7546">
      <w:pPr>
        <w:shd w:val="clear" w:color="auto" w:fill="FFFFFF"/>
        <w:spacing w:after="0" w:line="240" w:lineRule="auto"/>
        <w:ind w:left="360"/>
        <w:jc w:val="both"/>
        <w:rPr>
          <w:lang w:val="en-AU"/>
        </w:rPr>
      </w:pPr>
      <w:r>
        <w:rPr>
          <w:lang w:val="en-AU"/>
        </w:rPr>
        <w:t xml:space="preserve">Many instruments to predict </w:t>
      </w:r>
      <w:r w:rsidR="00EB6B43">
        <w:rPr>
          <w:lang w:val="en-AU"/>
        </w:rPr>
        <w:t>market trends have been developed and some of them might not look as intuitive as others or relevant at all.</w:t>
      </w:r>
    </w:p>
    <w:p w:rsidR="00EB6B43" w:rsidRDefault="00EB6B43" w:rsidP="00AE7546">
      <w:pPr>
        <w:shd w:val="clear" w:color="auto" w:fill="FFFFFF"/>
        <w:spacing w:after="0" w:line="240" w:lineRule="auto"/>
        <w:ind w:left="360"/>
        <w:jc w:val="both"/>
        <w:rPr>
          <w:lang w:val="en-AU"/>
        </w:rPr>
      </w:pPr>
      <w:r>
        <w:rPr>
          <w:lang w:val="en-AU"/>
        </w:rPr>
        <w:t>One common process involves applying patterns to the bygone market development. One of these patterns is the falling wedge:</w:t>
      </w:r>
    </w:p>
    <w:p w:rsidR="002E5BDD" w:rsidRDefault="002E5BDD" w:rsidP="00AE7546">
      <w:pPr>
        <w:shd w:val="clear" w:color="auto" w:fill="FFFFFF"/>
        <w:spacing w:after="0" w:line="240" w:lineRule="auto"/>
        <w:ind w:left="360"/>
        <w:jc w:val="both"/>
        <w:rPr>
          <w:lang w:val="en-AU"/>
        </w:rPr>
      </w:pPr>
    </w:p>
    <w:p w:rsidR="00EB6B43" w:rsidRDefault="00EB6B43" w:rsidP="00AE7546">
      <w:pPr>
        <w:shd w:val="clear" w:color="auto" w:fill="FFFFFF"/>
        <w:spacing w:after="0" w:line="240" w:lineRule="auto"/>
        <w:ind w:left="360"/>
        <w:jc w:val="both"/>
        <w:rPr>
          <w:lang w:val="en-AU"/>
        </w:rPr>
      </w:pPr>
      <w:r>
        <w:rPr>
          <w:noProof/>
        </w:rPr>
        <w:drawing>
          <wp:inline distT="0" distB="0" distL="0" distR="0">
            <wp:extent cx="2333625" cy="2479958"/>
            <wp:effectExtent l="0" t="0" r="0" b="0"/>
            <wp:docPr id="5" name="Grafik 5" descr="Bildergebnis fÃ¼r price trend trading patter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Bildergebnis fÃ¼r price trend trading patter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42605" cy="2489501"/>
                    </a:xfrm>
                    <a:prstGeom prst="rect">
                      <a:avLst/>
                    </a:prstGeom>
                    <a:noFill/>
                    <a:ln>
                      <a:noFill/>
                    </a:ln>
                  </pic:spPr>
                </pic:pic>
              </a:graphicData>
            </a:graphic>
          </wp:inline>
        </w:drawing>
      </w:r>
    </w:p>
    <w:p w:rsidR="002E5BDD" w:rsidRDefault="002E5BDD" w:rsidP="00AE7546">
      <w:pPr>
        <w:shd w:val="clear" w:color="auto" w:fill="FFFFFF"/>
        <w:spacing w:after="0" w:line="240" w:lineRule="auto"/>
        <w:ind w:left="360"/>
        <w:jc w:val="both"/>
        <w:rPr>
          <w:lang w:val="en-AU"/>
        </w:rPr>
      </w:pPr>
    </w:p>
    <w:p w:rsidR="00C013A5" w:rsidRDefault="00EB6B43" w:rsidP="00452940">
      <w:pPr>
        <w:shd w:val="clear" w:color="auto" w:fill="FFFFFF"/>
        <w:spacing w:after="0" w:line="240" w:lineRule="auto"/>
        <w:ind w:left="360"/>
        <w:jc w:val="both"/>
        <w:rPr>
          <w:lang w:val="en-AU"/>
        </w:rPr>
      </w:pPr>
      <w:r>
        <w:rPr>
          <w:lang w:val="en-AU"/>
        </w:rPr>
        <w:t>This pattern shows a strong upward trend after a decline and generally is a bullish pattern.</w:t>
      </w:r>
    </w:p>
    <w:p w:rsidR="00452940" w:rsidRDefault="007B7F7E" w:rsidP="00452940">
      <w:pPr>
        <w:shd w:val="clear" w:color="auto" w:fill="FFFFFF"/>
        <w:spacing w:after="0" w:line="240" w:lineRule="auto"/>
        <w:ind w:left="360"/>
        <w:jc w:val="both"/>
        <w:rPr>
          <w:lang w:val="en-AU"/>
        </w:rPr>
      </w:pPr>
      <w:r>
        <w:rPr>
          <w:lang w:val="en-AU"/>
        </w:rPr>
        <w:t xml:space="preserve">While there are dozens and dozens of patterns, another method to estimate price development is the price to volume correlation. </w:t>
      </w:r>
    </w:p>
    <w:p w:rsidR="007C66FD" w:rsidRDefault="007C66FD" w:rsidP="00452940">
      <w:pPr>
        <w:shd w:val="clear" w:color="auto" w:fill="FFFFFF"/>
        <w:spacing w:after="0" w:line="240" w:lineRule="auto"/>
        <w:ind w:left="360"/>
        <w:jc w:val="both"/>
        <w:rPr>
          <w:lang w:val="en-AU"/>
        </w:rPr>
      </w:pPr>
    </w:p>
    <w:p w:rsidR="007C66FD" w:rsidRDefault="007C66FD" w:rsidP="00452940">
      <w:pPr>
        <w:shd w:val="clear" w:color="auto" w:fill="FFFFFF"/>
        <w:spacing w:after="0" w:line="240" w:lineRule="auto"/>
        <w:ind w:left="360"/>
        <w:jc w:val="both"/>
        <w:rPr>
          <w:lang w:val="en-AU"/>
        </w:rPr>
      </w:pPr>
      <w:r>
        <w:rPr>
          <w:noProof/>
        </w:rPr>
        <w:lastRenderedPageBreak/>
        <w:drawing>
          <wp:inline distT="0" distB="0" distL="0" distR="0" wp14:anchorId="257F5EE3" wp14:editId="0B2542B6">
            <wp:extent cx="5760720" cy="2794635"/>
            <wp:effectExtent l="0" t="0" r="0" b="571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794635"/>
                    </a:xfrm>
                    <a:prstGeom prst="rect">
                      <a:avLst/>
                    </a:prstGeom>
                  </pic:spPr>
                </pic:pic>
              </a:graphicData>
            </a:graphic>
          </wp:inline>
        </w:drawing>
      </w:r>
    </w:p>
    <w:p w:rsidR="007C66FD" w:rsidRDefault="00537888" w:rsidP="00452940">
      <w:pPr>
        <w:shd w:val="clear" w:color="auto" w:fill="FFFFFF"/>
        <w:spacing w:after="0" w:line="240" w:lineRule="auto"/>
        <w:ind w:left="360"/>
        <w:jc w:val="both"/>
        <w:rPr>
          <w:lang w:val="en-AU"/>
        </w:rPr>
      </w:pPr>
      <w:r>
        <w:rPr>
          <w:lang w:val="en-AU"/>
        </w:rPr>
        <w:t>Source: cryptowat.ch</w:t>
      </w:r>
    </w:p>
    <w:p w:rsidR="00537888" w:rsidRDefault="00537888" w:rsidP="00452940">
      <w:pPr>
        <w:shd w:val="clear" w:color="auto" w:fill="FFFFFF"/>
        <w:spacing w:after="0" w:line="240" w:lineRule="auto"/>
        <w:ind w:left="360"/>
        <w:jc w:val="both"/>
        <w:rPr>
          <w:lang w:val="en-AU"/>
        </w:rPr>
      </w:pPr>
    </w:p>
    <w:p w:rsidR="007C66FD" w:rsidRDefault="00335901" w:rsidP="00452940">
      <w:pPr>
        <w:shd w:val="clear" w:color="auto" w:fill="FFFFFF"/>
        <w:spacing w:after="0" w:line="240" w:lineRule="auto"/>
        <w:ind w:left="360"/>
        <w:jc w:val="both"/>
        <w:rPr>
          <w:lang w:val="en-AU"/>
        </w:rPr>
      </w:pPr>
      <w:r>
        <w:rPr>
          <w:noProof/>
          <w:lang w:val="en-AU"/>
        </w:rPr>
        <w:drawing>
          <wp:anchor distT="0" distB="0" distL="114300" distR="114300" simplePos="0" relativeHeight="251658240" behindDoc="1" locked="0" layoutInCell="1" allowOverlap="1">
            <wp:simplePos x="0" y="0"/>
            <wp:positionH relativeFrom="column">
              <wp:posOffset>5281295</wp:posOffset>
            </wp:positionH>
            <wp:positionV relativeFrom="paragraph">
              <wp:posOffset>3175</wp:posOffset>
            </wp:positionV>
            <wp:extent cx="826770" cy="2362835"/>
            <wp:effectExtent l="0" t="0" r="0" b="0"/>
            <wp:wrapTight wrapText="bothSides">
              <wp:wrapPolygon edited="0">
                <wp:start x="0" y="0"/>
                <wp:lineTo x="0" y="21420"/>
                <wp:lineTo x="20903" y="21420"/>
                <wp:lineTo x="20903" y="0"/>
                <wp:lineTo x="0" y="0"/>
              </wp:wrapPolygon>
            </wp:wrapTight>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26770" cy="2362835"/>
                    </a:xfrm>
                    <a:prstGeom prst="rect">
                      <a:avLst/>
                    </a:prstGeom>
                    <a:noFill/>
                    <a:ln>
                      <a:noFill/>
                    </a:ln>
                  </pic:spPr>
                </pic:pic>
              </a:graphicData>
            </a:graphic>
          </wp:anchor>
        </w:drawing>
      </w:r>
      <w:r w:rsidR="00D76F9C">
        <w:rPr>
          <w:lang w:val="en-AU"/>
        </w:rPr>
        <w:t>From above’s chart we can deduct multiple things</w:t>
      </w:r>
      <w:r w:rsidR="00537888">
        <w:rPr>
          <w:lang w:val="en-AU"/>
        </w:rPr>
        <w:t xml:space="preserve"> in terms of price/volume correlation.</w:t>
      </w:r>
      <w:r w:rsidR="004F123E">
        <w:rPr>
          <w:lang w:val="en-AU"/>
        </w:rPr>
        <w:t xml:space="preserve"> </w:t>
      </w:r>
    </w:p>
    <w:p w:rsidR="00335901" w:rsidRDefault="00064E75" w:rsidP="00452940">
      <w:pPr>
        <w:shd w:val="clear" w:color="auto" w:fill="FFFFFF"/>
        <w:spacing w:after="0" w:line="240" w:lineRule="auto"/>
        <w:ind w:left="360"/>
        <w:jc w:val="both"/>
        <w:rPr>
          <w:lang w:val="en-AU"/>
        </w:rPr>
      </w:pPr>
      <w:r>
        <w:rPr>
          <w:lang w:val="en-AU"/>
        </w:rPr>
        <w:t xml:space="preserve">Note that </w:t>
      </w:r>
      <w:r w:rsidR="00F37893">
        <w:rPr>
          <w:lang w:val="en-AU"/>
        </w:rPr>
        <w:t xml:space="preserve">the </w:t>
      </w:r>
      <w:r>
        <w:rPr>
          <w:lang w:val="en-AU"/>
        </w:rPr>
        <w:t>red volume-spike at the left-handed bottom corner</w:t>
      </w:r>
      <w:r w:rsidR="00F37893">
        <w:rPr>
          <w:lang w:val="en-AU"/>
        </w:rPr>
        <w:t xml:space="preserve"> came along with a drop from</w:t>
      </w:r>
      <w:r w:rsidR="00C168A1">
        <w:rPr>
          <w:lang w:val="en-AU"/>
        </w:rPr>
        <w:t xml:space="preserve"> circa</w:t>
      </w:r>
      <w:r w:rsidR="00F37893">
        <w:rPr>
          <w:lang w:val="en-AU"/>
        </w:rPr>
        <w:t xml:space="preserve"> $ 580 to almost $ 490.</w:t>
      </w:r>
      <w:r w:rsidR="00C168A1">
        <w:rPr>
          <w:lang w:val="en-AU"/>
        </w:rPr>
        <w:t xml:space="preserve"> </w:t>
      </w:r>
      <w:proofErr w:type="gramStart"/>
      <w:r w:rsidR="00C168A1">
        <w:rPr>
          <w:lang w:val="en-AU"/>
        </w:rPr>
        <w:t>Often times</w:t>
      </w:r>
      <w:proofErr w:type="gramEnd"/>
      <w:r w:rsidR="00C168A1">
        <w:rPr>
          <w:lang w:val="en-AU"/>
        </w:rPr>
        <w:t xml:space="preserve"> the volume spikes a while before the markets makes a big move in either direction.</w:t>
      </w:r>
      <w:r w:rsidR="000E3ABD">
        <w:rPr>
          <w:lang w:val="en-AU"/>
        </w:rPr>
        <w:t xml:space="preserve"> </w:t>
      </w:r>
      <w:r w:rsidR="00335901">
        <w:rPr>
          <w:lang w:val="en-AU"/>
        </w:rPr>
        <w:t>The volume mimicked this exact movement in a very similar way, displaying a rational movement.</w:t>
      </w:r>
    </w:p>
    <w:p w:rsidR="00335901" w:rsidRDefault="00335901" w:rsidP="00452940">
      <w:pPr>
        <w:shd w:val="clear" w:color="auto" w:fill="FFFFFF"/>
        <w:spacing w:after="0" w:line="240" w:lineRule="auto"/>
        <w:ind w:left="360"/>
        <w:jc w:val="both"/>
        <w:rPr>
          <w:lang w:val="en-AU"/>
        </w:rPr>
      </w:pPr>
      <w:r>
        <w:rPr>
          <w:lang w:val="en-AU"/>
        </w:rPr>
        <w:t>Usually, correlations are measured in the interval (-1;1). The red volume spike would be a correlation close to 1.</w:t>
      </w:r>
    </w:p>
    <w:p w:rsidR="00335901" w:rsidRDefault="00335901" w:rsidP="00452940">
      <w:pPr>
        <w:shd w:val="clear" w:color="auto" w:fill="FFFFFF"/>
        <w:spacing w:after="0" w:line="240" w:lineRule="auto"/>
        <w:ind w:left="360"/>
        <w:jc w:val="both"/>
        <w:rPr>
          <w:lang w:val="en-AU"/>
        </w:rPr>
      </w:pPr>
      <w:r>
        <w:rPr>
          <w:noProof/>
          <w:lang w:val="en-AU"/>
        </w:rPr>
        <w:drawing>
          <wp:anchor distT="0" distB="0" distL="114300" distR="114300" simplePos="0" relativeHeight="251659264" behindDoc="1" locked="0" layoutInCell="1" allowOverlap="1">
            <wp:simplePos x="0" y="0"/>
            <wp:positionH relativeFrom="column">
              <wp:posOffset>190119</wp:posOffset>
            </wp:positionH>
            <wp:positionV relativeFrom="paragraph">
              <wp:posOffset>6782</wp:posOffset>
            </wp:positionV>
            <wp:extent cx="716915" cy="2750820"/>
            <wp:effectExtent l="0" t="0" r="6985" b="0"/>
            <wp:wrapTight wrapText="bothSides">
              <wp:wrapPolygon edited="0">
                <wp:start x="0" y="0"/>
                <wp:lineTo x="0" y="21391"/>
                <wp:lineTo x="21236" y="21391"/>
                <wp:lineTo x="21236" y="0"/>
                <wp:lineTo x="0" y="0"/>
              </wp:wrapPolygon>
            </wp:wrapTight>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16915" cy="2750820"/>
                    </a:xfrm>
                    <a:prstGeom prst="rect">
                      <a:avLst/>
                    </a:prstGeom>
                    <a:noFill/>
                    <a:ln>
                      <a:noFill/>
                    </a:ln>
                  </pic:spPr>
                </pic:pic>
              </a:graphicData>
            </a:graphic>
          </wp:anchor>
        </w:drawing>
      </w:r>
    </w:p>
    <w:p w:rsidR="000E3ABD" w:rsidRDefault="00C57F07" w:rsidP="00452940">
      <w:pPr>
        <w:shd w:val="clear" w:color="auto" w:fill="FFFFFF"/>
        <w:spacing w:after="0" w:line="240" w:lineRule="auto"/>
        <w:ind w:left="360"/>
        <w:jc w:val="both"/>
        <w:rPr>
          <w:lang w:val="en-AU"/>
        </w:rPr>
      </w:pPr>
      <w:r>
        <w:rPr>
          <w:lang w:val="en-AU"/>
        </w:rPr>
        <w:t xml:space="preserve">There are multiple ways to find these volume patterns, mainly by finding these in volume rises, declines and drops. In theory, volume and price moving together are respected as a correct, “logical” move. If it does not correlate, an “illogical” move drives the market. </w:t>
      </w:r>
    </w:p>
    <w:p w:rsidR="00335901" w:rsidRDefault="00335901" w:rsidP="00452940">
      <w:pPr>
        <w:shd w:val="clear" w:color="auto" w:fill="FFFFFF"/>
        <w:spacing w:after="0" w:line="240" w:lineRule="auto"/>
        <w:ind w:left="360"/>
        <w:jc w:val="both"/>
        <w:rPr>
          <w:lang w:val="en-AU"/>
        </w:rPr>
      </w:pPr>
      <w:r>
        <w:rPr>
          <w:lang w:val="en-AU"/>
        </w:rPr>
        <w:t>An example for an illogical market development can be found at the right-handed bottom corner. Although the price dropped quite a bit, the market did not follow.</w:t>
      </w:r>
    </w:p>
    <w:p w:rsidR="00335901" w:rsidRDefault="00335901" w:rsidP="00452940">
      <w:pPr>
        <w:shd w:val="clear" w:color="auto" w:fill="FFFFFF"/>
        <w:spacing w:after="0" w:line="240" w:lineRule="auto"/>
        <w:ind w:left="360"/>
        <w:jc w:val="both"/>
        <w:rPr>
          <w:lang w:val="en-AU"/>
        </w:rPr>
      </w:pPr>
      <w:r>
        <w:rPr>
          <w:lang w:val="en-AU"/>
        </w:rPr>
        <w:t xml:space="preserve">This movement generally is a negative correlation (high price movement, low volume movement) and yields a correlation </w:t>
      </w:r>
      <w:r w:rsidR="001815DD">
        <w:rPr>
          <w:lang w:val="en-AU"/>
        </w:rPr>
        <w:t>of 0</w:t>
      </w:r>
      <w:r w:rsidR="00001504">
        <w:rPr>
          <w:lang w:val="en-AU"/>
        </w:rPr>
        <w:t xml:space="preserve"> (</w:t>
      </w:r>
      <w:r w:rsidR="001815DD">
        <w:rPr>
          <w:lang w:val="en-AU"/>
        </w:rPr>
        <w:t>not -1,</w:t>
      </w:r>
      <w:r w:rsidR="00001504">
        <w:rPr>
          <w:lang w:val="en-AU"/>
        </w:rPr>
        <w:t xml:space="preserve"> as we cannot have “negative volume”).</w:t>
      </w:r>
    </w:p>
    <w:p w:rsidR="00335901" w:rsidRDefault="00C15163" w:rsidP="00452940">
      <w:pPr>
        <w:shd w:val="clear" w:color="auto" w:fill="FFFFFF"/>
        <w:spacing w:after="0" w:line="240" w:lineRule="auto"/>
        <w:ind w:left="360"/>
        <w:jc w:val="both"/>
        <w:rPr>
          <w:lang w:val="en-AU"/>
        </w:rPr>
      </w:pPr>
      <w:r>
        <w:rPr>
          <w:lang w:val="en-AU"/>
        </w:rPr>
        <w:t xml:space="preserve">However, correlation does not necessarily equal causation. This means that the volume is not </w:t>
      </w:r>
      <w:r w:rsidR="002B02E9">
        <w:rPr>
          <w:lang w:val="en-AU"/>
        </w:rPr>
        <w:t xml:space="preserve">inevitable </w:t>
      </w:r>
      <w:r>
        <w:rPr>
          <w:lang w:val="en-AU"/>
        </w:rPr>
        <w:t xml:space="preserve">the </w:t>
      </w:r>
      <w:r w:rsidR="002B02E9">
        <w:rPr>
          <w:lang w:val="en-AU"/>
        </w:rPr>
        <w:t xml:space="preserve">single </w:t>
      </w:r>
      <w:r>
        <w:rPr>
          <w:lang w:val="en-AU"/>
        </w:rPr>
        <w:t>underlying reason for a market movement</w:t>
      </w:r>
      <w:r w:rsidR="002B02E9">
        <w:rPr>
          <w:lang w:val="en-AU"/>
        </w:rPr>
        <w:t xml:space="preserve"> or one of multiple causes at all</w:t>
      </w:r>
      <w:r>
        <w:rPr>
          <w:lang w:val="en-AU"/>
        </w:rPr>
        <w:t>.</w:t>
      </w:r>
    </w:p>
    <w:p w:rsidR="007F7B93" w:rsidRDefault="007F7B93" w:rsidP="00452940">
      <w:pPr>
        <w:shd w:val="clear" w:color="auto" w:fill="FFFFFF"/>
        <w:spacing w:after="0" w:line="240" w:lineRule="auto"/>
        <w:ind w:left="360"/>
        <w:jc w:val="both"/>
        <w:rPr>
          <w:lang w:val="en-AU"/>
        </w:rPr>
      </w:pPr>
    </w:p>
    <w:p w:rsidR="007F7B93" w:rsidRDefault="007F7B93" w:rsidP="00452940">
      <w:pPr>
        <w:shd w:val="clear" w:color="auto" w:fill="FFFFFF"/>
        <w:spacing w:after="0" w:line="240" w:lineRule="auto"/>
        <w:ind w:left="360"/>
        <w:jc w:val="both"/>
        <w:rPr>
          <w:lang w:val="en-AU"/>
        </w:rPr>
      </w:pPr>
      <w:r>
        <w:rPr>
          <w:lang w:val="en-AU"/>
        </w:rPr>
        <w:t xml:space="preserve">Many market indicators should be </w:t>
      </w:r>
      <w:r w:rsidR="00DB585F">
        <w:rPr>
          <w:lang w:val="en-AU"/>
        </w:rPr>
        <w:t>considered</w:t>
      </w:r>
      <w:r>
        <w:rPr>
          <w:lang w:val="en-AU"/>
        </w:rPr>
        <w:t xml:space="preserve"> </w:t>
      </w:r>
      <w:proofErr w:type="gramStart"/>
      <w:r>
        <w:rPr>
          <w:lang w:val="en-AU"/>
        </w:rPr>
        <w:t>in order to</w:t>
      </w:r>
      <w:proofErr w:type="gramEnd"/>
      <w:r>
        <w:rPr>
          <w:lang w:val="en-AU"/>
        </w:rPr>
        <w:t xml:space="preserve"> make a rational and profitable call or put.</w:t>
      </w:r>
    </w:p>
    <w:p w:rsidR="007F7B93" w:rsidRPr="00F37893" w:rsidRDefault="007F7B93" w:rsidP="00452940">
      <w:pPr>
        <w:shd w:val="clear" w:color="auto" w:fill="FFFFFF"/>
        <w:spacing w:after="0" w:line="240" w:lineRule="auto"/>
        <w:ind w:left="360"/>
        <w:jc w:val="both"/>
        <w:rPr>
          <w:lang w:val="en-AU"/>
        </w:rPr>
      </w:pPr>
      <w:r>
        <w:rPr>
          <w:lang w:val="en-AU"/>
        </w:rPr>
        <w:t xml:space="preserve">ODEON will introduce its trade platform </w:t>
      </w:r>
      <w:r w:rsidR="00E80B16">
        <w:rPr>
          <w:lang w:val="en-AU"/>
        </w:rPr>
        <w:t xml:space="preserve">with typical tools to support trading of the contracts </w:t>
      </w:r>
      <w:r w:rsidR="00107641">
        <w:rPr>
          <w:lang w:val="en-AU"/>
        </w:rPr>
        <w:t xml:space="preserve">such as volume measurement. </w:t>
      </w:r>
      <w:bookmarkStart w:id="1" w:name="_GoBack"/>
      <w:bookmarkEnd w:id="1"/>
    </w:p>
    <w:sectPr w:rsidR="007F7B93" w:rsidRPr="00F3789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60179F"/>
    <w:multiLevelType w:val="hybridMultilevel"/>
    <w:tmpl w:val="B3A43F86"/>
    <w:lvl w:ilvl="0" w:tplc="A05ED152">
      <w:start w:val="1"/>
      <w:numFmt w:val="decimal"/>
      <w:lvlText w:val="%1."/>
      <w:lvlJc w:val="left"/>
      <w:pPr>
        <w:ind w:left="720" w:hanging="360"/>
      </w:pPr>
      <w:rPr>
        <w:rFonts w:ascii="Arial" w:eastAsia="Times New Roman" w:hAnsi="Arial" w:cs="Arial" w:hint="default"/>
        <w:b/>
        <w:color w:val="000000"/>
        <w:sz w:val="2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D2C7C6F"/>
    <w:multiLevelType w:val="multilevel"/>
    <w:tmpl w:val="DF20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D72ADA"/>
    <w:multiLevelType w:val="multilevel"/>
    <w:tmpl w:val="FC44448A"/>
    <w:lvl w:ilvl="0">
      <w:start w:val="3"/>
      <w:numFmt w:val="decimal"/>
      <w:lvlText w:val="%1"/>
      <w:lvlJc w:val="left"/>
      <w:pPr>
        <w:ind w:left="720" w:hanging="360"/>
      </w:pPr>
      <w:rPr>
        <w:rFonts w:hint="default"/>
      </w:rPr>
    </w:lvl>
    <w:lvl w:ilvl="1">
      <w:start w:val="1"/>
      <w:numFmt w:val="decimal"/>
      <w:isLgl/>
      <w:lvlText w:val="%1.%2"/>
      <w:lvlJc w:val="left"/>
      <w:pPr>
        <w:ind w:left="1410" w:hanging="1050"/>
      </w:pPr>
      <w:rPr>
        <w:rFonts w:hint="default"/>
      </w:rPr>
    </w:lvl>
    <w:lvl w:ilvl="2">
      <w:start w:val="1"/>
      <w:numFmt w:val="decimal"/>
      <w:isLgl/>
      <w:lvlText w:val="%1.%2.%3"/>
      <w:lvlJc w:val="left"/>
      <w:pPr>
        <w:ind w:left="1410" w:hanging="105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023009"/>
    <w:multiLevelType w:val="multilevel"/>
    <w:tmpl w:val="09FE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4266E"/>
    <w:multiLevelType w:val="multilevel"/>
    <w:tmpl w:val="F12C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3E52A1"/>
    <w:multiLevelType w:val="multilevel"/>
    <w:tmpl w:val="53A8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544FAC"/>
    <w:multiLevelType w:val="hybridMultilevel"/>
    <w:tmpl w:val="5066DFD2"/>
    <w:lvl w:ilvl="0" w:tplc="78946724">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D676185"/>
    <w:multiLevelType w:val="hybridMultilevel"/>
    <w:tmpl w:val="E7E60752"/>
    <w:lvl w:ilvl="0" w:tplc="E90C27CA">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722F40C1"/>
    <w:multiLevelType w:val="hybridMultilevel"/>
    <w:tmpl w:val="4412D4FE"/>
    <w:lvl w:ilvl="0" w:tplc="B3D4539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7E124290"/>
    <w:multiLevelType w:val="multilevel"/>
    <w:tmpl w:val="A3A4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4D7F30"/>
    <w:multiLevelType w:val="hybridMultilevel"/>
    <w:tmpl w:val="EC4CCC74"/>
    <w:lvl w:ilvl="0" w:tplc="60CCC9F8">
      <w:start w:val="3"/>
      <w:numFmt w:val="bullet"/>
      <w:lvlText w:val="-"/>
      <w:lvlJc w:val="left"/>
      <w:pPr>
        <w:ind w:left="1770" w:hanging="360"/>
      </w:pPr>
      <w:rPr>
        <w:rFonts w:ascii="Calibri" w:eastAsiaTheme="minorHAnsi" w:hAnsi="Calibri" w:cs="Calibri" w:hint="default"/>
      </w:rPr>
    </w:lvl>
    <w:lvl w:ilvl="1" w:tplc="04070003" w:tentative="1">
      <w:start w:val="1"/>
      <w:numFmt w:val="bullet"/>
      <w:lvlText w:val="o"/>
      <w:lvlJc w:val="left"/>
      <w:pPr>
        <w:ind w:left="2490" w:hanging="360"/>
      </w:pPr>
      <w:rPr>
        <w:rFonts w:ascii="Courier New" w:hAnsi="Courier New" w:cs="Courier New" w:hint="default"/>
      </w:rPr>
    </w:lvl>
    <w:lvl w:ilvl="2" w:tplc="04070005" w:tentative="1">
      <w:start w:val="1"/>
      <w:numFmt w:val="bullet"/>
      <w:lvlText w:val=""/>
      <w:lvlJc w:val="left"/>
      <w:pPr>
        <w:ind w:left="3210" w:hanging="360"/>
      </w:pPr>
      <w:rPr>
        <w:rFonts w:ascii="Wingdings" w:hAnsi="Wingdings" w:hint="default"/>
      </w:rPr>
    </w:lvl>
    <w:lvl w:ilvl="3" w:tplc="04070001" w:tentative="1">
      <w:start w:val="1"/>
      <w:numFmt w:val="bullet"/>
      <w:lvlText w:val=""/>
      <w:lvlJc w:val="left"/>
      <w:pPr>
        <w:ind w:left="3930" w:hanging="360"/>
      </w:pPr>
      <w:rPr>
        <w:rFonts w:ascii="Symbol" w:hAnsi="Symbol" w:hint="default"/>
      </w:rPr>
    </w:lvl>
    <w:lvl w:ilvl="4" w:tplc="04070003" w:tentative="1">
      <w:start w:val="1"/>
      <w:numFmt w:val="bullet"/>
      <w:lvlText w:val="o"/>
      <w:lvlJc w:val="left"/>
      <w:pPr>
        <w:ind w:left="4650" w:hanging="360"/>
      </w:pPr>
      <w:rPr>
        <w:rFonts w:ascii="Courier New" w:hAnsi="Courier New" w:cs="Courier New" w:hint="default"/>
      </w:rPr>
    </w:lvl>
    <w:lvl w:ilvl="5" w:tplc="04070005" w:tentative="1">
      <w:start w:val="1"/>
      <w:numFmt w:val="bullet"/>
      <w:lvlText w:val=""/>
      <w:lvlJc w:val="left"/>
      <w:pPr>
        <w:ind w:left="5370" w:hanging="360"/>
      </w:pPr>
      <w:rPr>
        <w:rFonts w:ascii="Wingdings" w:hAnsi="Wingdings" w:hint="default"/>
      </w:rPr>
    </w:lvl>
    <w:lvl w:ilvl="6" w:tplc="04070001" w:tentative="1">
      <w:start w:val="1"/>
      <w:numFmt w:val="bullet"/>
      <w:lvlText w:val=""/>
      <w:lvlJc w:val="left"/>
      <w:pPr>
        <w:ind w:left="6090" w:hanging="360"/>
      </w:pPr>
      <w:rPr>
        <w:rFonts w:ascii="Symbol" w:hAnsi="Symbol" w:hint="default"/>
      </w:rPr>
    </w:lvl>
    <w:lvl w:ilvl="7" w:tplc="04070003" w:tentative="1">
      <w:start w:val="1"/>
      <w:numFmt w:val="bullet"/>
      <w:lvlText w:val="o"/>
      <w:lvlJc w:val="left"/>
      <w:pPr>
        <w:ind w:left="6810" w:hanging="360"/>
      </w:pPr>
      <w:rPr>
        <w:rFonts w:ascii="Courier New" w:hAnsi="Courier New" w:cs="Courier New" w:hint="default"/>
      </w:rPr>
    </w:lvl>
    <w:lvl w:ilvl="8" w:tplc="04070005" w:tentative="1">
      <w:start w:val="1"/>
      <w:numFmt w:val="bullet"/>
      <w:lvlText w:val=""/>
      <w:lvlJc w:val="left"/>
      <w:pPr>
        <w:ind w:left="7530" w:hanging="360"/>
      </w:pPr>
      <w:rPr>
        <w:rFonts w:ascii="Wingdings" w:hAnsi="Wingdings" w:hint="default"/>
      </w:rPr>
    </w:lvl>
  </w:abstractNum>
  <w:num w:numId="1">
    <w:abstractNumId w:val="5"/>
  </w:num>
  <w:num w:numId="2">
    <w:abstractNumId w:val="1"/>
  </w:num>
  <w:num w:numId="3">
    <w:abstractNumId w:val="4"/>
  </w:num>
  <w:num w:numId="4">
    <w:abstractNumId w:val="0"/>
  </w:num>
  <w:num w:numId="5">
    <w:abstractNumId w:val="9"/>
  </w:num>
  <w:num w:numId="6">
    <w:abstractNumId w:val="8"/>
  </w:num>
  <w:num w:numId="7">
    <w:abstractNumId w:val="7"/>
  </w:num>
  <w:num w:numId="8">
    <w:abstractNumId w:val="3"/>
  </w:num>
  <w:num w:numId="9">
    <w:abstractNumId w:val="2"/>
  </w:num>
  <w:num w:numId="10">
    <w:abstractNumId w:val="6"/>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1F0"/>
    <w:rsid w:val="00001504"/>
    <w:rsid w:val="00025E17"/>
    <w:rsid w:val="00050B76"/>
    <w:rsid w:val="00064E75"/>
    <w:rsid w:val="000B5523"/>
    <w:rsid w:val="000E3ABD"/>
    <w:rsid w:val="00107641"/>
    <w:rsid w:val="001735F7"/>
    <w:rsid w:val="001815DD"/>
    <w:rsid w:val="001974CB"/>
    <w:rsid w:val="001B0DE1"/>
    <w:rsid w:val="00205CC9"/>
    <w:rsid w:val="00212977"/>
    <w:rsid w:val="002422CF"/>
    <w:rsid w:val="0025355E"/>
    <w:rsid w:val="00271F16"/>
    <w:rsid w:val="002B02E9"/>
    <w:rsid w:val="002B215E"/>
    <w:rsid w:val="002E5BDD"/>
    <w:rsid w:val="002F5138"/>
    <w:rsid w:val="00335901"/>
    <w:rsid w:val="00337A34"/>
    <w:rsid w:val="00346385"/>
    <w:rsid w:val="0038124B"/>
    <w:rsid w:val="00386ECE"/>
    <w:rsid w:val="003B28E6"/>
    <w:rsid w:val="00452940"/>
    <w:rsid w:val="004D6997"/>
    <w:rsid w:val="004E2D45"/>
    <w:rsid w:val="004F123E"/>
    <w:rsid w:val="00514EEA"/>
    <w:rsid w:val="00537888"/>
    <w:rsid w:val="005B42E9"/>
    <w:rsid w:val="005D421D"/>
    <w:rsid w:val="005E6E48"/>
    <w:rsid w:val="0060614F"/>
    <w:rsid w:val="006521EF"/>
    <w:rsid w:val="00671556"/>
    <w:rsid w:val="006A2C82"/>
    <w:rsid w:val="006F04F7"/>
    <w:rsid w:val="007141C0"/>
    <w:rsid w:val="00745C37"/>
    <w:rsid w:val="00747320"/>
    <w:rsid w:val="007564AF"/>
    <w:rsid w:val="007B7F7E"/>
    <w:rsid w:val="007C66FD"/>
    <w:rsid w:val="007E5C36"/>
    <w:rsid w:val="007F7B93"/>
    <w:rsid w:val="0080147A"/>
    <w:rsid w:val="0086787A"/>
    <w:rsid w:val="0087512E"/>
    <w:rsid w:val="008D75FF"/>
    <w:rsid w:val="00917F78"/>
    <w:rsid w:val="00942BC5"/>
    <w:rsid w:val="00974A25"/>
    <w:rsid w:val="009F7743"/>
    <w:rsid w:val="00A4077C"/>
    <w:rsid w:val="00AD7DA2"/>
    <w:rsid w:val="00AE7546"/>
    <w:rsid w:val="00AF62E4"/>
    <w:rsid w:val="00B00684"/>
    <w:rsid w:val="00B230F1"/>
    <w:rsid w:val="00B354CF"/>
    <w:rsid w:val="00B66EAE"/>
    <w:rsid w:val="00B728E0"/>
    <w:rsid w:val="00BB2BEF"/>
    <w:rsid w:val="00BE0668"/>
    <w:rsid w:val="00C013A5"/>
    <w:rsid w:val="00C15163"/>
    <w:rsid w:val="00C1604D"/>
    <w:rsid w:val="00C168A1"/>
    <w:rsid w:val="00C170FD"/>
    <w:rsid w:val="00C17B4E"/>
    <w:rsid w:val="00C33248"/>
    <w:rsid w:val="00C575F3"/>
    <w:rsid w:val="00C57F07"/>
    <w:rsid w:val="00C62A75"/>
    <w:rsid w:val="00C70A5C"/>
    <w:rsid w:val="00CB61F0"/>
    <w:rsid w:val="00D2035F"/>
    <w:rsid w:val="00D76F9C"/>
    <w:rsid w:val="00D82CC2"/>
    <w:rsid w:val="00DB585F"/>
    <w:rsid w:val="00DC7F6B"/>
    <w:rsid w:val="00DF34DC"/>
    <w:rsid w:val="00E62B07"/>
    <w:rsid w:val="00E743C8"/>
    <w:rsid w:val="00E80B16"/>
    <w:rsid w:val="00EB6018"/>
    <w:rsid w:val="00EB6B43"/>
    <w:rsid w:val="00EE27DA"/>
    <w:rsid w:val="00F37893"/>
    <w:rsid w:val="00F66569"/>
    <w:rsid w:val="00FA69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C70E0"/>
  <w15:chartTrackingRefBased/>
  <w15:docId w15:val="{FDB8DE57-9B31-47C2-A6EE-1211FCD3C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2">
    <w:name w:val="heading 2"/>
    <w:basedOn w:val="Standard"/>
    <w:link w:val="berschrift2Zchn"/>
    <w:uiPriority w:val="9"/>
    <w:qFormat/>
    <w:rsid w:val="00CB61F0"/>
    <w:pPr>
      <w:spacing w:before="100" w:beforeAutospacing="1" w:after="100" w:afterAutospacing="1" w:line="240" w:lineRule="auto"/>
      <w:outlineLvl w:val="1"/>
    </w:pPr>
    <w:rPr>
      <w:rFonts w:ascii="Times New Roman" w:eastAsia="Times New Roman" w:hAnsi="Times New Roman" w:cs="Times New Roman"/>
      <w:b/>
      <w:bCs/>
      <w:sz w:val="36"/>
      <w:szCs w:val="36"/>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CB61F0"/>
    <w:rPr>
      <w:rFonts w:ascii="Times New Roman" w:eastAsia="Times New Roman" w:hAnsi="Times New Roman" w:cs="Times New Roman"/>
      <w:b/>
      <w:bCs/>
      <w:sz w:val="36"/>
      <w:szCs w:val="36"/>
      <w:lang w:eastAsia="de-DE"/>
    </w:rPr>
  </w:style>
  <w:style w:type="character" w:customStyle="1" w:styleId="author-a-rz78zz87zz79z91pyz71zz87zhz72zpz83zjc">
    <w:name w:val="author-a-rz78zz87zz79z91pyz71zz87zhz72zpz83zjc"/>
    <w:basedOn w:val="Absatz-Standardschriftart"/>
    <w:rsid w:val="00CB61F0"/>
  </w:style>
  <w:style w:type="character" w:customStyle="1" w:styleId="author-a-5qmz83z87kz79z9z76z4hz75z9z76zm">
    <w:name w:val="author-a-5qmz83z87kz79z9z76z4hz75z9z76zm"/>
    <w:basedOn w:val="Absatz-Standardschriftart"/>
    <w:rsid w:val="00CB61F0"/>
  </w:style>
  <w:style w:type="paragraph" w:styleId="Listenabsatz">
    <w:name w:val="List Paragraph"/>
    <w:basedOn w:val="Standard"/>
    <w:uiPriority w:val="34"/>
    <w:qFormat/>
    <w:rsid w:val="00CB61F0"/>
    <w:pPr>
      <w:ind w:left="720"/>
      <w:contextualSpacing/>
    </w:pPr>
  </w:style>
  <w:style w:type="character" w:styleId="Platzhaltertext">
    <w:name w:val="Placeholder Text"/>
    <w:basedOn w:val="Absatz-Standardschriftart"/>
    <w:uiPriority w:val="99"/>
    <w:semiHidden/>
    <w:rsid w:val="00AD7D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8943691">
      <w:bodyDiv w:val="1"/>
      <w:marLeft w:val="0"/>
      <w:marRight w:val="0"/>
      <w:marTop w:val="0"/>
      <w:marBottom w:val="0"/>
      <w:divBdr>
        <w:top w:val="none" w:sz="0" w:space="0" w:color="auto"/>
        <w:left w:val="none" w:sz="0" w:space="0" w:color="auto"/>
        <w:bottom w:val="none" w:sz="0" w:space="0" w:color="auto"/>
        <w:right w:val="none" w:sz="0" w:space="0" w:color="auto"/>
      </w:divBdr>
    </w:div>
    <w:div w:id="1739863669">
      <w:bodyDiv w:val="1"/>
      <w:marLeft w:val="0"/>
      <w:marRight w:val="0"/>
      <w:marTop w:val="0"/>
      <w:marBottom w:val="0"/>
      <w:divBdr>
        <w:top w:val="none" w:sz="0" w:space="0" w:color="auto"/>
        <w:left w:val="none" w:sz="0" w:space="0" w:color="auto"/>
        <w:bottom w:val="none" w:sz="0" w:space="0" w:color="auto"/>
        <w:right w:val="none" w:sz="0" w:space="0" w:color="auto"/>
      </w:divBdr>
      <w:divsChild>
        <w:div w:id="205676564">
          <w:marLeft w:val="0"/>
          <w:marRight w:val="1500"/>
          <w:marTop w:val="0"/>
          <w:marBottom w:val="0"/>
          <w:divBdr>
            <w:top w:val="none" w:sz="0" w:space="0" w:color="auto"/>
            <w:left w:val="none" w:sz="0" w:space="0" w:color="auto"/>
            <w:bottom w:val="none" w:sz="0" w:space="0" w:color="auto"/>
            <w:right w:val="none" w:sz="0" w:space="0" w:color="auto"/>
          </w:divBdr>
        </w:div>
        <w:div w:id="625427122">
          <w:marLeft w:val="0"/>
          <w:marRight w:val="1500"/>
          <w:marTop w:val="0"/>
          <w:marBottom w:val="0"/>
          <w:divBdr>
            <w:top w:val="none" w:sz="0" w:space="0" w:color="auto"/>
            <w:left w:val="none" w:sz="0" w:space="0" w:color="auto"/>
            <w:bottom w:val="none" w:sz="0" w:space="0" w:color="auto"/>
            <w:right w:val="none" w:sz="0" w:space="0" w:color="auto"/>
          </w:divBdr>
        </w:div>
        <w:div w:id="810445887">
          <w:marLeft w:val="0"/>
          <w:marRight w:val="1500"/>
          <w:marTop w:val="0"/>
          <w:marBottom w:val="0"/>
          <w:divBdr>
            <w:top w:val="none" w:sz="0" w:space="0" w:color="auto"/>
            <w:left w:val="none" w:sz="0" w:space="0" w:color="auto"/>
            <w:bottom w:val="none" w:sz="0" w:space="0" w:color="auto"/>
            <w:right w:val="none" w:sz="0" w:space="0" w:color="auto"/>
          </w:divBdr>
        </w:div>
      </w:divsChild>
    </w:div>
    <w:div w:id="178461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846</Words>
  <Characters>5337</Characters>
  <Application>Microsoft Office Word</Application>
  <DocSecurity>0</DocSecurity>
  <Lines>44</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Schulte-Langforth</dc:creator>
  <cp:keywords/>
  <dc:description/>
  <cp:lastModifiedBy>Christian Tömmel</cp:lastModifiedBy>
  <cp:revision>71</cp:revision>
  <dcterms:created xsi:type="dcterms:W3CDTF">2018-05-14T22:55:00Z</dcterms:created>
  <dcterms:modified xsi:type="dcterms:W3CDTF">2018-06-03T06:07:00Z</dcterms:modified>
</cp:coreProperties>
</file>