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7A2" w:rsidRPr="008E45D5" w:rsidRDefault="00D832DD" w:rsidP="008E45D5">
      <w:pPr>
        <w:pStyle w:val="Listenabsatz"/>
        <w:numPr>
          <w:ilvl w:val="0"/>
          <w:numId w:val="2"/>
        </w:numPr>
        <w:jc w:val="both"/>
        <w:rPr>
          <w:b/>
          <w:sz w:val="32"/>
        </w:rPr>
      </w:pPr>
      <w:r w:rsidRPr="008E45D5">
        <w:rPr>
          <w:b/>
          <w:sz w:val="32"/>
        </w:rPr>
        <w:t>Roadmap</w:t>
      </w:r>
    </w:p>
    <w:p w:rsidR="008E45D5" w:rsidRPr="008E45D5" w:rsidRDefault="008E45D5" w:rsidP="008E45D5">
      <w:pPr>
        <w:ind w:left="360"/>
        <w:jc w:val="both"/>
        <w:rPr>
          <w:b/>
          <w:sz w:val="32"/>
        </w:rPr>
      </w:pPr>
      <w:r>
        <w:rPr>
          <w:b/>
          <w:sz w:val="32"/>
        </w:rPr>
        <w:t>6</w:t>
      </w:r>
      <w:r w:rsidRPr="008E45D5">
        <w:rPr>
          <w:b/>
          <w:sz w:val="32"/>
        </w:rPr>
        <w:t>.</w:t>
      </w:r>
      <w:r>
        <w:rPr>
          <w:b/>
          <w:sz w:val="32"/>
        </w:rPr>
        <w:t>1</w:t>
      </w:r>
      <w:r w:rsidRPr="008E45D5">
        <w:rPr>
          <w:b/>
          <w:sz w:val="32"/>
        </w:rPr>
        <w:tab/>
      </w:r>
      <w:r>
        <w:rPr>
          <w:b/>
          <w:sz w:val="32"/>
        </w:rPr>
        <w:t xml:space="preserve">The </w:t>
      </w:r>
      <w:proofErr w:type="spellStart"/>
      <w:r>
        <w:rPr>
          <w:b/>
          <w:sz w:val="32"/>
        </w:rPr>
        <w:t>beginning</w:t>
      </w:r>
      <w:proofErr w:type="spellEnd"/>
    </w:p>
    <w:p w:rsidR="002534E6" w:rsidRPr="008E45D5" w:rsidRDefault="002534E6" w:rsidP="008E45D5">
      <w:pPr>
        <w:shd w:val="clear" w:color="auto" w:fill="FFFFFF"/>
        <w:spacing w:after="0" w:line="240" w:lineRule="auto"/>
        <w:ind w:left="360"/>
        <w:rPr>
          <w:lang w:val="en-AU"/>
        </w:rPr>
      </w:pPr>
    </w:p>
    <w:p w:rsidR="00533A9E" w:rsidRPr="006610E7" w:rsidRDefault="006610E7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 w:rsidRPr="006610E7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ODEON was not found </w:t>
      </w: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from </w:t>
      </w:r>
      <w:r w:rsidR="004D404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scratch</w:t>
      </w: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. </w:t>
      </w:r>
      <w:r w:rsidR="004D404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Our team has </w:t>
      </w:r>
      <w:r w:rsidR="008471E6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had their first </w:t>
      </w:r>
      <w:r w:rsidR="004D404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experience in mining and blockchain applications </w:t>
      </w:r>
      <w:r w:rsidR="008471E6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in</w:t>
      </w:r>
      <w:r w:rsidR="004D404A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2013: We operated a small-sized mining facility in form of a warehouse in late 2013 which we had to close in 2014, because </w:t>
      </w:r>
      <w:r w:rsidR="00533A9E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bitcoins price dropped about 60% and the system was not sustainable anymore.</w:t>
      </w:r>
    </w:p>
    <w:p w:rsidR="002534E6" w:rsidRPr="006610E7" w:rsidRDefault="002534E6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2534E6" w:rsidRDefault="002A407B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  <w:r>
        <w:rPr>
          <w:noProof/>
        </w:rPr>
        <w:drawing>
          <wp:inline distT="0" distB="0" distL="0" distR="0" wp14:anchorId="74758796" wp14:editId="49F0BCEF">
            <wp:extent cx="5760720" cy="5501640"/>
            <wp:effectExtent l="0" t="0" r="11430" b="3810"/>
            <wp:docPr id="1" name="Diagramm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2A407B" w:rsidRDefault="002A407B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eastAsia="de-DE"/>
        </w:rPr>
      </w:pPr>
    </w:p>
    <w:p w:rsidR="008E45D5" w:rsidRDefault="00CF6724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 w:rsidRPr="00CF6724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This was </w:t>
      </w: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our first attempt to build mining facilities, starting in a warehouse. The concept of ICOs allows us to fascinate investors for the same idea that we believe in. </w:t>
      </w:r>
    </w:p>
    <w:p w:rsidR="008E45D5" w:rsidRDefault="008E45D5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860EAC" w:rsidRDefault="00860EAC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8E45D5" w:rsidRPr="008E45D5" w:rsidRDefault="008E45D5" w:rsidP="008E45D5">
      <w:pPr>
        <w:ind w:left="360"/>
        <w:jc w:val="both"/>
        <w:rPr>
          <w:b/>
          <w:sz w:val="32"/>
          <w:lang w:val="en-AU"/>
        </w:rPr>
      </w:pPr>
      <w:r w:rsidRPr="008E45D5">
        <w:rPr>
          <w:b/>
          <w:sz w:val="32"/>
          <w:lang w:val="en-AU"/>
        </w:rPr>
        <w:t>6.2</w:t>
      </w:r>
      <w:r w:rsidRPr="008E45D5">
        <w:rPr>
          <w:b/>
          <w:sz w:val="32"/>
          <w:lang w:val="en-AU"/>
        </w:rPr>
        <w:tab/>
        <w:t>Timelin</w:t>
      </w:r>
      <w:r>
        <w:rPr>
          <w:b/>
          <w:sz w:val="32"/>
          <w:lang w:val="en-AU"/>
        </w:rPr>
        <w:t>e</w:t>
      </w:r>
    </w:p>
    <w:p w:rsidR="002A407B" w:rsidRDefault="00CF6724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Years </w:t>
      </w:r>
      <w:proofErr w:type="gramStart"/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passed</w:t>
      </w:r>
      <w:proofErr w:type="gramEnd"/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and we reassembled our team to work on our dream.</w:t>
      </w:r>
      <w:r w:rsidR="00BB1DE1"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 xml:space="preserve"> The plan was never really lost and we decided to further discuss it in late 2017.</w:t>
      </w:r>
    </w:p>
    <w:p w:rsidR="00CF6724" w:rsidRDefault="00CF6724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  <w:t>Being already in deep development and with a precise plan, we are proud to present to you our roadmap for what happened since the reformation as well as what is going to happen in the next two years.</w:t>
      </w:r>
    </w:p>
    <w:p w:rsidR="00CF6724" w:rsidRDefault="00CF6724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CF6724" w:rsidRDefault="00CF6724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CF6724" w:rsidRDefault="00533A9E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  <w:r>
        <w:rPr>
          <w:noProof/>
        </w:rPr>
        <w:lastRenderedPageBreak/>
        <w:drawing>
          <wp:inline distT="0" distB="0" distL="0" distR="0" wp14:anchorId="47A9BA6D" wp14:editId="7FA829AE">
            <wp:extent cx="5760720" cy="5447665"/>
            <wp:effectExtent l="0" t="0" r="0" b="63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A9E" w:rsidRPr="00CF6724" w:rsidRDefault="00533A9E" w:rsidP="003B3583">
      <w:pPr>
        <w:spacing w:after="0" w:line="240" w:lineRule="auto"/>
        <w:ind w:left="360"/>
        <w:jc w:val="both"/>
        <w:rPr>
          <w:rFonts w:ascii="Arial" w:eastAsia="Times New Roman" w:hAnsi="Arial" w:cs="Arial"/>
          <w:color w:val="000000"/>
          <w:sz w:val="18"/>
          <w:szCs w:val="18"/>
          <w:lang w:val="en-AU" w:eastAsia="de-DE"/>
        </w:rPr>
      </w:pPr>
    </w:p>
    <w:p w:rsidR="00031B91" w:rsidRDefault="009605CE" w:rsidP="003B3583">
      <w:pPr>
        <w:spacing w:after="0" w:line="240" w:lineRule="auto"/>
        <w:ind w:firstLine="360"/>
        <w:jc w:val="both"/>
        <w:rPr>
          <w:lang w:val="en-AU"/>
        </w:rPr>
      </w:pPr>
      <w:r w:rsidRPr="009605CE">
        <w:rPr>
          <w:lang w:val="en-AU"/>
        </w:rPr>
        <w:t>[maybe you guys have a</w:t>
      </w:r>
      <w:r>
        <w:rPr>
          <w:lang w:val="en-AU"/>
        </w:rPr>
        <w:t xml:space="preserve"> better representation for our roadmap goals?]</w:t>
      </w:r>
    </w:p>
    <w:p w:rsidR="00407968" w:rsidRDefault="00407968" w:rsidP="003B3583">
      <w:pPr>
        <w:spacing w:after="0" w:line="240" w:lineRule="auto"/>
        <w:ind w:firstLine="360"/>
        <w:jc w:val="both"/>
        <w:rPr>
          <w:lang w:val="en-AU"/>
        </w:rPr>
      </w:pPr>
    </w:p>
    <w:p w:rsidR="00407968" w:rsidRDefault="00407968" w:rsidP="003B3583">
      <w:pPr>
        <w:spacing w:after="0" w:line="240" w:lineRule="auto"/>
        <w:ind w:firstLine="360"/>
        <w:jc w:val="both"/>
        <w:rPr>
          <w:lang w:val="en-AU"/>
        </w:rPr>
      </w:pPr>
      <w:r>
        <w:rPr>
          <w:noProof/>
          <w:lang w:val="en-AU"/>
        </w:rPr>
        <w:lastRenderedPageBreak/>
        <w:drawing>
          <wp:inline distT="0" distB="0" distL="0" distR="0">
            <wp:extent cx="5400675" cy="9058275"/>
            <wp:effectExtent l="0" t="0" r="9525" b="9525"/>
            <wp:docPr id="2" name="Grafik 2" descr="C:\Users\user\Downloads\Untitled Diagr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Untitled Diagram (1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905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6476" w:rsidRPr="009605CE" w:rsidRDefault="00DB6476" w:rsidP="003B3583">
      <w:pPr>
        <w:spacing w:after="0" w:line="240" w:lineRule="auto"/>
        <w:ind w:firstLine="360"/>
        <w:jc w:val="both"/>
        <w:rPr>
          <w:lang w:val="en-AU"/>
        </w:rPr>
      </w:pPr>
    </w:p>
    <w:p w:rsidR="00031B91" w:rsidRPr="00031B91" w:rsidRDefault="00827E4A" w:rsidP="003B3583">
      <w:pPr>
        <w:spacing w:after="0" w:line="240" w:lineRule="auto"/>
        <w:jc w:val="both"/>
        <w:rPr>
          <w:lang w:val="en-AU"/>
        </w:rPr>
      </w:pPr>
      <w:r>
        <w:rPr>
          <w:lang w:val="en-AU"/>
        </w:rPr>
        <w:t xml:space="preserve">As of now we are right on schedule. </w:t>
      </w:r>
      <w:r w:rsidR="00A2111E">
        <w:rPr>
          <w:lang w:val="en-AU"/>
        </w:rPr>
        <w:t>The Technical Paper was finished at the end of May and elaborate preparations for the token presale were made.</w:t>
      </w:r>
      <w:r w:rsidR="001D01D9">
        <w:rPr>
          <w:lang w:val="en-AU"/>
        </w:rPr>
        <w:t xml:space="preserve"> Starting now, we welcome you to participate in the token presale as well as in the ICO afterwards.</w:t>
      </w:r>
      <w:r w:rsidR="00A2111E">
        <w:rPr>
          <w:lang w:val="en-AU"/>
        </w:rPr>
        <w:t xml:space="preserve"> </w:t>
      </w:r>
      <w:r w:rsidR="003B3583">
        <w:rPr>
          <w:lang w:val="en-AU"/>
        </w:rPr>
        <w:t xml:space="preserve">To ensure the adherence to time limits, ODEON’s expert team is dedicated to keeping a watching brief over the proceedings of the </w:t>
      </w:r>
      <w:proofErr w:type="gramStart"/>
      <w:r w:rsidR="003B3583">
        <w:rPr>
          <w:lang w:val="en-AU"/>
        </w:rPr>
        <w:t>project as a whole</w:t>
      </w:r>
      <w:proofErr w:type="gramEnd"/>
      <w:r w:rsidR="003B3583">
        <w:rPr>
          <w:lang w:val="en-AU"/>
        </w:rPr>
        <w:t xml:space="preserve">. </w:t>
      </w:r>
    </w:p>
    <w:sectPr w:rsidR="00031B91" w:rsidRPr="00031B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2599B"/>
    <w:multiLevelType w:val="hybridMultilevel"/>
    <w:tmpl w:val="06D8CD32"/>
    <w:lvl w:ilvl="0" w:tplc="A190B65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296733"/>
    <w:multiLevelType w:val="hybridMultilevel"/>
    <w:tmpl w:val="D2489696"/>
    <w:lvl w:ilvl="0" w:tplc="2A1861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1F0"/>
    <w:rsid w:val="00031B91"/>
    <w:rsid w:val="00050B76"/>
    <w:rsid w:val="001D01D9"/>
    <w:rsid w:val="002422CF"/>
    <w:rsid w:val="002534E6"/>
    <w:rsid w:val="00271F16"/>
    <w:rsid w:val="00296075"/>
    <w:rsid w:val="002A407B"/>
    <w:rsid w:val="003B3583"/>
    <w:rsid w:val="00407968"/>
    <w:rsid w:val="00473E40"/>
    <w:rsid w:val="004D404A"/>
    <w:rsid w:val="00533A9E"/>
    <w:rsid w:val="005711FE"/>
    <w:rsid w:val="006610E7"/>
    <w:rsid w:val="00827E4A"/>
    <w:rsid w:val="008471E6"/>
    <w:rsid w:val="00860EAC"/>
    <w:rsid w:val="0086787A"/>
    <w:rsid w:val="008E45D5"/>
    <w:rsid w:val="008E69B5"/>
    <w:rsid w:val="009605CE"/>
    <w:rsid w:val="00A2111E"/>
    <w:rsid w:val="00A600A3"/>
    <w:rsid w:val="00B57A1D"/>
    <w:rsid w:val="00BB1DE1"/>
    <w:rsid w:val="00C309C2"/>
    <w:rsid w:val="00C575F3"/>
    <w:rsid w:val="00CB61F0"/>
    <w:rsid w:val="00CF6724"/>
    <w:rsid w:val="00D2035F"/>
    <w:rsid w:val="00D417A2"/>
    <w:rsid w:val="00D832DD"/>
    <w:rsid w:val="00D84EA8"/>
    <w:rsid w:val="00D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A219"/>
  <w15:chartTrackingRefBased/>
  <w15:docId w15:val="{FDB8DE57-9B31-47C2-A6EE-1211FCD3C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CB61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CB61F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author-a-rz78zz87zz79z91pyz71zz87zhz72zpz83zjc">
    <w:name w:val="author-a-rz78zz87zz79z91pyz71zz87zhz72zpz83zjc"/>
    <w:basedOn w:val="Absatz-Standardschriftart"/>
    <w:rsid w:val="00CB61F0"/>
  </w:style>
  <w:style w:type="character" w:customStyle="1" w:styleId="author-a-5qmz83z87kz79z9z76z4hz75z9z76zm">
    <w:name w:val="author-a-5qmz83z87kz79z9z76z4hz75z9z76zm"/>
    <w:basedOn w:val="Absatz-Standardschriftart"/>
    <w:rsid w:val="00CB61F0"/>
  </w:style>
  <w:style w:type="paragraph" w:styleId="Listenabsatz">
    <w:name w:val="List Paragraph"/>
    <w:basedOn w:val="Standard"/>
    <w:uiPriority w:val="34"/>
    <w:qFormat/>
    <w:rsid w:val="00CB61F0"/>
    <w:pPr>
      <w:ind w:left="720"/>
      <w:contextualSpacing/>
    </w:pPr>
  </w:style>
  <w:style w:type="character" w:customStyle="1" w:styleId="author-a-tz82zntgtz73zlz78zz66zz84zsf7z67zz74z">
    <w:name w:val="author-a-tz82zntgtz73zlz78zz66zz84zsf7z67zz74z"/>
    <w:basedOn w:val="Absatz-Standardschriftart"/>
    <w:rsid w:val="00D41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2387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4824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75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6564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489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490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829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462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57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09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2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156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5358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5980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11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57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353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74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51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9022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12973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39451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1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8755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7220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349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726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9236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201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432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0675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1645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164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593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364915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4795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67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4657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3650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457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43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91649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1548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1756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3921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6564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27122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887">
          <w:marLeft w:val="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1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tf1640096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e-DE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2800" b="1" i="0" u="none" strike="noStrike" kern="1200" spc="0" baseline="0">
                <a:solidFill>
                  <a:schemeClr val="accent1">
                    <a:lumMod val="7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2800" b="1">
                <a:solidFill>
                  <a:schemeClr val="accent1">
                    <a:lumMod val="75000"/>
                  </a:schemeClr>
                </a:solidFill>
              </a:rPr>
              <a:t>PRE-ODEON</a:t>
            </a:r>
          </a:p>
        </c:rich>
      </c:tx>
      <c:layout>
        <c:manualLayout>
          <c:xMode val="edge"/>
          <c:yMode val="edge"/>
          <c:x val="0.36800218175741639"/>
          <c:y val="0"/>
        </c:manualLayout>
      </c:layout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2800" b="1" i="0" u="none" strike="noStrike" kern="1200" spc="0" baseline="0">
              <a:solidFill>
                <a:schemeClr val="accent1">
                  <a:lumMod val="75000"/>
                </a:schemeClr>
              </a:solidFill>
              <a:latin typeface="+mn-lt"/>
              <a:ea typeface="+mn-ea"/>
              <a:cs typeface="+mn-cs"/>
            </a:defRPr>
          </a:pPr>
          <a:endParaRPr lang="de-DE"/>
        </a:p>
      </c:txPr>
    </c:title>
    <c:autoTitleDeleted val="0"/>
    <c:plotArea>
      <c:layout>
        <c:manualLayout>
          <c:layoutTarget val="inner"/>
          <c:xMode val="edge"/>
          <c:yMode val="edge"/>
          <c:x val="1.4564065855404436E-2"/>
          <c:y val="9.4885781417790999E-2"/>
          <c:w val="0.87747356655241382"/>
          <c:h val="0.88713721063904216"/>
        </c:manualLayout>
      </c:layout>
      <c:scatterChart>
        <c:scatterStyle val="lineMarker"/>
        <c:varyColors val="0"/>
        <c:ser>
          <c:idx val="0"/>
          <c:order val="0"/>
          <c:tx>
            <c:v>Events</c:v>
          </c:tx>
          <c:spPr>
            <a:ln w="25400" cap="rnd">
              <a:noFill/>
              <a:round/>
            </a:ln>
            <a:effectLst/>
          </c:spPr>
          <c:marker>
            <c:symbol val="square"/>
            <c:size val="10"/>
            <c:spPr>
              <a:solidFill>
                <a:schemeClr val="accent6">
                  <a:lumMod val="75000"/>
                </a:schemeClr>
              </a:solidFill>
              <a:ln w="9525">
                <a:noFill/>
              </a:ln>
              <a:effectLst/>
            </c:spPr>
          </c:marker>
          <c:dLbls>
            <c:dLbl>
              <c:idx val="0"/>
              <c:tx>
                <c:rich>
                  <a:bodyPr/>
                  <a:lstStyle/>
                  <a:p>
                    <a:endParaRPr lang="en-US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6BE-421B-B920-E47C9D61E98C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3DE199D4-E5CE-4716-AC22-A6802F758BAE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1-36BE-421B-B920-E47C9D61E98C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8AD88191-F534-46D6-9A89-309017BB74DF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36BE-421B-B920-E47C9D61E98C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610F8E47-CD24-4B56-B01C-4C98E5AF48E9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36BE-421B-B920-E47C9D61E98C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1B669232-54C7-4571-8922-18DBFD613B7B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36BE-421B-B920-E47C9D61E98C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9C7768EB-E66D-4D80-A553-1F8A539F09BF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36BE-421B-B920-E47C9D61E98C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3FC01D7C-EDDE-434D-B19B-C23FF1D59C21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36BE-421B-B920-E47C9D61E98C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9CB9228D-DC5C-4D87-813D-C1358895E410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36BE-421B-B920-E47C9D61E98C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102B85CE-AC0A-4F69-AAE0-31B42F7ACBBE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36BE-421B-B920-E47C9D61E98C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83977D33-D3B7-4392-93E6-EE6DD5542E64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36BE-421B-B920-E47C9D61E98C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3DDAA0C7-A460-4C35-81C1-2FEE8F27BDC1}" type="CELLRANGE">
                      <a:rPr lang="de-DE"/>
                      <a:pPr/>
                      <a:t>[ZELLBEREICH]</a:t>
                    </a:fld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36BE-421B-B920-E47C9D61E98C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B-36BE-421B-B920-E47C9D61E98C}"/>
                </c:ext>
              </c:extLst>
            </c:dLbl>
            <c:dLbl>
              <c:idx val="12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C-36BE-421B-B920-E47C9D61E98C}"/>
                </c:ext>
              </c:extLst>
            </c:dLbl>
            <c:dLbl>
              <c:idx val="13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D-36BE-421B-B920-E47C9D61E98C}"/>
                </c:ext>
              </c:extLst>
            </c:dLbl>
            <c:dLbl>
              <c:idx val="14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E-36BE-421B-B920-E47C9D61E98C}"/>
                </c:ext>
              </c:extLst>
            </c:dLbl>
            <c:dLbl>
              <c:idx val="15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F-36BE-421B-B920-E47C9D61E98C}"/>
                </c:ext>
              </c:extLst>
            </c:dLbl>
            <c:dLbl>
              <c:idx val="16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0-36BE-421B-B920-E47C9D61E98C}"/>
                </c:ext>
              </c:extLst>
            </c:dLbl>
            <c:dLbl>
              <c:idx val="17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1-36BE-421B-B920-E47C9D61E98C}"/>
                </c:ext>
              </c:extLst>
            </c:dLbl>
            <c:dLbl>
              <c:idx val="18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2-36BE-421B-B920-E47C9D61E98C}"/>
                </c:ext>
              </c:extLst>
            </c:dLbl>
            <c:dLbl>
              <c:idx val="19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3-36BE-421B-B920-E47C9D61E98C}"/>
                </c:ext>
              </c:extLst>
            </c:dLbl>
            <c:dLbl>
              <c:idx val="20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4-36BE-421B-B920-E47C9D61E98C}"/>
                </c:ext>
              </c:extLst>
            </c:dLbl>
            <c:dLbl>
              <c:idx val="21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5-36BE-421B-B920-E47C9D61E98C}"/>
                </c:ext>
              </c:extLst>
            </c:dLbl>
            <c:dLbl>
              <c:idx val="22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6-36BE-421B-B920-E47C9D61E98C}"/>
                </c:ext>
              </c:extLst>
            </c:dLbl>
            <c:dLbl>
              <c:idx val="23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7-36BE-421B-B920-E47C9D61E98C}"/>
                </c:ext>
              </c:extLst>
            </c:dLbl>
            <c:dLbl>
              <c:idx val="24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8-36BE-421B-B920-E47C9D61E98C}"/>
                </c:ext>
              </c:extLst>
            </c:dLbl>
            <c:dLbl>
              <c:idx val="25"/>
              <c:tx>
                <c:rich>
                  <a:bodyPr/>
                  <a:lstStyle/>
                  <a:p>
                    <a:endParaRPr lang="de-DE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9-36BE-421B-B920-E47C9D61E98C}"/>
                </c:ext>
              </c:extLst>
            </c:dLbl>
            <c:dLbl>
              <c:idx val="26"/>
              <c:tx>
                <c:rich>
                  <a:bodyPr/>
                  <a:lstStyle/>
                  <a:p>
                    <a:endParaRPr lang="en-US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A-36BE-421B-B920-E47C9D61E98C}"/>
                </c:ext>
              </c:extLst>
            </c:dLbl>
            <c:dLbl>
              <c:idx val="27"/>
              <c:tx>
                <c:rich>
                  <a:bodyPr/>
                  <a:lstStyle/>
                  <a:p>
                    <a:endParaRPr lang="en-US"/>
                  </a:p>
                </c:rich>
              </c:tx>
              <c:dLblPos val="t"/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1B-36BE-421B-B920-E47C9D61E98C}"/>
                </c:ext>
              </c:extLst>
            </c:dLbl>
            <c:spPr>
              <a:solidFill>
                <a:schemeClr val="bg1">
                  <a:alpha val="72000"/>
                </a:schemeClr>
              </a:solidFill>
              <a:ln>
                <a:noFill/>
              </a:ln>
              <a:effectLst/>
            </c:spPr>
            <c:txPr>
              <a:bodyPr rot="0" spcFirstLastPara="1" vertOverflow="overflow" horzOverflow="overflow" vert="horz" wrap="square" lIns="38100" tIns="0" rIns="38100" bIns="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accent1">
                        <a:lumMod val="7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de-DE"/>
              </a:p>
            </c:txPr>
            <c:dLblPos val="t"/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rect">
                    <a:avLst/>
                  </a:prstGeom>
                  <a:noFill/>
                  <a:ln>
                    <a:noFill/>
                  </a:ln>
                </c15:spPr>
                <c15:showDataLabelsRange val="1"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errBars>
            <c:errDir val="x"/>
            <c:errBarType val="minus"/>
            <c:errValType val="percentage"/>
            <c:noEndCap val="1"/>
            <c:val val="100"/>
            <c:spPr>
              <a:noFill/>
              <a:ln w="22225" cap="flat" cmpd="sng" algn="ctr">
                <a:solidFill>
                  <a:schemeClr val="accent1"/>
                </a:solidFill>
                <a:prstDash val="sysDot"/>
                <a:round/>
                <a:tailEnd type="none"/>
              </a:ln>
              <a:effectLst/>
            </c:spPr>
          </c:errBars>
          <c:xVal>
            <c:numRef>
              <c:f>[tf16400963.xlsx]Vertical!$S$19:$S$46</c:f>
              <c:numCache>
                <c:formatCode>General</c:formatCode>
                <c:ptCount val="28"/>
                <c:pt idx="1">
                  <c:v>-50</c:v>
                </c:pt>
                <c:pt idx="2">
                  <c:v>70</c:v>
                </c:pt>
                <c:pt idx="3">
                  <c:v>-80</c:v>
                </c:pt>
                <c:pt idx="4">
                  <c:v>20</c:v>
                </c:pt>
                <c:pt idx="5">
                  <c:v>65</c:v>
                </c:pt>
                <c:pt idx="6">
                  <c:v>110</c:v>
                </c:pt>
                <c:pt idx="7">
                  <c:v>-40</c:v>
                </c:pt>
                <c:pt idx="8">
                  <c:v>-80</c:v>
                </c:pt>
                <c:pt idx="9">
                  <c:v>-80</c:v>
                </c:pt>
                <c:pt idx="10">
                  <c:v>60</c:v>
                </c:pt>
                <c:pt idx="25">
                  <c:v>-50</c:v>
                </c:pt>
              </c:numCache>
            </c:numRef>
          </c:xVal>
          <c:yVal>
            <c:numRef>
              <c:f>[tf16400963.xlsx]Vertical!$Q$19:$Q$46</c:f>
              <c:numCache>
                <c:formatCode>General</c:formatCode>
                <c:ptCount val="28"/>
                <c:pt idx="1">
                  <c:v>2013.7499</c:v>
                </c:pt>
                <c:pt idx="2">
                  <c:v>2014.4666</c:v>
                </c:pt>
                <c:pt idx="3">
                  <c:v>2017.9166</c:v>
                </c:pt>
                <c:pt idx="4">
                  <c:v>2018</c:v>
                </c:pt>
                <c:pt idx="5">
                  <c:v>2018.0833299999999</c:v>
                </c:pt>
                <c:pt idx="6">
                  <c:v>2018.1666</c:v>
                </c:pt>
                <c:pt idx="7">
                  <c:v>2018.25</c:v>
                </c:pt>
                <c:pt idx="8">
                  <c:v>2018.3330000000001</c:v>
                </c:pt>
                <c:pt idx="9">
                  <c:v>2018.4166600000001</c:v>
                </c:pt>
                <c:pt idx="10">
                  <c:v>2018.5</c:v>
                </c:pt>
                <c:pt idx="11">
                  <c:v>2018.5833299999999</c:v>
                </c:pt>
                <c:pt idx="12">
                  <c:v>2018.6666</c:v>
                </c:pt>
                <c:pt idx="13">
                  <c:v>2018.75</c:v>
                </c:pt>
                <c:pt idx="14">
                  <c:v>2018.8330000000001</c:v>
                </c:pt>
                <c:pt idx="15">
                  <c:v>2018.9166600000001</c:v>
                </c:pt>
                <c:pt idx="16">
                  <c:v>2019</c:v>
                </c:pt>
                <c:pt idx="17">
                  <c:v>2019.0833299999999</c:v>
                </c:pt>
                <c:pt idx="18">
                  <c:v>2019.1666</c:v>
                </c:pt>
              </c:numCache>
            </c:numRef>
          </c:yVal>
          <c:smooth val="0"/>
          <c:extLst>
            <c:ext xmlns:c15="http://schemas.microsoft.com/office/drawing/2012/chart" uri="{02D57815-91ED-43cb-92C2-25804820EDAC}">
              <c15:datalabelsRange>
                <c15:f>[tf16400963.xlsx]Vertical!$R$19:$R$46</c15:f>
                <c15:dlblRangeCache>
                  <c:ptCount val="28"/>
                  <c:pt idx="1">
                    <c:v>Bitcoin mining with 80 ASICs in a warehouse</c:v>
                  </c:pt>
                  <c:pt idx="2">
                    <c:v>Closure of mining operation due to losses</c:v>
                  </c:pt>
                  <c:pt idx="3">
                    <c:v>Basic project design discussed</c:v>
                  </c:pt>
                  <c:pt idx="4">
                    <c:v>ODEON Altcoin Mining project concept validated</c:v>
                  </c:pt>
                  <c:pt idx="5">
                    <c:v>Investor Deck preparation, business plan and basic team constitution</c:v>
                  </c:pt>
                  <c:pt idx="6">
                    <c:v>Advisors and Partners selection, Early Stage investors found</c:v>
                  </c:pt>
                  <c:pt idx="7">
                    <c:v>Whitepaper editing, Company creation, web-site creation</c:v>
                  </c:pt>
                  <c:pt idx="8">
                    <c:v>Investor Roadshows, Technical paper editing, AMF token label, token presale</c:v>
                  </c:pt>
                  <c:pt idx="9">
                    <c:v>Initial coin offering (ICO), ODE token sale</c:v>
                  </c:pt>
                  <c:pt idx="10">
                    <c:v>Final team constitution, general contractor contracts signed</c:v>
                  </c:pt>
                  <c:pt idx="11">
                    <c:v>Mining center footprint chosen, supply and platform developer contracts signed</c:v>
                  </c:pt>
                  <c:pt idx="12">
                    <c:v>ODE token listing, mining center rental and construction</c:v>
                  </c:pt>
                  <c:pt idx="13">
                    <c:v>Mining rig construction, testing, mining pool chosen</c:v>
                  </c:pt>
                  <c:pt idx="14">
                    <c:v>Mining center inauguration</c:v>
                  </c:pt>
                  <c:pt idx="15">
                    <c:v>ODEON Gate and ODEON Trade platforms testing</c:v>
                  </c:pt>
                  <c:pt idx="16">
                    <c:v>ODEON Gate and ODEON Trade go live</c:v>
                  </c:pt>
                  <c:pt idx="17">
                    <c:v>Second mining center investment</c:v>
                  </c:pt>
                  <c:pt idx="18">
                    <c:v>ODEON Company accounts prepared and token pay-outs executed</c:v>
                  </c:pt>
                  <c:pt idx="26">
                    <c:v>Insert new rows above this one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C-36BE-421B-B920-E47C9D61E98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78023760"/>
        <c:axId val="457238888"/>
      </c:scatterChart>
      <c:valAx>
        <c:axId val="278023760"/>
        <c:scaling>
          <c:orientation val="minMax"/>
          <c:max val="110"/>
          <c:min val="-110"/>
        </c:scaling>
        <c:delete val="1"/>
        <c:axPos val="t"/>
        <c:numFmt formatCode="General" sourceLinked="1"/>
        <c:majorTickMark val="out"/>
        <c:minorTickMark val="none"/>
        <c:tickLblPos val="nextTo"/>
        <c:crossAx val="457238888"/>
        <c:crosses val="autoZero"/>
        <c:crossBetween val="midCat"/>
        <c:majorUnit val="10"/>
      </c:valAx>
      <c:valAx>
        <c:axId val="457238888"/>
        <c:scaling>
          <c:orientation val="maxMin"/>
          <c:max val="2015"/>
          <c:min val="2013"/>
        </c:scaling>
        <c:delete val="0"/>
        <c:axPos val="l"/>
        <c:numFmt formatCode="General" sourceLinked="1"/>
        <c:majorTickMark val="cross"/>
        <c:minorTickMark val="out"/>
        <c:tickLblPos val="nextTo"/>
        <c:spPr>
          <a:noFill/>
          <a:ln w="31750">
            <a:solidFill>
              <a:schemeClr val="bg1">
                <a:lumMod val="50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20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de-DE"/>
          </a:p>
        </c:txPr>
        <c:crossAx val="278023760"/>
        <c:crosses val="autoZero"/>
        <c:crossBetween val="midCat"/>
        <c:majorUnit val="1"/>
        <c:minorUnit val="8.3330000000000015E-2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25400" cap="flat" cmpd="sng" algn="ctr">
      <a:solidFill>
        <a:schemeClr val="accent1"/>
      </a:solidFill>
      <a:round/>
    </a:ln>
    <a:effectLst/>
  </c:spPr>
  <c:txPr>
    <a:bodyPr/>
    <a:lstStyle/>
    <a:p>
      <a:pPr>
        <a:defRPr/>
      </a:pPr>
      <a:endParaRPr lang="de-D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Schulte-Langforth</dc:creator>
  <cp:keywords/>
  <dc:description/>
  <cp:lastModifiedBy>Christian Tömmel</cp:lastModifiedBy>
  <cp:revision>23</cp:revision>
  <dcterms:created xsi:type="dcterms:W3CDTF">2018-05-14T22:57:00Z</dcterms:created>
  <dcterms:modified xsi:type="dcterms:W3CDTF">2018-06-03T07:55:00Z</dcterms:modified>
</cp:coreProperties>
</file>