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spacing w:before="0" w:after="60"/>
        <w:jc w:val="center"/>
        <w:rPr/>
      </w:pPr>
      <w:r>
        <w:rPr>
          <w:rFonts w:eastAsia="Arial" w:cs="Arial"/>
          <w:b/>
          <w:bCs/>
          <w:color w:val="1F4E79"/>
          <w:sz w:val="80"/>
          <w:szCs w:val="80"/>
        </w:rPr>
        <w:t>AlgoTrader</w:t>
      </w:r>
    </w:p>
    <w:p>
      <w:pPr>
        <w:pStyle w:val="Normal"/>
        <w:spacing w:before="0" w:after="80"/>
        <w:jc w:val="center"/>
        <w:rPr/>
      </w:pPr>
      <w:r>
        <w:rPr>
          <w:rFonts w:eastAsia="Arial" w:cs="Arial"/>
          <w:b/>
          <w:bCs/>
          <w:color w:val="00695C"/>
          <w:sz w:val="32"/>
          <w:szCs w:val="32"/>
        </w:rPr>
        <w:t>Professional Algorithmic Trading Framework</w:t>
      </w:r>
    </w:p>
    <w:p>
      <w:pPr>
        <w:pStyle w:val="Normal"/>
        <w:pBdr>
          <w:bottom w:val="single" w:sz="6" w:space="4" w:color="2E75B6"/>
        </w:pBdr>
        <w:rPr/>
      </w:pPr>
      <w:r>
        <w:rPr/>
      </w:r>
    </w:p>
    <w:p>
      <w:pPr>
        <w:pStyle w:val="Normal"/>
        <w:spacing w:before="60" w:after="40"/>
        <w:jc w:val="center"/>
        <w:rPr/>
      </w:pPr>
      <w:r>
        <w:rPr>
          <w:rFonts w:eastAsia="Arial" w:cs="Arial"/>
          <w:color w:val="37474F"/>
          <w:sz w:val="26"/>
          <w:szCs w:val="26"/>
        </w:rPr>
        <w:t>Complete Literature Synthesis — 22 Books Analyzed</w:t>
      </w:r>
    </w:p>
    <w:p>
      <w:pPr>
        <w:pStyle w:val="Normal"/>
        <w:spacing w:before="0" w:after="40"/>
        <w:jc w:val="center"/>
        <w:rPr/>
      </w:pPr>
      <w:r>
        <w:rPr>
          <w:rFonts w:eastAsia="Arial" w:cs="Arial"/>
          <w:color w:val="37474F"/>
          <w:sz w:val="24"/>
          <w:szCs w:val="24"/>
        </w:rPr>
        <w:t>Ranger Evaluation &amp; Improvement Roadmap</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340"/>
        <w:gridCol w:w="2340"/>
        <w:gridCol w:w="2340"/>
        <w:gridCol w:w="2340"/>
      </w:tblGrid>
      <w:tr>
        <w:trPr>
          <w:tblHeader w:val="true"/>
        </w:trPr>
        <w:tc>
          <w:tcPr>
            <w:tcW w:w="2340" w:type="dxa"/>
            <w:tcBorders>
              <w:top w:val="single" w:sz="2" w:space="0" w:color="CCCCCC"/>
              <w:start w:val="single" w:sz="2" w:space="0" w:color="CCCCCC"/>
              <w:bottom w:val="single" w:sz="2" w:space="0" w:color="CCCCCC"/>
              <w:end w:val="single" w:sz="2" w:space="0" w:color="CCCCCC"/>
            </w:tcBorders>
            <w:shd w:fill="4527A0" w:val="clear"/>
          </w:tcPr>
          <w:p>
            <w:pPr>
              <w:pStyle w:val="Normal"/>
              <w:jc w:val="center"/>
              <w:rPr/>
            </w:pPr>
            <w:r>
              <w:rPr>
                <w:rFonts w:eastAsia="Arial" w:cs="Arial"/>
                <w:b/>
                <w:bCs/>
                <w:color w:val="FFFFFF"/>
                <w:sz w:val="18"/>
                <w:szCs w:val="18"/>
              </w:rPr>
              <w:t>Books 1–5</w:t>
            </w:r>
          </w:p>
        </w:tc>
        <w:tc>
          <w:tcPr>
            <w:tcW w:w="2340" w:type="dxa"/>
            <w:tcBorders>
              <w:top w:val="single" w:sz="2" w:space="0" w:color="CCCCCC"/>
              <w:start w:val="single" w:sz="2" w:space="0" w:color="CCCCCC"/>
              <w:bottom w:val="single" w:sz="2" w:space="0" w:color="CCCCCC"/>
              <w:end w:val="single" w:sz="2" w:space="0" w:color="CCCCCC"/>
            </w:tcBorders>
            <w:shd w:fill="4527A0" w:val="clear"/>
          </w:tcPr>
          <w:p>
            <w:pPr>
              <w:pStyle w:val="Normal"/>
              <w:jc w:val="center"/>
              <w:rPr/>
            </w:pPr>
            <w:r>
              <w:rPr>
                <w:rFonts w:eastAsia="Arial" w:cs="Arial"/>
                <w:b/>
                <w:bCs/>
                <w:color w:val="FFFFFF"/>
                <w:sz w:val="18"/>
                <w:szCs w:val="18"/>
              </w:rPr>
              <w:t>Books 6–10</w:t>
            </w:r>
          </w:p>
        </w:tc>
        <w:tc>
          <w:tcPr>
            <w:tcW w:w="2340" w:type="dxa"/>
            <w:tcBorders>
              <w:top w:val="single" w:sz="2" w:space="0" w:color="CCCCCC"/>
              <w:start w:val="single" w:sz="2" w:space="0" w:color="CCCCCC"/>
              <w:bottom w:val="single" w:sz="2" w:space="0" w:color="CCCCCC"/>
              <w:end w:val="single" w:sz="2" w:space="0" w:color="CCCCCC"/>
            </w:tcBorders>
            <w:shd w:fill="4527A0" w:val="clear"/>
          </w:tcPr>
          <w:p>
            <w:pPr>
              <w:pStyle w:val="Normal"/>
              <w:jc w:val="center"/>
              <w:rPr/>
            </w:pPr>
            <w:r>
              <w:rPr>
                <w:rFonts w:eastAsia="Arial" w:cs="Arial"/>
                <w:b/>
                <w:bCs/>
                <w:color w:val="FFFFFF"/>
                <w:sz w:val="18"/>
                <w:szCs w:val="18"/>
              </w:rPr>
              <w:t>Books 11–16</w:t>
            </w:r>
          </w:p>
        </w:tc>
        <w:tc>
          <w:tcPr>
            <w:tcW w:w="2340" w:type="dxa"/>
            <w:tcBorders>
              <w:top w:val="single" w:sz="2" w:space="0" w:color="CCCCCC"/>
              <w:start w:val="single" w:sz="2" w:space="0" w:color="CCCCCC"/>
              <w:bottom w:val="single" w:sz="2" w:space="0" w:color="CCCCCC"/>
              <w:end w:val="single" w:sz="2" w:space="0" w:color="CCCCCC"/>
            </w:tcBorders>
            <w:shd w:fill="4527A0" w:val="clear"/>
          </w:tcPr>
          <w:p>
            <w:pPr>
              <w:pStyle w:val="Normal"/>
              <w:jc w:val="center"/>
              <w:rPr/>
            </w:pPr>
            <w:r>
              <w:rPr>
                <w:rFonts w:eastAsia="Arial" w:cs="Arial"/>
                <w:b/>
                <w:bCs/>
                <w:color w:val="FFFFFF"/>
                <w:sz w:val="18"/>
                <w:szCs w:val="18"/>
              </w:rPr>
              <w:t>Books 17–22</w:t>
            </w:r>
          </w:p>
        </w:tc>
      </w:tr>
      <w:tr>
        <w:trPr/>
        <w:tc>
          <w:tcPr>
            <w:tcW w:w="234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AFML (Lopez de Prado) AAT (Halls-Moore) Finding Alphas (WorldQuant) Machine Trading (Chan) PAT (Kaufman/Strong)</w:t>
            </w:r>
          </w:p>
        </w:tc>
        <w:tc>
          <w:tcPr>
            <w:tcW w:w="234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DMA (Johnson) FSML (Akansu) QT (Lai &amp; Xing) SSML (Masters) ST (Carver)</w:t>
            </w:r>
          </w:p>
        </w:tc>
        <w:tc>
          <w:tcPr>
            <w:tcW w:w="234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AHF (Cartea) ATS (Chan 2013) IBBa/b (Narang x2) TTM (Masters) TSM (Kaufman 1232pp)</w:t>
            </w:r>
          </w:p>
        </w:tc>
        <w:tc>
          <w:tcPr>
            <w:tcW w:w="234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QT (E. Chan 2nd ed) BWATS (Davey) HFT (Aldridge) AIFM (Dunis et al.) MT (E. Chan) SAT (QuantStart)</w:t>
            </w:r>
          </w:p>
        </w:tc>
      </w:tr>
    </w:tbl>
    <w:p>
      <w:pPr>
        <w:pStyle w:val="Normal"/>
        <w:rPr/>
      </w:pPr>
      <w:r>
        <w:rPr/>
      </w:r>
    </w:p>
    <w:p>
      <w:pPr>
        <w:pStyle w:val="Normal"/>
        <w:rPr/>
      </w:pPr>
      <w:r>
        <w:rPr/>
      </w:r>
    </w:p>
    <w:p>
      <w:pPr>
        <w:pStyle w:val="Normal"/>
        <w:spacing w:before="0" w:after="40"/>
        <w:jc w:val="center"/>
        <w:rPr/>
      </w:pPr>
      <w:r>
        <w:rPr>
          <w:rFonts w:eastAsia="Arial" w:cs="Arial"/>
          <w:color w:val="BDBDBD"/>
          <w:sz w:val="20"/>
          <w:szCs w:val="20"/>
        </w:rPr>
        <w:t>May 2026  •  Version 3.0  •  Unified Edition</w:t>
      </w:r>
    </w:p>
    <w:p>
      <w:pPr>
        <w:pStyle w:val="Normal"/>
        <w:rPr/>
      </w:pPr>
      <w:r>
        <w:rPr/>
      </w:r>
      <w:r>
        <w:br w:type="page"/>
      </w:r>
    </w:p>
    <w:p>
      <w:pPr>
        <w:pStyle w:val="Heading1"/>
        <w:spacing w:before="0" w:after="180"/>
        <w:rPr/>
      </w:pPr>
      <w:r>
        <w:rPr>
          <w:rFonts w:eastAsia="Arial" w:cs="Arial" w:ascii="Arial" w:hAnsi="Arial"/>
          <w:b/>
          <w:bCs/>
          <w:color w:val="1F4E79"/>
          <w:sz w:val="36"/>
          <w:szCs w:val="36"/>
        </w:rPr>
        <w:t>Executive Summary</w:t>
      </w:r>
    </w:p>
    <w:p>
      <w:pPr>
        <w:pStyle w:val="Normal"/>
        <w:spacing w:before="0" w:after="120"/>
        <w:rPr/>
      </w:pPr>
      <w:r>
        <w:rPr>
          <w:rFonts w:eastAsia="Arial" w:cs="Arial"/>
          <w:sz w:val="20"/>
          <w:szCs w:val="20"/>
        </w:rPr>
        <w:t>This document synthesizes 22 authoritative algorithmic trading texts and applies their combined findings to the Ranger / AlgoTrader codebase. It supersedes the three prior partial documents (Books 1–5, 6–10, 11–16) and adds full analysis of six new books. The final section evaluates Ranger against every major finding and produces a prioritized improvement roadmap.</w:t>
      </w:r>
    </w:p>
    <w:p>
      <w:pPr>
        <w:pStyle w:val="Normal"/>
        <w:rPr/>
      </w:pPr>
      <w:r>
        <w:rPr/>
      </w:r>
    </w:p>
    <w:p>
      <w:pPr>
        <w:pStyle w:val="Heading2"/>
        <w:rPr/>
      </w:pPr>
      <w:r>
        <w:rPr>
          <w:rFonts w:eastAsia="Arial" w:cs="Arial" w:ascii="Arial" w:hAnsi="Arial"/>
          <w:b/>
          <w:bCs/>
          <w:color w:val="2E75B6"/>
          <w:sz w:val="28"/>
          <w:szCs w:val="28"/>
        </w:rPr>
        <w:t>What the 22 Books Agree On (High-Confidence Findings)</w:t>
      </w:r>
    </w:p>
    <w:p>
      <w:pPr>
        <w:pStyle w:val="ListParagraph"/>
        <w:numPr>
          <w:ilvl w:val="0"/>
          <w:numId w:val="3"/>
        </w:numPr>
        <w:spacing w:before="0" w:after="80"/>
        <w:ind w:hanging="260" w:start="540"/>
        <w:rPr/>
      </w:pPr>
      <w:r>
        <w:rPr>
          <w:rFonts w:eastAsia="Arial" w:cs="Arial"/>
          <w:sz w:val="20"/>
          <w:szCs w:val="20"/>
        </w:rPr>
        <w:t>25% of theoretical optimal leverage (Kelly/Optimal-f) is the universal sizing recommendation — confirmed by 7 independent books across 3 decades of research</w:t>
      </w:r>
    </w:p>
    <w:p>
      <w:pPr>
        <w:pStyle w:val="ListParagraph"/>
        <w:numPr>
          <w:ilvl w:val="0"/>
          <w:numId w:val="1"/>
        </w:numPr>
        <w:spacing w:before="0" w:after="80"/>
        <w:ind w:hanging="260" w:start="540"/>
        <w:rPr/>
      </w:pPr>
      <w:r>
        <w:rPr>
          <w:rFonts w:eastAsia="Arial" w:cs="Arial"/>
          <w:sz w:val="20"/>
          <w:szCs w:val="20"/>
        </w:rPr>
        <w:t>Walk-forward validation with IS/OOS = 5:1 is the minimum standard before live deployment — backtests without it are unreliable</w:t>
      </w:r>
    </w:p>
    <w:p>
      <w:pPr>
        <w:pStyle w:val="ListParagraph"/>
        <w:numPr>
          <w:ilvl w:val="0"/>
          <w:numId w:val="1"/>
        </w:numPr>
        <w:spacing w:before="0" w:after="80"/>
        <w:ind w:hanging="260" w:start="540"/>
        <w:rPr/>
      </w:pPr>
      <w:r>
        <w:rPr>
          <w:rFonts w:eastAsia="Arial" w:cs="Arial"/>
          <w:sz w:val="20"/>
          <w:szCs w:val="20"/>
        </w:rPr>
        <w:t>Transaction costs destroy more strategies than bad signals — every book with empirical analysis shows gross vs. net Sharpe divergence</w:t>
      </w:r>
    </w:p>
    <w:p>
      <w:pPr>
        <w:pStyle w:val="ListParagraph"/>
        <w:numPr>
          <w:ilvl w:val="0"/>
          <w:numId w:val="1"/>
        </w:numPr>
        <w:spacing w:before="0" w:after="80"/>
        <w:ind w:hanging="260" w:start="540"/>
        <w:rPr/>
      </w:pPr>
      <w:r>
        <w:rPr>
          <w:rFonts w:eastAsia="Arial" w:cs="Arial"/>
          <w:sz w:val="20"/>
          <w:szCs w:val="20"/>
        </w:rPr>
        <w:t>ATR-based stops outperform fixed-tick stops across all market conditions — volatility-normalized exits are theoretically grounded</w:t>
      </w:r>
    </w:p>
    <w:p>
      <w:pPr>
        <w:pStyle w:val="ListParagraph"/>
        <w:numPr>
          <w:ilvl w:val="0"/>
          <w:numId w:val="1"/>
        </w:numPr>
        <w:spacing w:before="0" w:after="80"/>
        <w:ind w:hanging="260" w:start="540"/>
        <w:rPr/>
      </w:pPr>
      <w:r>
        <w:rPr>
          <w:rFonts w:eastAsia="Arial" w:cs="Arial"/>
          <w:sz w:val="20"/>
          <w:szCs w:val="20"/>
        </w:rPr>
        <w:t>ML in trading works best as a signal filter (meta-labeling), not as a signal generator — the primary signal should be structural</w:t>
      </w:r>
    </w:p>
    <w:p>
      <w:pPr>
        <w:pStyle w:val="ListParagraph"/>
        <w:numPr>
          <w:ilvl w:val="0"/>
          <w:numId w:val="1"/>
        </w:numPr>
        <w:spacing w:before="0" w:after="80"/>
        <w:ind w:hanging="260" w:start="540"/>
        <w:rPr/>
      </w:pPr>
      <w:r>
        <w:rPr>
          <w:rFonts w:eastAsia="Arial" w:cs="Arial"/>
          <w:sz w:val="20"/>
          <w:szCs w:val="20"/>
        </w:rPr>
        <w:t>The U-shaped intraday volume pattern in equity index futures makes the first 60 minutes and last 90 minutes the highest-quality windows</w:t>
      </w:r>
    </w:p>
    <w:p>
      <w:pPr>
        <w:pStyle w:val="ListParagraph"/>
        <w:numPr>
          <w:ilvl w:val="0"/>
          <w:numId w:val="1"/>
        </w:numPr>
        <w:spacing w:before="0" w:after="80"/>
        <w:ind w:hanging="260" w:start="540"/>
        <w:rPr/>
      </w:pPr>
      <w:r>
        <w:rPr>
          <w:rFonts w:eastAsia="Arial" w:cs="Arial"/>
          <w:sz w:val="20"/>
          <w:szCs w:val="20"/>
        </w:rPr>
        <w:t>Ensemble ML models consistently outperform single models — Random Forest + Logistic Regression beats either alone</w:t>
      </w:r>
    </w:p>
    <w:p>
      <w:pPr>
        <w:pStyle w:val="ListParagraph"/>
        <w:numPr>
          <w:ilvl w:val="0"/>
          <w:numId w:val="1"/>
        </w:numPr>
        <w:spacing w:before="0" w:after="80"/>
        <w:ind w:hanging="260" w:start="540"/>
        <w:rPr/>
      </w:pPr>
      <w:r>
        <w:rPr>
          <w:rFonts w:eastAsia="Arial" w:cs="Arial"/>
          <w:sz w:val="20"/>
          <w:szCs w:val="20"/>
        </w:rPr>
        <w:t>Monte Carlo permutation testing is mandatory before trusting any backtest result</w:t>
      </w:r>
    </w:p>
    <w:p>
      <w:pPr>
        <w:pStyle w:val="Normal"/>
        <w:rPr/>
      </w:pPr>
      <w:r>
        <w:rPr/>
      </w:r>
    </w:p>
    <w:p>
      <w:pPr>
        <w:pStyle w:val="Heading2"/>
        <w:rPr/>
      </w:pPr>
      <w:r>
        <w:rPr>
          <w:rFonts w:eastAsia="Arial" w:cs="Arial" w:ascii="Arial" w:hAnsi="Arial"/>
          <w:b/>
          <w:bCs/>
          <w:color w:val="2E75B6"/>
          <w:sz w:val="28"/>
          <w:szCs w:val="28"/>
        </w:rPr>
        <w:t>Ranger Overall Assessment</w:t>
      </w:r>
    </w:p>
    <w:p>
      <w:pPr>
        <w:pStyle w:val="Normal"/>
        <w:spacing w:before="0" w:after="120"/>
        <w:rPr/>
      </w:pPr>
      <w:r>
        <w:rPr>
          <w:rFonts w:eastAsia="Arial" w:cs="Arial"/>
          <w:sz w:val="20"/>
          <w:szCs w:val="20"/>
        </w:rPr>
        <w:t>Ranger is architecturally well-aligned with the literature. It implements the correct paradigms: modular partial-class design, ATR-based context, volatility-aware entry filters, ML meta-labeling gate, comprehensive trade logging, and session-based risk management. The primary improvement opportunities are not architectural — they are calibration and feature enrichment gaps that the new books specifically illuminate.</w:t>
      </w:r>
    </w:p>
    <w:tbl>
      <w:tblPr>
        <w:tblW w:w="9360" w:type="dxa"/>
        <w:jc w:val="start"/>
        <w:tblInd w:w="0" w:type="dxa"/>
        <w:tblLayout w:type="fixed"/>
        <w:tblCellMar>
          <w:top w:w="80" w:type="dxa"/>
          <w:start w:w="120" w:type="dxa"/>
          <w:bottom w:w="80" w:type="dxa"/>
          <w:end w:w="120" w:type="dxa"/>
        </w:tblCellMar>
      </w:tblPr>
      <w:tblGrid>
        <w:gridCol w:w="1791"/>
        <w:gridCol w:w="2463"/>
        <w:gridCol w:w="3538"/>
        <w:gridCol w:w="1568"/>
      </w:tblGrid>
      <w:tr>
        <w:trPr>
          <w:tblHeader w:val="true"/>
        </w:trPr>
        <w:tc>
          <w:tcPr>
            <w:tcW w:w="1791"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18"/>
                <w:szCs w:val="18"/>
              </w:rPr>
              <w:t>Domain</w:t>
            </w:r>
          </w:p>
        </w:tc>
        <w:tc>
          <w:tcPr>
            <w:tcW w:w="2463"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18"/>
                <w:szCs w:val="18"/>
              </w:rPr>
              <w:t>Current State</w:t>
            </w:r>
          </w:p>
        </w:tc>
        <w:tc>
          <w:tcPr>
            <w:tcW w:w="3538"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18"/>
                <w:szCs w:val="18"/>
              </w:rPr>
              <w:t>Literature Gap</w:t>
            </w:r>
          </w:p>
        </w:tc>
        <w:tc>
          <w:tcPr>
            <w:tcW w:w="1568"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18"/>
                <w:szCs w:val="18"/>
              </w:rPr>
              <w:t>Priority</w:t>
            </w:r>
          </w:p>
        </w:tc>
      </w:tr>
      <w:tr>
        <w:trPr/>
        <w:tc>
          <w:tcPr>
            <w:tcW w:w="179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Position Sizing</w:t>
            </w:r>
          </w:p>
        </w:tc>
        <w:tc>
          <w:tcPr>
            <w:tcW w:w="246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Fixed contracts or simple Kelly</w:t>
            </w:r>
          </w:p>
        </w:tc>
        <w:tc>
          <w:tcPr>
            <w:tcW w:w="3538"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Carver vol-targeting formula not fully wired</w:t>
            </w:r>
          </w:p>
        </w:tc>
        <w:tc>
          <w:tcPr>
            <w:tcW w:w="1568"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HIGH</w:t>
            </w:r>
          </w:p>
        </w:tc>
      </w:tr>
      <w:tr>
        <w:trPr/>
        <w:tc>
          <w:tcPr>
            <w:tcW w:w="179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ML Features</w:t>
            </w:r>
          </w:p>
        </w:tc>
        <w:tc>
          <w:tcPr>
            <w:tcW w:w="246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8 features, f2 dead placeholder</w:t>
            </w:r>
          </w:p>
        </w:tc>
        <w:tc>
          <w:tcPr>
            <w:tcW w:w="353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SessionTrend_at_Entry &amp; SlopeAngle underused in trainer</w:t>
            </w:r>
          </w:p>
        </w:tc>
        <w:tc>
          <w:tcPr>
            <w:tcW w:w="156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HIGH</w:t>
            </w:r>
          </w:p>
        </w:tc>
      </w:tr>
      <w:tr>
        <w:trPr/>
        <w:tc>
          <w:tcPr>
            <w:tcW w:w="179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Monte Carlo Validation</w:t>
            </w:r>
          </w:p>
        </w:tc>
        <w:tc>
          <w:tcPr>
            <w:tcW w:w="246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Not implemented</w:t>
            </w:r>
          </w:p>
        </w:tc>
        <w:tc>
          <w:tcPr>
            <w:tcW w:w="3538"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BWATS + SSML both mandate this before live</w:t>
            </w:r>
          </w:p>
        </w:tc>
        <w:tc>
          <w:tcPr>
            <w:tcW w:w="1568"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HIGH</w:t>
            </w:r>
          </w:p>
        </w:tc>
      </w:tr>
      <w:tr>
        <w:trPr/>
        <w:tc>
          <w:tcPr>
            <w:tcW w:w="179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Stop Logic</w:t>
            </w:r>
          </w:p>
        </w:tc>
        <w:tc>
          <w:tcPr>
            <w:tcW w:w="246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FixedStopTrail 4-stage</w:t>
            </w:r>
          </w:p>
        </w:tc>
        <w:tc>
          <w:tcPr>
            <w:tcW w:w="353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No ER-adaptive trail scaling (Kaufman TSM)</w:t>
            </w:r>
          </w:p>
        </w:tc>
        <w:tc>
          <w:tcPr>
            <w:tcW w:w="156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MEDIUM</w:t>
            </w:r>
          </w:p>
        </w:tc>
      </w:tr>
      <w:tr>
        <w:trPr/>
        <w:tc>
          <w:tcPr>
            <w:tcW w:w="179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Entry Filter</w:t>
            </w:r>
          </w:p>
        </w:tc>
        <w:tc>
          <w:tcPr>
            <w:tcW w:w="246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ADX + Diff + Displacement</w:t>
            </w:r>
          </w:p>
        </w:tc>
        <w:tc>
          <w:tcPr>
            <w:tcW w:w="3538"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ER chop filter not wired as standalone gate</w:t>
            </w:r>
          </w:p>
        </w:tc>
        <w:tc>
          <w:tcPr>
            <w:tcW w:w="1568"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MEDIUM</w:t>
            </w:r>
          </w:p>
        </w:tc>
      </w:tr>
      <w:tr>
        <w:trPr/>
        <w:tc>
          <w:tcPr>
            <w:tcW w:w="179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Midday Block</w:t>
            </w:r>
          </w:p>
        </w:tc>
        <w:tc>
          <w:tcPr>
            <w:tcW w:w="246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RTHWindowEnd only</w:t>
            </w:r>
          </w:p>
        </w:tc>
        <w:tc>
          <w:tcPr>
            <w:tcW w:w="353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No 11:30–13:30 midday suppression (TSM)</w:t>
            </w:r>
          </w:p>
        </w:tc>
        <w:tc>
          <w:tcPr>
            <w:tcW w:w="156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MEDIUM</w:t>
            </w:r>
          </w:p>
        </w:tc>
      </w:tr>
      <w:tr>
        <w:trPr/>
        <w:tc>
          <w:tcPr>
            <w:tcW w:w="179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Gap Filter</w:t>
            </w:r>
          </w:p>
        </w:tc>
        <w:tc>
          <w:tcPr>
            <w:tcW w:w="246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Not implemented</w:t>
            </w:r>
          </w:p>
        </w:tc>
        <w:tc>
          <w:tcPr>
            <w:tcW w:w="3538"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TSM/QT: counter-gap entries in first 30 min are losing</w:t>
            </w:r>
          </w:p>
        </w:tc>
        <w:tc>
          <w:tcPr>
            <w:tcW w:w="1568"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MEDIUM</w:t>
            </w:r>
          </w:p>
        </w:tc>
      </w:tr>
      <w:tr>
        <w:trPr/>
        <w:tc>
          <w:tcPr>
            <w:tcW w:w="179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Consecutive Loss</w:t>
            </w:r>
          </w:p>
        </w:tc>
        <w:tc>
          <w:tcPr>
            <w:tcW w:w="246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MaxConsecutiveLosses gate</w:t>
            </w:r>
          </w:p>
        </w:tc>
        <w:tc>
          <w:tcPr>
            <w:tcW w:w="353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Half-size rebuild not implemented after gate fires</w:t>
            </w:r>
          </w:p>
        </w:tc>
        <w:tc>
          <w:tcPr>
            <w:tcW w:w="156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LOW</w:t>
            </w:r>
          </w:p>
        </w:tc>
      </w:tr>
    </w:tbl>
    <w:p>
      <w:pPr>
        <w:pStyle w:val="Normal"/>
        <w:rPr/>
      </w:pPr>
      <w:r>
        <w:rPr/>
      </w:r>
      <w:r>
        <w:br w:type="page"/>
      </w:r>
    </w:p>
    <w:p>
      <w:pPr>
        <w:pStyle w:val="Heading1"/>
        <w:spacing w:before="0" w:after="180"/>
        <w:rPr/>
      </w:pPr>
      <w:r>
        <w:rPr>
          <w:rFonts w:eastAsia="Arial" w:cs="Arial" w:ascii="Arial" w:hAnsi="Arial"/>
          <w:b/>
          <w:bCs/>
          <w:color w:val="1F4E79"/>
          <w:sz w:val="36"/>
          <w:szCs w:val="36"/>
        </w:rPr>
        <w:t>Part I — Books 1–16: Core Synthesis</w:t>
      </w:r>
    </w:p>
    <w:p>
      <w:pPr>
        <w:pStyle w:val="Normal"/>
        <w:spacing w:before="0" w:after="120"/>
        <w:rPr/>
      </w:pPr>
      <w:r>
        <w:rPr>
          <w:rFonts w:eastAsia="Arial" w:cs="Arial"/>
          <w:sz w:val="20"/>
          <w:szCs w:val="20"/>
        </w:rPr>
        <w:t>This section condenses the key findings from the first 16 books. Full detail was in the three prior documents; this unified version retains all actionable conclusions and implementation notes.</w:t>
      </w:r>
    </w:p>
    <w:p>
      <w:pPr>
        <w:pStyle w:val="Normal"/>
        <w:rPr/>
      </w:pPr>
      <w:r>
        <w:rPr/>
      </w:r>
    </w:p>
    <w:p>
      <w:pPr>
        <w:pStyle w:val="Heading2"/>
        <w:rPr/>
      </w:pPr>
      <w:r>
        <w:rPr>
          <w:rFonts w:eastAsia="Arial" w:cs="Arial" w:ascii="Arial" w:hAnsi="Arial"/>
          <w:b/>
          <w:bCs/>
          <w:color w:val="2E75B6"/>
          <w:sz w:val="28"/>
          <w:szCs w:val="28"/>
        </w:rPr>
        <w:t>1.1  Machine Learning Pipeline (AFML — Lopez de Prado)</w:t>
      </w:r>
    </w:p>
    <w:p>
      <w:pPr>
        <w:pStyle w:val="Heading3"/>
        <w:rPr/>
      </w:pPr>
      <w:r>
        <w:rPr>
          <w:rFonts w:eastAsia="Arial" w:cs="Arial" w:ascii="Arial" w:hAnsi="Arial"/>
          <w:b/>
          <w:bCs/>
          <w:color w:val="00695C"/>
          <w:sz w:val="24"/>
          <w:szCs w:val="24"/>
        </w:rPr>
        <w:t>Triple-Barrier Labeling</w:t>
      </w:r>
    </w:p>
    <w:p>
      <w:pPr>
        <w:pStyle w:val="Normal"/>
        <w:spacing w:before="0" w:after="120"/>
        <w:rPr/>
      </w:pPr>
      <w:r>
        <w:rPr>
          <w:rFonts w:eastAsia="Arial" w:cs="Arial"/>
          <w:sz w:val="20"/>
          <w:szCs w:val="20"/>
        </w:rPr>
        <w:t>The definitive replacement for win/loss labeling. Sets three exit conditions per bar: upper barrier (profit target), lower barrier (stop), vertical barrier (time). The label is which barrier fires first: +1, -1, or 0. Directly mirrors Ranger's bracket structure. Use ATR multiples tied to regime for barrier widths.</w:t>
      </w:r>
    </w:p>
    <w:tbl>
      <w:tblPr>
        <w:tblW w:w="9360" w:type="dxa"/>
        <w:jc w:val="start"/>
        <w:tblInd w:w="0" w:type="dxa"/>
        <w:tblLayout w:type="fixed"/>
        <w:tblCellMar>
          <w:top w:w="80" w:type="dxa"/>
          <w:start w:w="80" w:type="dxa"/>
          <w:bottom w:w="80" w:type="dxa"/>
          <w:end w:w="80" w:type="dxa"/>
        </w:tblCellMar>
      </w:tblPr>
      <w:tblGrid>
        <w:gridCol w:w="480"/>
        <w:gridCol w:w="8880"/>
      </w:tblGrid>
      <w:tr>
        <w:trPr/>
        <w:tc>
          <w:tcPr>
            <w:tcW w:w="480"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18"/>
                <w:szCs w:val="18"/>
              </w:rPr>
              <w:t>IMPL</w:t>
            </w:r>
          </w:p>
        </w:tc>
        <w:tc>
          <w:tcPr>
            <w:tcW w:w="8880" w:type="dxa"/>
            <w:tcBorders>
              <w:top w:val="single" w:sz="2" w:space="0" w:color="2E75B6"/>
              <w:start w:val="single" w:sz="4" w:space="0" w:color="2E75B6"/>
              <w:bottom w:val="single" w:sz="2" w:space="0" w:color="2E75B6"/>
              <w:end w:val="single" w:sz="2" w:space="0" w:color="2E75B6"/>
            </w:tcBorders>
            <w:shd w:fill="EEF4FB" w:val="clear"/>
            <w:tcMar>
              <w:start w:w="120" w:type="dxa"/>
              <w:end w:w="120" w:type="dxa"/>
            </w:tcMar>
          </w:tcPr>
          <w:p>
            <w:pPr>
              <w:pStyle w:val="Normal"/>
              <w:rPr/>
            </w:pPr>
            <w:r>
              <w:rPr>
                <w:rFonts w:eastAsia="Arial" w:cs="Arial"/>
                <w:i/>
                <w:iCs/>
                <w:sz w:val="19"/>
                <w:szCs w:val="19"/>
              </w:rPr>
              <w:t>AlgoTrainer.py: TripleBarrierLabel is already logged. Verify the label is being read correctly in the feature matrix build — confirmed present in training pipeline.</w:t>
            </w:r>
          </w:p>
        </w:tc>
      </w:tr>
    </w:tbl>
    <w:p>
      <w:pPr>
        <w:pStyle w:val="Normal"/>
        <w:rPr/>
      </w:pPr>
      <w:r>
        <w:rPr/>
      </w:r>
    </w:p>
    <w:p>
      <w:pPr>
        <w:pStyle w:val="Heading3"/>
        <w:rPr/>
      </w:pPr>
      <w:r>
        <w:rPr>
          <w:rFonts w:eastAsia="Arial" w:cs="Arial" w:ascii="Arial" w:hAnsi="Arial"/>
          <w:b/>
          <w:bCs/>
          <w:color w:val="00695C"/>
          <w:sz w:val="24"/>
          <w:szCs w:val="24"/>
        </w:rPr>
        <w:t>Meta-Labeling</w:t>
      </w:r>
    </w:p>
    <w:p>
      <w:pPr>
        <w:pStyle w:val="Normal"/>
        <w:spacing w:before="0" w:after="120"/>
        <w:rPr/>
      </w:pPr>
      <w:r>
        <w:rPr>
          <w:rFonts w:eastAsia="Arial" w:cs="Arial"/>
          <w:sz w:val="20"/>
          <w:szCs w:val="20"/>
        </w:rPr>
        <w:t>Two-model framework: primary model generates direction (SwingStructure / DailyRange trend label), secondary model estimates P(win | features). The secondary model gates entries and scales position size. Ranger's ML gate IS the secondary model — the architecture is correct.</w:t>
      </w:r>
    </w:p>
    <w:p>
      <w:pPr>
        <w:pStyle w:val="Heading3"/>
        <w:rPr/>
      </w:pPr>
      <w:r>
        <w:rPr>
          <w:rFonts w:eastAsia="Arial" w:cs="Arial" w:ascii="Arial" w:hAnsi="Arial"/>
          <w:b/>
          <w:bCs/>
          <w:color w:val="00695C"/>
          <w:sz w:val="24"/>
          <w:szCs w:val="24"/>
        </w:rPr>
        <w:t>Purged K-Fold CV</w:t>
      </w:r>
    </w:p>
    <w:p>
      <w:pPr>
        <w:pStyle w:val="Normal"/>
        <w:spacing w:before="0" w:after="120"/>
        <w:rPr/>
      </w:pPr>
      <w:r>
        <w:rPr>
          <w:rFonts w:eastAsia="Arial" w:cs="Arial"/>
          <w:sz w:val="20"/>
          <w:szCs w:val="20"/>
        </w:rPr>
        <w:t>Standard K-Fold produces severely optimistic estimates on financial time series. Purge training samples whose labels overlap in time with any test sample. Add N-bar embargo (N ≈ 10–20) between train and test. AlgoTrainer.py implements this correctly.</w:t>
      </w:r>
    </w:p>
    <w:p>
      <w:pPr>
        <w:pStyle w:val="Heading3"/>
        <w:rPr/>
      </w:pPr>
      <w:r>
        <w:rPr>
          <w:rFonts w:eastAsia="Arial" w:cs="Arial" w:ascii="Arial" w:hAnsi="Arial"/>
          <w:b/>
          <w:bCs/>
          <w:color w:val="00695C"/>
          <w:sz w:val="24"/>
          <w:szCs w:val="24"/>
        </w:rPr>
        <w:t>Bet Sizing from ML Probability</w:t>
      </w:r>
    </w:p>
    <w:p>
      <w:pPr>
        <w:pStyle w:val="Normal"/>
        <w:spacing w:before="0" w:after="120"/>
        <w:rPr/>
      </w:pPr>
      <w:r>
        <w:rPr>
          <w:rFonts w:eastAsia="Arial" w:cs="Arial"/>
          <w:sz w:val="20"/>
          <w:szCs w:val="20"/>
        </w:rPr>
        <w:t>Scale contracts by ML confidence: Full Kelly = (2p − 1) / RiskPerContract. Use 25% Kelly in practice. Discretize to avoid fractional contracts. As P(win) rises from 0.5 toward 1.0, scale from MinContracts to MaxContracts.</w:t>
      </w:r>
    </w:p>
    <w:p>
      <w:pPr>
        <w:pStyle w:val="Normal"/>
        <w:rPr/>
      </w:pPr>
      <w:r>
        <w:rPr/>
      </w:r>
    </w:p>
    <w:p>
      <w:pPr>
        <w:pStyle w:val="Heading2"/>
        <w:rPr/>
      </w:pPr>
      <w:r>
        <w:rPr>
          <w:rFonts w:eastAsia="Arial" w:cs="Arial" w:ascii="Arial" w:hAnsi="Arial"/>
          <w:b/>
          <w:bCs/>
          <w:color w:val="2E75B6"/>
          <w:sz w:val="28"/>
          <w:szCs w:val="28"/>
        </w:rPr>
        <w:t>1.2  Regime Detection (AAT — Halls-Moore)</w:t>
      </w:r>
    </w:p>
    <w:p>
      <w:pPr>
        <w:pStyle w:val="Normal"/>
        <w:spacing w:before="0" w:after="120"/>
        <w:rPr/>
      </w:pPr>
      <w:r>
        <w:rPr>
          <w:rFonts w:eastAsia="Arial" w:cs="Arial"/>
          <w:sz w:val="20"/>
          <w:szCs w:val="20"/>
        </w:rPr>
        <w:t>2-state or 3-state Hidden Markov Models on daily log-returns. Gaussian emission. Baum-Welch for parameter estimation, forward algorithm for online P(state | observations). Compute at session open using prior-session data only to avoid look-ahead.</w:t>
      </w:r>
    </w:p>
    <w:tbl>
      <w:tblPr>
        <w:tblW w:w="9360" w:type="dxa"/>
        <w:jc w:val="start"/>
        <w:tblInd w:w="0" w:type="dxa"/>
        <w:tblLayout w:type="fixed"/>
        <w:tblCellMar>
          <w:top w:w="80" w:type="dxa"/>
          <w:start w:w="120" w:type="dxa"/>
          <w:bottom w:w="80" w:type="dxa"/>
          <w:end w:w="120" w:type="dxa"/>
        </w:tblCellMar>
      </w:tblPr>
      <w:tblGrid>
        <w:gridCol w:w="2075"/>
        <w:gridCol w:w="2429"/>
        <w:gridCol w:w="2428"/>
        <w:gridCol w:w="2428"/>
      </w:tblGrid>
      <w:tr>
        <w:trPr>
          <w:tblHeader w:val="true"/>
        </w:trPr>
        <w:tc>
          <w:tcPr>
            <w:tcW w:w="2075" w:type="dxa"/>
            <w:tcBorders>
              <w:top w:val="single" w:sz="2" w:space="0" w:color="CCCCCC"/>
              <w:start w:val="single" w:sz="2" w:space="0" w:color="CCCCCC"/>
              <w:bottom w:val="single" w:sz="2" w:space="0" w:color="CCCCCC"/>
              <w:end w:val="single" w:sz="2" w:space="0" w:color="CCCCCC"/>
            </w:tcBorders>
            <w:shd w:fill="00695C" w:val="clear"/>
          </w:tcPr>
          <w:p>
            <w:pPr>
              <w:pStyle w:val="Normal"/>
              <w:jc w:val="center"/>
              <w:rPr/>
            </w:pPr>
            <w:r>
              <w:rPr>
                <w:rFonts w:eastAsia="Arial" w:cs="Arial"/>
                <w:b/>
                <w:bCs/>
                <w:color w:val="FFFFFF"/>
                <w:sz w:val="18"/>
                <w:szCs w:val="18"/>
              </w:rPr>
              <w:t>Parameter</w:t>
            </w:r>
          </w:p>
        </w:tc>
        <w:tc>
          <w:tcPr>
            <w:tcW w:w="2429" w:type="dxa"/>
            <w:tcBorders>
              <w:top w:val="single" w:sz="2" w:space="0" w:color="CCCCCC"/>
              <w:start w:val="single" w:sz="2" w:space="0" w:color="CCCCCC"/>
              <w:bottom w:val="single" w:sz="2" w:space="0" w:color="CCCCCC"/>
              <w:end w:val="single" w:sz="2" w:space="0" w:color="CCCCCC"/>
            </w:tcBorders>
            <w:shd w:fill="00695C" w:val="clear"/>
          </w:tcPr>
          <w:p>
            <w:pPr>
              <w:pStyle w:val="Normal"/>
              <w:jc w:val="center"/>
              <w:rPr/>
            </w:pPr>
            <w:r>
              <w:rPr>
                <w:rFonts w:eastAsia="Arial" w:cs="Arial"/>
                <w:b/>
                <w:bCs/>
                <w:color w:val="FFFFFF"/>
                <w:sz w:val="18"/>
                <w:szCs w:val="18"/>
              </w:rPr>
              <w:t>Bull Regime</w:t>
            </w:r>
          </w:p>
        </w:tc>
        <w:tc>
          <w:tcPr>
            <w:tcW w:w="2428" w:type="dxa"/>
            <w:tcBorders>
              <w:top w:val="single" w:sz="2" w:space="0" w:color="CCCCCC"/>
              <w:start w:val="single" w:sz="2" w:space="0" w:color="CCCCCC"/>
              <w:bottom w:val="single" w:sz="2" w:space="0" w:color="CCCCCC"/>
              <w:end w:val="single" w:sz="2" w:space="0" w:color="CCCCCC"/>
            </w:tcBorders>
            <w:shd w:fill="00695C" w:val="clear"/>
          </w:tcPr>
          <w:p>
            <w:pPr>
              <w:pStyle w:val="Normal"/>
              <w:jc w:val="center"/>
              <w:rPr/>
            </w:pPr>
            <w:r>
              <w:rPr>
                <w:rFonts w:eastAsia="Arial" w:cs="Arial"/>
                <w:b/>
                <w:bCs/>
                <w:color w:val="FFFFFF"/>
                <w:sz w:val="18"/>
                <w:szCs w:val="18"/>
              </w:rPr>
              <w:t>Bear Regime</w:t>
            </w:r>
          </w:p>
        </w:tc>
        <w:tc>
          <w:tcPr>
            <w:tcW w:w="2428" w:type="dxa"/>
            <w:tcBorders>
              <w:top w:val="single" w:sz="2" w:space="0" w:color="CCCCCC"/>
              <w:start w:val="single" w:sz="2" w:space="0" w:color="CCCCCC"/>
              <w:bottom w:val="single" w:sz="2" w:space="0" w:color="CCCCCC"/>
              <w:end w:val="single" w:sz="2" w:space="0" w:color="CCCCCC"/>
            </w:tcBorders>
            <w:shd w:fill="00695C" w:val="clear"/>
          </w:tcPr>
          <w:p>
            <w:pPr>
              <w:pStyle w:val="Normal"/>
              <w:jc w:val="center"/>
              <w:rPr/>
            </w:pPr>
            <w:r>
              <w:rPr>
                <w:rFonts w:eastAsia="Arial" w:cs="Arial"/>
                <w:b/>
                <w:bCs/>
                <w:color w:val="FFFFFF"/>
                <w:sz w:val="18"/>
                <w:szCs w:val="18"/>
              </w:rPr>
              <w:t>Neutral/Low-Vol</w:t>
            </w:r>
          </w:p>
        </w:tc>
      </w:tr>
      <w:tr>
        <w:trPr/>
        <w:tc>
          <w:tcPr>
            <w:tcW w:w="207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Trade Direction</w:t>
            </w:r>
          </w:p>
        </w:tc>
        <w:tc>
          <w:tcPr>
            <w:tcW w:w="242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Longs preferred</w:t>
            </w:r>
          </w:p>
        </w:tc>
        <w:tc>
          <w:tcPr>
            <w:tcW w:w="2428"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Shorts preferred</w:t>
            </w:r>
          </w:p>
        </w:tc>
        <w:tc>
          <w:tcPr>
            <w:tcW w:w="2428"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Both symmetric</w:t>
            </w:r>
          </w:p>
        </w:tc>
      </w:tr>
      <w:tr>
        <w:trPr/>
        <w:tc>
          <w:tcPr>
            <w:tcW w:w="207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Position Size</w:t>
            </w:r>
          </w:p>
        </w:tc>
        <w:tc>
          <w:tcPr>
            <w:tcW w:w="242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100% Kelly</w:t>
            </w:r>
          </w:p>
        </w:tc>
        <w:tc>
          <w:tcPr>
            <w:tcW w:w="242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75% Kelly</w:t>
            </w:r>
          </w:p>
        </w:tc>
        <w:tc>
          <w:tcPr>
            <w:tcW w:w="242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50% Kelly</w:t>
            </w:r>
          </w:p>
        </w:tc>
      </w:tr>
      <w:tr>
        <w:trPr/>
        <w:tc>
          <w:tcPr>
            <w:tcW w:w="207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Stop Distance</w:t>
            </w:r>
          </w:p>
        </w:tc>
        <w:tc>
          <w:tcPr>
            <w:tcW w:w="242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1.0× ATR</w:t>
            </w:r>
          </w:p>
        </w:tc>
        <w:tc>
          <w:tcPr>
            <w:tcW w:w="2428"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0.75× ATR (tighter)</w:t>
            </w:r>
          </w:p>
        </w:tc>
        <w:tc>
          <w:tcPr>
            <w:tcW w:w="2428"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1.25× ATR (wider)</w:t>
            </w:r>
          </w:p>
        </w:tc>
      </w:tr>
      <w:tr>
        <w:trPr/>
        <w:tc>
          <w:tcPr>
            <w:tcW w:w="207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Target Distance</w:t>
            </w:r>
          </w:p>
        </w:tc>
        <w:tc>
          <w:tcPr>
            <w:tcW w:w="242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2.0× ATR</w:t>
            </w:r>
          </w:p>
        </w:tc>
        <w:tc>
          <w:tcPr>
            <w:tcW w:w="242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1.5× ATR</w:t>
            </w:r>
          </w:p>
        </w:tc>
        <w:tc>
          <w:tcPr>
            <w:tcW w:w="242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1.0× ATR</w:t>
            </w:r>
          </w:p>
        </w:tc>
      </w:tr>
      <w:tr>
        <w:trPr/>
        <w:tc>
          <w:tcPr>
            <w:tcW w:w="207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Max Trades/Session</w:t>
            </w:r>
          </w:p>
        </w:tc>
        <w:tc>
          <w:tcPr>
            <w:tcW w:w="242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2</w:t>
            </w:r>
          </w:p>
        </w:tc>
        <w:tc>
          <w:tcPr>
            <w:tcW w:w="2428"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1</w:t>
            </w:r>
          </w:p>
        </w:tc>
        <w:tc>
          <w:tcPr>
            <w:tcW w:w="2428"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1</w:t>
            </w:r>
          </w:p>
        </w:tc>
      </w:tr>
    </w:tbl>
    <w:p>
      <w:pPr>
        <w:pStyle w:val="Normal"/>
        <w:rPr/>
      </w:pPr>
      <w:r>
        <w:rPr/>
      </w:r>
    </w:p>
    <w:p>
      <w:pPr>
        <w:pStyle w:val="Heading2"/>
        <w:rPr/>
      </w:pPr>
      <w:r>
        <w:rPr>
          <w:rFonts w:eastAsia="Arial" w:cs="Arial" w:ascii="Arial" w:hAnsi="Arial"/>
          <w:b/>
          <w:bCs/>
          <w:color w:val="2E75B6"/>
          <w:sz w:val="28"/>
          <w:szCs w:val="28"/>
        </w:rPr>
        <w:t>1.3  Alpha Signal Design (Finding Alphas — WorldQuant)</w:t>
      </w:r>
    </w:p>
    <w:p>
      <w:pPr>
        <w:pStyle w:val="ListParagraph"/>
        <w:numPr>
          <w:ilvl w:val="0"/>
          <w:numId w:val="1"/>
        </w:numPr>
        <w:spacing w:before="0" w:after="80"/>
        <w:ind w:hanging="260" w:start="540"/>
        <w:rPr/>
      </w:pPr>
      <w:r>
        <w:rPr>
          <w:rFonts w:eastAsia="Arial" w:cs="Arial"/>
          <w:sz w:val="20"/>
          <w:szCs w:val="20"/>
        </w:rPr>
        <w:t>Signal decay testing: plot P(win) vs. bars held to identify optimal exit horizon — directly informs FixedTPTicks calibration</w:t>
      </w:r>
    </w:p>
    <w:p>
      <w:pPr>
        <w:pStyle w:val="ListParagraph"/>
        <w:numPr>
          <w:ilvl w:val="0"/>
          <w:numId w:val="1"/>
        </w:numPr>
        <w:spacing w:before="0" w:after="80"/>
        <w:ind w:hanging="260" w:start="540"/>
        <w:rPr/>
      </w:pPr>
      <w:r>
        <w:rPr>
          <w:rFonts w:eastAsia="Arial" w:cs="Arial"/>
          <w:sz w:val="20"/>
          <w:szCs w:val="20"/>
        </w:rPr>
        <w:t>Target Information Ratio &gt; 1.0 for a production signal</w:t>
      </w:r>
    </w:p>
    <w:p>
      <w:pPr>
        <w:pStyle w:val="ListParagraph"/>
        <w:numPr>
          <w:ilvl w:val="0"/>
          <w:numId w:val="1"/>
        </w:numPr>
        <w:spacing w:before="0" w:after="80"/>
        <w:ind w:hanging="260" w:start="540"/>
        <w:rPr/>
      </w:pPr>
      <w:r>
        <w:rPr>
          <w:rFonts w:eastAsia="Arial" w:cs="Arial"/>
          <w:sz w:val="20"/>
          <w:szCs w:val="20"/>
        </w:rPr>
        <w:t>Always evaluate net of transaction costs — gross Sharpe ≥ 2× net Sharpe is a red flag</w:t>
      </w:r>
    </w:p>
    <w:p>
      <w:pPr>
        <w:pStyle w:val="ListParagraph"/>
        <w:numPr>
          <w:ilvl w:val="0"/>
          <w:numId w:val="1"/>
        </w:numPr>
        <w:spacing w:before="0" w:after="80"/>
        <w:ind w:hanging="260" w:start="540"/>
        <w:rPr/>
      </w:pPr>
      <w:r>
        <w:rPr>
          <w:rFonts w:eastAsia="Arial" w:cs="Arial"/>
          <w:sz w:val="20"/>
          <w:szCs w:val="20"/>
        </w:rPr>
        <w:t>Two-bar DiffHistogram confirmation is an implementation of signal smoothing/decay — validated</w:t>
      </w:r>
    </w:p>
    <w:p>
      <w:pPr>
        <w:pStyle w:val="Normal"/>
        <w:rPr/>
      </w:pPr>
      <w:r>
        <w:rPr/>
      </w:r>
    </w:p>
    <w:p>
      <w:pPr>
        <w:pStyle w:val="Heading2"/>
        <w:rPr/>
      </w:pPr>
      <w:r>
        <w:rPr>
          <w:rFonts w:eastAsia="Arial" w:cs="Arial" w:ascii="Arial" w:hAnsi="Arial"/>
          <w:b/>
          <w:bCs/>
          <w:color w:val="2E75B6"/>
          <w:sz w:val="28"/>
          <w:szCs w:val="28"/>
        </w:rPr>
        <w:t>1.4  Stop &amp; Target Placement (PAT + AFML)</w:t>
      </w:r>
    </w:p>
    <w:p>
      <w:pPr>
        <w:pStyle w:val="Normal"/>
        <w:spacing w:before="0" w:after="120"/>
        <w:rPr/>
      </w:pPr>
      <w:r>
        <w:rPr>
          <w:rFonts w:eastAsia="Arial" w:cs="Arial"/>
          <w:sz w:val="20"/>
          <w:szCs w:val="20"/>
        </w:rPr>
        <w:t>Ornstein-Uhlenbeck framework proves that for mean-reverting processes, an optimal (stop-loss, profit-target) pair maximizes expected return per unit time. In trending markets: wider targets, tighter stops. In mean-reverting markets: symmetric R:R ratios. ATR is the practical proxy for process volatility σ.</w:t>
      </w:r>
    </w:p>
    <w:p>
      <w:pPr>
        <w:pStyle w:val="ListParagraph"/>
        <w:numPr>
          <w:ilvl w:val="0"/>
          <w:numId w:val="1"/>
        </w:numPr>
        <w:spacing w:before="0" w:after="80"/>
        <w:ind w:hanging="260" w:start="540"/>
        <w:rPr/>
      </w:pPr>
      <w:r>
        <w:rPr>
          <w:rFonts w:eastAsia="Arial" w:cs="Arial"/>
          <w:sz w:val="20"/>
          <w:szCs w:val="20"/>
        </w:rPr>
        <w:t>SL = 1.0–1.5× ATR(14), TP = 2.0–3.0× ATR(14) for trending strategies</w:t>
      </w:r>
    </w:p>
    <w:p>
      <w:pPr>
        <w:pStyle w:val="ListParagraph"/>
        <w:numPr>
          <w:ilvl w:val="0"/>
          <w:numId w:val="1"/>
        </w:numPr>
        <w:spacing w:before="0" w:after="80"/>
        <w:ind w:hanging="260" w:start="540"/>
        <w:rPr/>
      </w:pPr>
      <w:r>
        <w:rPr>
          <w:rFonts w:eastAsia="Arial" w:cs="Arial"/>
          <w:sz w:val="20"/>
          <w:szCs w:val="20"/>
        </w:rPr>
        <w:t>Scale-out at 50% of target + move stop to breakeven — validated by PAT and AFML</w:t>
      </w:r>
    </w:p>
    <w:p>
      <w:pPr>
        <w:pStyle w:val="ListParagraph"/>
        <w:numPr>
          <w:ilvl w:val="0"/>
          <w:numId w:val="1"/>
        </w:numPr>
        <w:spacing w:before="0" w:after="80"/>
        <w:ind w:hanging="260" w:start="540"/>
        <w:rPr/>
      </w:pPr>
      <w:r>
        <w:rPr>
          <w:rFonts w:eastAsia="Arial" w:cs="Arial"/>
          <w:sz w:val="20"/>
          <w:szCs w:val="20"/>
        </w:rPr>
        <w:t>Ranger's 2-level scale-out (ScaleOut1Pct / ScaleOut2Pct) is correctly implemented</w:t>
      </w:r>
    </w:p>
    <w:p>
      <w:pPr>
        <w:pStyle w:val="Normal"/>
        <w:rPr/>
      </w:pPr>
      <w:r>
        <w:rPr/>
      </w:r>
    </w:p>
    <w:p>
      <w:pPr>
        <w:pStyle w:val="Heading2"/>
        <w:rPr/>
      </w:pPr>
      <w:r>
        <w:rPr>
          <w:rFonts w:eastAsia="Arial" w:cs="Arial" w:ascii="Arial" w:hAnsi="Arial"/>
          <w:b/>
          <w:bCs/>
          <w:color w:val="2E75B6"/>
          <w:sz w:val="28"/>
          <w:szCs w:val="28"/>
        </w:rPr>
        <w:t>1.5  Position Sizing — Carver Volatility Targeting (ST)</w:t>
      </w:r>
    </w:p>
    <w:p>
      <w:pPr>
        <w:pStyle w:val="Normal"/>
        <w:spacing w:before="0" w:after="120"/>
        <w:rPr/>
      </w:pPr>
      <w:r>
        <w:rPr>
          <w:rFonts w:eastAsia="Arial" w:cs="Arial"/>
          <w:sz w:val="20"/>
          <w:szCs w:val="20"/>
        </w:rPr>
        <w:t>The most actionable formula from the 22 books. Industry standard for futures sizing:</w:t>
      </w:r>
    </w:p>
    <w:tbl>
      <w:tblPr>
        <w:tblW w:w="9360" w:type="dxa"/>
        <w:jc w:val="start"/>
        <w:tblInd w:w="0" w:type="dxa"/>
        <w:tblLayout w:type="fixed"/>
        <w:tblCellMar>
          <w:top w:w="80" w:type="dxa"/>
          <w:start w:w="80" w:type="dxa"/>
          <w:bottom w:w="80" w:type="dxa"/>
          <w:end w:w="80" w:type="dxa"/>
        </w:tblCellMar>
      </w:tblPr>
      <w:tblGrid>
        <w:gridCol w:w="480"/>
        <w:gridCol w:w="8880"/>
      </w:tblGrid>
      <w:tr>
        <w:trPr/>
        <w:tc>
          <w:tcPr>
            <w:tcW w:w="480" w:type="dxa"/>
            <w:tcBorders>
              <w:top w:val="single" w:sz="2" w:space="0" w:color="CCCCCC"/>
              <w:start w:val="single" w:sz="2" w:space="0" w:color="CCCCCC"/>
              <w:bottom w:val="single" w:sz="2" w:space="0" w:color="CCCCCC"/>
              <w:end w:val="single" w:sz="2" w:space="0" w:color="CCCCCC"/>
            </w:tcBorders>
            <w:shd w:fill="1B5E20" w:val="clear"/>
          </w:tcPr>
          <w:p>
            <w:pPr>
              <w:pStyle w:val="Normal"/>
              <w:jc w:val="center"/>
              <w:rPr/>
            </w:pPr>
            <w:r>
              <w:rPr>
                <w:rFonts w:eastAsia="Arial" w:cs="Arial"/>
                <w:b/>
                <w:bCs/>
                <w:color w:val="FFFFFF"/>
                <w:sz w:val="18"/>
                <w:szCs w:val="18"/>
              </w:rPr>
              <w:t>FORMULA</w:t>
            </w:r>
          </w:p>
        </w:tc>
        <w:tc>
          <w:tcPr>
            <w:tcW w:w="8880" w:type="dxa"/>
            <w:tcBorders>
              <w:top w:val="single" w:sz="2" w:space="0" w:color="2E75B6"/>
              <w:start w:val="single" w:sz="4" w:space="0" w:color="2E75B6"/>
              <w:bottom w:val="single" w:sz="2" w:space="0" w:color="2E75B6"/>
              <w:end w:val="single" w:sz="2" w:space="0" w:color="2E75B6"/>
            </w:tcBorders>
            <w:shd w:fill="EEF4FB" w:val="clear"/>
            <w:tcMar>
              <w:start w:w="120" w:type="dxa"/>
              <w:end w:w="120" w:type="dxa"/>
            </w:tcMar>
          </w:tcPr>
          <w:p>
            <w:pPr>
              <w:pStyle w:val="Normal"/>
              <w:rPr/>
            </w:pPr>
            <w:r>
              <w:rPr>
                <w:rFonts w:eastAsia="Arial" w:cs="Arial"/>
                <w:i/>
                <w:iCs/>
                <w:sz w:val="19"/>
                <w:szCs w:val="19"/>
              </w:rPr>
              <w:t>AnnualCashVolTarget = TradingCapital × 0.15  |  DailyCashVolTarget = Annual / 16  |  InstrumentVolDollars = ATR(25) × TickSize × ContractMultiplier  |  BaseContracts = DailyCashVolTarget / InstrumentVolDollars</w:t>
            </w:r>
          </w:p>
        </w:tc>
      </w:tr>
    </w:tbl>
    <w:p>
      <w:pPr>
        <w:pStyle w:val="Normal"/>
        <w:spacing w:before="0" w:after="120"/>
        <w:rPr/>
      </w:pPr>
      <w:r>
        <w:rPr>
          <w:rFonts w:eastAsia="Arial" w:cs="Arial"/>
          <w:sz w:val="20"/>
          <w:szCs w:val="20"/>
        </w:rPr>
        <w:t>For MNQ: TickSize = 0.25, ContractMultiplier = $2/point ($0.50/tick). With $50K capital: DailyCashVolTarget = $469/day. If ATR(25) = 40 ticks = $20, BaseContracts = 469/20 ≈ 23 micro contracts (cap at MaxContracts).</w:t>
      </w:r>
    </w:p>
    <w:p>
      <w:pPr>
        <w:pStyle w:val="Normal"/>
        <w:spacing w:before="0" w:after="120"/>
        <w:rPr/>
      </w:pPr>
      <w:r>
        <w:rPr>
          <w:rFonts w:eastAsia="Arial" w:cs="Arial"/>
          <w:sz w:val="20"/>
          <w:szCs w:val="20"/>
        </w:rPr>
        <w:t>Rolling capital ratchet: after profitable session, TradingCapital += P&amp;L × 0.5 (50% gains compound). After losing session, TradingCapital -= loss × 1.0 (full mark-down immediately). Recalculate every 10 trades, not daily.</w:t>
      </w:r>
    </w:p>
    <w:p>
      <w:pPr>
        <w:pStyle w:val="Normal"/>
        <w:rPr/>
      </w:pPr>
      <w:r>
        <w:rPr/>
      </w:r>
    </w:p>
    <w:p>
      <w:pPr>
        <w:pStyle w:val="Heading2"/>
        <w:rPr/>
      </w:pPr>
      <w:r>
        <w:rPr>
          <w:rFonts w:eastAsia="Arial" w:cs="Arial" w:ascii="Arial" w:hAnsi="Arial"/>
          <w:b/>
          <w:bCs/>
          <w:color w:val="2E75B6"/>
          <w:sz w:val="28"/>
          <w:szCs w:val="28"/>
        </w:rPr>
        <w:t>1.6  Walk-Forward Validation (SSML — Masters &amp; Aronson)</w:t>
      </w:r>
    </w:p>
    <w:p>
      <w:pPr>
        <w:pStyle w:val="ListParagraph"/>
        <w:numPr>
          <w:ilvl w:val="0"/>
          <w:numId w:val="1"/>
        </w:numPr>
        <w:spacing w:before="0" w:after="80"/>
        <w:ind w:hanging="260" w:start="540"/>
        <w:rPr/>
      </w:pPr>
      <w:r>
        <w:rPr>
          <w:rFonts w:eastAsia="Arial" w:cs="Arial"/>
          <w:sz w:val="20"/>
          <w:szCs w:val="20"/>
        </w:rPr>
        <w:t>IS/OOS ratio 5:1 is the standard for intraday ML models with 50–200 trades/year</w:t>
      </w:r>
    </w:p>
    <w:p>
      <w:pPr>
        <w:pStyle w:val="ListParagraph"/>
        <w:numPr>
          <w:ilvl w:val="0"/>
          <w:numId w:val="1"/>
        </w:numPr>
        <w:spacing w:before="0" w:after="80"/>
        <w:ind w:hanging="260" w:start="540"/>
        <w:rPr/>
      </w:pPr>
      <w:r>
        <w:rPr>
          <w:rFonts w:eastAsia="Arial" w:cs="Arial"/>
          <w:sz w:val="20"/>
          <w:szCs w:val="20"/>
        </w:rPr>
        <w:t>Monte Carlo permutation test: shuffle trade outcomes 1,000 times; accept model only if p-value &lt; 0.05</w:t>
      </w:r>
    </w:p>
    <w:p>
      <w:pPr>
        <w:pStyle w:val="ListParagraph"/>
        <w:numPr>
          <w:ilvl w:val="0"/>
          <w:numId w:val="1"/>
        </w:numPr>
        <w:spacing w:before="0" w:after="80"/>
        <w:ind w:hanging="260" w:start="540"/>
        <w:rPr/>
      </w:pPr>
      <w:r>
        <w:rPr>
          <w:rFonts w:eastAsia="Arial" w:cs="Arial"/>
          <w:sz w:val="20"/>
          <w:szCs w:val="20"/>
        </w:rPr>
        <w:t>Tapered block bootstrap for serially correlated returns (common in trending systems)</w:t>
      </w:r>
    </w:p>
    <w:p>
      <w:pPr>
        <w:pStyle w:val="ListParagraph"/>
        <w:numPr>
          <w:ilvl w:val="0"/>
          <w:numId w:val="1"/>
        </w:numPr>
        <w:spacing w:before="0" w:after="80"/>
        <w:ind w:hanging="260" w:start="540"/>
        <w:rPr/>
      </w:pPr>
      <w:r>
        <w:rPr>
          <w:rFonts w:eastAsia="Arial" w:cs="Arial"/>
          <w:sz w:val="20"/>
          <w:szCs w:val="20"/>
        </w:rPr>
        <w:t>Stepwise feature selection: 3–5 features typically optimal; more features overfit</w:t>
      </w:r>
    </w:p>
    <w:p>
      <w:pPr>
        <w:pStyle w:val="ListParagraph"/>
        <w:numPr>
          <w:ilvl w:val="0"/>
          <w:numId w:val="1"/>
        </w:numPr>
        <w:spacing w:before="0" w:after="80"/>
        <w:ind w:hanging="260" w:start="540"/>
        <w:rPr/>
      </w:pPr>
      <w:r>
        <w:rPr>
          <w:rFonts w:eastAsia="Arial" w:cs="Arial"/>
          <w:sz w:val="20"/>
          <w:szCs w:val="20"/>
        </w:rPr>
        <w:t>Signal boosting (ML as entry filter) improves marginally profitable strategy Sharpe by 0.3–0.8 in OOS testing</w:t>
      </w:r>
    </w:p>
    <w:p>
      <w:pPr>
        <w:pStyle w:val="Normal"/>
        <w:rPr/>
      </w:pPr>
      <w:r>
        <w:rPr/>
      </w:r>
    </w:p>
    <w:p>
      <w:pPr>
        <w:pStyle w:val="Heading2"/>
        <w:rPr/>
      </w:pPr>
      <w:r>
        <w:rPr>
          <w:rFonts w:eastAsia="Arial" w:cs="Arial" w:ascii="Arial" w:hAnsi="Arial"/>
          <w:b/>
          <w:bCs/>
          <w:color w:val="2E75B6"/>
          <w:sz w:val="28"/>
          <w:szCs w:val="28"/>
        </w:rPr>
        <w:t>1.7  MNQ-Specific Findings (TSM, ATS, AHF, Narang)</w:t>
      </w:r>
    </w:p>
    <w:p>
      <w:pPr>
        <w:pStyle w:val="Heading3"/>
        <w:rPr/>
      </w:pPr>
      <w:r>
        <w:rPr>
          <w:rFonts w:eastAsia="Arial" w:cs="Arial" w:ascii="Arial" w:hAnsi="Arial"/>
          <w:b/>
          <w:bCs/>
          <w:color w:val="00695C"/>
          <w:sz w:val="24"/>
          <w:szCs w:val="24"/>
        </w:rPr>
        <w:t>U-Shaped Volume Pattern (TSM Ch.12)</w:t>
      </w:r>
    </w:p>
    <w:p>
      <w:pPr>
        <w:pStyle w:val="Normal"/>
        <w:spacing w:before="0" w:after="120"/>
        <w:rPr/>
      </w:pPr>
      <w:r>
        <w:rPr>
          <w:rFonts w:eastAsia="Arial" w:cs="Arial"/>
          <w:sz w:val="20"/>
          <w:szCs w:val="20"/>
        </w:rPr>
        <w:t>Equity index futures volume peaks in first 60 minutes of RTH, troughs 11:30–13:30 ET, recovers into close. Signal reliability is highest at high-volume windows. Midday entries are predominantly noise.</w:t>
      </w:r>
    </w:p>
    <w:p>
      <w:pPr>
        <w:pStyle w:val="Heading3"/>
        <w:rPr/>
      </w:pPr>
      <w:r>
        <w:rPr>
          <w:rFonts w:eastAsia="Arial" w:cs="Arial" w:ascii="Arial" w:hAnsi="Arial"/>
          <w:b/>
          <w:bCs/>
          <w:color w:val="00695C"/>
          <w:sz w:val="24"/>
          <w:szCs w:val="24"/>
        </w:rPr>
        <w:t>Opening Range and Gap Behavior (TSM Ch.15–16)</w:t>
      </w:r>
    </w:p>
    <w:p>
      <w:pPr>
        <w:pStyle w:val="ListParagraph"/>
        <w:numPr>
          <w:ilvl w:val="0"/>
          <w:numId w:val="1"/>
        </w:numPr>
        <w:spacing w:before="0" w:after="80"/>
        <w:ind w:hanging="260" w:start="540"/>
        <w:rPr/>
      </w:pPr>
      <w:r>
        <w:rPr>
          <w:rFonts w:eastAsia="Arial" w:cs="Arial"/>
          <w:sz w:val="20"/>
          <w:szCs w:val="20"/>
        </w:rPr>
        <w:t>ORB high/low of first 15–30 minutes establishes key reference levels</w:t>
      </w:r>
    </w:p>
    <w:p>
      <w:pPr>
        <w:pStyle w:val="ListParagraph"/>
        <w:numPr>
          <w:ilvl w:val="0"/>
          <w:numId w:val="1"/>
        </w:numPr>
        <w:spacing w:before="0" w:after="80"/>
        <w:ind w:hanging="260" w:start="540"/>
        <w:rPr/>
      </w:pPr>
      <w:r>
        <w:rPr>
          <w:rFonts w:eastAsia="Arial" w:cs="Arial"/>
          <w:sz w:val="20"/>
          <w:szCs w:val="20"/>
        </w:rPr>
        <w:t>Gap &gt; 0.5%: counter-gap entries in first 30 minutes should be suppressed — fill rate only ~35%</w:t>
      </w:r>
    </w:p>
    <w:p>
      <w:pPr>
        <w:pStyle w:val="ListParagraph"/>
        <w:numPr>
          <w:ilvl w:val="0"/>
          <w:numId w:val="1"/>
        </w:numPr>
        <w:spacing w:before="0" w:after="80"/>
        <w:ind w:hanging="260" w:start="540"/>
        <w:rPr/>
      </w:pPr>
      <w:r>
        <w:rPr>
          <w:rFonts w:eastAsia="Arial" w:cs="Arial"/>
          <w:sz w:val="20"/>
          <w:szCs w:val="20"/>
        </w:rPr>
        <w:t>Daily high or low is set at the open or close in 2.5:1 ratio — validates Pre-NY window anchor</w:t>
      </w:r>
    </w:p>
    <w:p>
      <w:pPr>
        <w:pStyle w:val="Heading3"/>
        <w:rPr/>
      </w:pPr>
      <w:r>
        <w:rPr>
          <w:rFonts w:eastAsia="Arial" w:cs="Arial" w:ascii="Arial" w:hAnsi="Arial"/>
          <w:b/>
          <w:bCs/>
          <w:color w:val="00695C"/>
          <w:sz w:val="24"/>
          <w:szCs w:val="24"/>
        </w:rPr>
        <w:t>Order Imbalance as Entry Filter (AHF Ch.12)</w:t>
      </w:r>
    </w:p>
    <w:p>
      <w:pPr>
        <w:pStyle w:val="Normal"/>
        <w:spacing w:before="0" w:after="120"/>
        <w:rPr/>
      </w:pPr>
      <w:r>
        <w:rPr>
          <w:rFonts w:eastAsia="Arial" w:cs="Arial"/>
          <w:sz w:val="20"/>
          <w:szCs w:val="20"/>
        </w:rPr>
        <w:t>OIB = (BidQty − AskQty) / (BidQty + AskQty). Values &gt; +0.3 signal buy pressure; &lt; −0.3 signal sell pressure. 3-bar persistent OIB achieves 60–65% short-term accuracy. Confirmed by both AHF and QT.</w:t>
      </w:r>
    </w:p>
    <w:p>
      <w:pPr>
        <w:pStyle w:val="Heading3"/>
        <w:rPr/>
      </w:pPr>
      <w:r>
        <w:rPr>
          <w:rFonts w:eastAsia="Arial" w:cs="Arial" w:ascii="Arial" w:hAnsi="Arial"/>
          <w:b/>
          <w:bCs/>
          <w:color w:val="00695C"/>
          <w:sz w:val="24"/>
          <w:szCs w:val="24"/>
        </w:rPr>
        <w:t>Adverse Selection — Swing Stop Buffer (AHF Ch.10)</w:t>
      </w:r>
    </w:p>
    <w:p>
      <w:pPr>
        <w:pStyle w:val="Normal"/>
        <w:spacing w:before="0" w:after="120"/>
        <w:rPr/>
      </w:pPr>
      <w:r>
        <w:rPr>
          <w:rFonts w:eastAsia="Arial" w:cs="Arial"/>
          <w:sz w:val="20"/>
          <w:szCs w:val="20"/>
        </w:rPr>
        <w:t>Stops placed exactly at swing highs/lows are swept by institutional flow. Place stops 3–7 ticks BEYOND obvious levels. Ranger's SwingStopBufferTicks = 10 is correct.</w:t>
      </w:r>
    </w:p>
    <w:p>
      <w:pPr>
        <w:pStyle w:val="Heading3"/>
        <w:rPr/>
      </w:pPr>
      <w:r>
        <w:rPr>
          <w:rFonts w:eastAsia="Arial" w:cs="Arial" w:ascii="Arial" w:hAnsi="Arial"/>
          <w:b/>
          <w:bCs/>
          <w:color w:val="00695C"/>
          <w:sz w:val="24"/>
          <w:szCs w:val="24"/>
        </w:rPr>
        <w:t>Risk of Ruin Mathematics (TSM Ch.23)</w:t>
      </w:r>
    </w:p>
    <w:tbl>
      <w:tblPr>
        <w:tblW w:w="9360" w:type="dxa"/>
        <w:jc w:val="start"/>
        <w:tblInd w:w="0" w:type="dxa"/>
        <w:tblLayout w:type="fixed"/>
        <w:tblCellMar>
          <w:top w:w="80" w:type="dxa"/>
          <w:start w:w="80" w:type="dxa"/>
          <w:bottom w:w="80" w:type="dxa"/>
          <w:end w:w="80" w:type="dxa"/>
        </w:tblCellMar>
      </w:tblPr>
      <w:tblGrid>
        <w:gridCol w:w="480"/>
        <w:gridCol w:w="8880"/>
      </w:tblGrid>
      <w:tr>
        <w:trPr/>
        <w:tc>
          <w:tcPr>
            <w:tcW w:w="480" w:type="dxa"/>
            <w:tcBorders>
              <w:top w:val="single" w:sz="2" w:space="0" w:color="CCCCCC"/>
              <w:start w:val="single" w:sz="2" w:space="0" w:color="CCCCCC"/>
              <w:bottom w:val="single" w:sz="2" w:space="0" w:color="CCCCCC"/>
              <w:end w:val="single" w:sz="2" w:space="0" w:color="CCCCCC"/>
            </w:tcBorders>
            <w:shd w:fill="B71C1C" w:val="clear"/>
          </w:tcPr>
          <w:p>
            <w:pPr>
              <w:pStyle w:val="Normal"/>
              <w:jc w:val="center"/>
              <w:rPr/>
            </w:pPr>
            <w:r>
              <w:rPr>
                <w:rFonts w:eastAsia="Arial" w:cs="Arial"/>
                <w:b/>
                <w:bCs/>
                <w:color w:val="FFFFFF"/>
                <w:sz w:val="18"/>
                <w:szCs w:val="18"/>
              </w:rPr>
              <w:t>FORMULA</w:t>
            </w:r>
          </w:p>
        </w:tc>
        <w:tc>
          <w:tcPr>
            <w:tcW w:w="8880" w:type="dxa"/>
            <w:tcBorders>
              <w:top w:val="single" w:sz="2" w:space="0" w:color="2E75B6"/>
              <w:start w:val="single" w:sz="4" w:space="0" w:color="2E75B6"/>
              <w:bottom w:val="single" w:sz="2" w:space="0" w:color="2E75B6"/>
              <w:end w:val="single" w:sz="2" w:space="0" w:color="2E75B6"/>
            </w:tcBorders>
            <w:shd w:fill="EEF4FB" w:val="clear"/>
            <w:tcMar>
              <w:start w:w="120" w:type="dxa"/>
              <w:end w:w="120" w:type="dxa"/>
            </w:tcMar>
          </w:tcPr>
          <w:p>
            <w:pPr>
              <w:pStyle w:val="Normal"/>
              <w:rPr/>
            </w:pPr>
            <w:r>
              <w:rPr>
                <w:rFonts w:eastAsia="Arial" w:cs="Arial"/>
                <w:i/>
                <w:iCs/>
                <w:sz w:val="19"/>
                <w:szCs w:val="19"/>
              </w:rPr>
              <w:t>P(ruin) = ((1−A)/(1+A))^(Capital/AvgLoss)  where A = WinRate − LossRate × (AvgLoss/AvgWin)</w:t>
            </w:r>
          </w:p>
        </w:tc>
      </w:tr>
    </w:tbl>
    <w:p>
      <w:pPr>
        <w:pStyle w:val="Normal"/>
        <w:spacing w:before="0" w:after="120"/>
        <w:rPr/>
      </w:pPr>
      <w:r>
        <w:rPr>
          <w:rFonts w:eastAsia="Arial" w:cs="Arial"/>
          <w:sz w:val="20"/>
          <w:szCs w:val="20"/>
        </w:rPr>
        <w:t>At 40% WR, AvgWin=400t, AvgLoss=150t, $25K capital: A=0.175, P(ruin) ≈ 0. Minimum safe capital = 50 × AvgLoss. At MaxConsecutiveLosses=5: statistically normal event in any 100-trade sequence (7.8% probability). Do not set this gate too tight.</w:t>
      </w:r>
    </w:p>
    <w:p>
      <w:pPr>
        <w:pStyle w:val="Heading3"/>
        <w:rPr/>
      </w:pPr>
      <w:r>
        <w:rPr>
          <w:rFonts w:eastAsia="Arial" w:cs="Arial" w:ascii="Arial" w:hAnsi="Arial"/>
          <w:b/>
          <w:bCs/>
          <w:color w:val="00695C"/>
          <w:sz w:val="24"/>
          <w:szCs w:val="24"/>
        </w:rPr>
        <w:t>Efficiency Ratio — Kaufman's Chop Filter (TSM Ch.1, 17)</w:t>
      </w:r>
    </w:p>
    <w:tbl>
      <w:tblPr>
        <w:tblW w:w="9360" w:type="dxa"/>
        <w:jc w:val="start"/>
        <w:tblInd w:w="0" w:type="dxa"/>
        <w:tblLayout w:type="fixed"/>
        <w:tblCellMar>
          <w:top w:w="80" w:type="dxa"/>
          <w:start w:w="80" w:type="dxa"/>
          <w:bottom w:w="80" w:type="dxa"/>
          <w:end w:w="80" w:type="dxa"/>
        </w:tblCellMar>
      </w:tblPr>
      <w:tblGrid>
        <w:gridCol w:w="480"/>
        <w:gridCol w:w="8880"/>
      </w:tblGrid>
      <w:tr>
        <w:trPr/>
        <w:tc>
          <w:tcPr>
            <w:tcW w:w="480" w:type="dxa"/>
            <w:tcBorders>
              <w:top w:val="single" w:sz="2" w:space="0" w:color="CCCCCC"/>
              <w:start w:val="single" w:sz="2" w:space="0" w:color="CCCCCC"/>
              <w:bottom w:val="single" w:sz="2" w:space="0" w:color="CCCCCC"/>
              <w:end w:val="single" w:sz="2" w:space="0" w:color="CCCCCC"/>
            </w:tcBorders>
            <w:shd w:fill="00695C" w:val="clear"/>
          </w:tcPr>
          <w:p>
            <w:pPr>
              <w:pStyle w:val="Normal"/>
              <w:jc w:val="center"/>
              <w:rPr/>
            </w:pPr>
            <w:r>
              <w:rPr>
                <w:rFonts w:eastAsia="Arial" w:cs="Arial"/>
                <w:b/>
                <w:bCs/>
                <w:color w:val="FFFFFF"/>
                <w:sz w:val="18"/>
                <w:szCs w:val="18"/>
              </w:rPr>
              <w:t>FORMULA</w:t>
            </w:r>
          </w:p>
        </w:tc>
        <w:tc>
          <w:tcPr>
            <w:tcW w:w="8880" w:type="dxa"/>
            <w:tcBorders>
              <w:top w:val="single" w:sz="2" w:space="0" w:color="2E75B6"/>
              <w:start w:val="single" w:sz="4" w:space="0" w:color="2E75B6"/>
              <w:bottom w:val="single" w:sz="2" w:space="0" w:color="2E75B6"/>
              <w:end w:val="single" w:sz="2" w:space="0" w:color="2E75B6"/>
            </w:tcBorders>
            <w:shd w:fill="EEF4FB" w:val="clear"/>
            <w:tcMar>
              <w:start w:w="120" w:type="dxa"/>
              <w:end w:w="120" w:type="dxa"/>
            </w:tcMar>
          </w:tcPr>
          <w:p>
            <w:pPr>
              <w:pStyle w:val="Normal"/>
              <w:rPr/>
            </w:pPr>
            <w:r>
              <w:rPr>
                <w:rFonts w:eastAsia="Arial" w:cs="Arial"/>
                <w:i/>
                <w:iCs/>
                <w:sz w:val="19"/>
                <w:szCs w:val="19"/>
              </w:rPr>
              <w:t>ER = |Close[N] − Close[0]| / Sum(|Close[i] − Close[i−1]|, i=1..N)  |  Range: 0.0 (pure chop) to 1.0 (perfect trend)</w:t>
            </w:r>
          </w:p>
        </w:tc>
      </w:tr>
    </w:tbl>
    <w:p>
      <w:pPr>
        <w:pStyle w:val="Normal"/>
        <w:spacing w:before="0" w:after="120"/>
        <w:rPr/>
      </w:pPr>
      <w:r>
        <w:rPr>
          <w:rFonts w:eastAsia="Arial" w:cs="Arial"/>
          <w:sz w:val="20"/>
          <w:szCs w:val="20"/>
        </w:rPr>
        <w:t>ER &lt; 0.12 = chop, suppress all entries. ER &gt; 0.4 = trending, tighten trail stop. Scale ATRTrailMultiplier by ER for adaptive trail. Already logged in trade logger as ERAtEntry — not yet used as a standalone entry gate.</w:t>
      </w:r>
    </w:p>
    <w:p>
      <w:pPr>
        <w:pStyle w:val="Normal"/>
        <w:rPr/>
      </w:pPr>
      <w:r>
        <w:rPr/>
      </w:r>
    </w:p>
    <w:p>
      <w:pPr>
        <w:pStyle w:val="Heading2"/>
        <w:rPr/>
      </w:pPr>
      <w:r>
        <w:rPr>
          <w:rFonts w:eastAsia="Arial" w:cs="Arial" w:ascii="Arial" w:hAnsi="Arial"/>
          <w:b/>
          <w:bCs/>
          <w:color w:val="2E75B6"/>
          <w:sz w:val="28"/>
          <w:szCs w:val="28"/>
        </w:rPr>
        <w:t>1.8  Alpha Model Taxonomy (Narang IBBa)</w:t>
      </w:r>
    </w:p>
    <w:tbl>
      <w:tblPr>
        <w:tblW w:w="9360" w:type="dxa"/>
        <w:jc w:val="start"/>
        <w:tblInd w:w="0" w:type="dxa"/>
        <w:tblLayout w:type="fixed"/>
        <w:tblCellMar>
          <w:top w:w="80" w:type="dxa"/>
          <w:start w:w="120" w:type="dxa"/>
          <w:bottom w:w="80" w:type="dxa"/>
          <w:end w:w="120" w:type="dxa"/>
        </w:tblCellMar>
      </w:tblPr>
      <w:tblGrid>
        <w:gridCol w:w="2350"/>
        <w:gridCol w:w="4659"/>
        <w:gridCol w:w="2351"/>
      </w:tblGrid>
      <w:tr>
        <w:trPr>
          <w:tblHeader w:val="true"/>
        </w:trPr>
        <w:tc>
          <w:tcPr>
            <w:tcW w:w="2350" w:type="dxa"/>
            <w:tcBorders>
              <w:top w:val="single" w:sz="2" w:space="0" w:color="CCCCCC"/>
              <w:start w:val="single" w:sz="2" w:space="0" w:color="CCCCCC"/>
              <w:bottom w:val="single" w:sz="2" w:space="0" w:color="CCCCCC"/>
              <w:end w:val="single" w:sz="2" w:space="0" w:color="CCCCCC"/>
            </w:tcBorders>
            <w:shd w:fill="4527A0" w:val="clear"/>
          </w:tcPr>
          <w:p>
            <w:pPr>
              <w:pStyle w:val="Normal"/>
              <w:jc w:val="center"/>
              <w:rPr/>
            </w:pPr>
            <w:r>
              <w:rPr>
                <w:rFonts w:eastAsia="Arial" w:cs="Arial"/>
                <w:b/>
                <w:bCs/>
                <w:color w:val="FFFFFF"/>
                <w:sz w:val="18"/>
                <w:szCs w:val="18"/>
              </w:rPr>
              <w:t>Alpha Type</w:t>
            </w:r>
          </w:p>
        </w:tc>
        <w:tc>
          <w:tcPr>
            <w:tcW w:w="4659" w:type="dxa"/>
            <w:tcBorders>
              <w:top w:val="single" w:sz="2" w:space="0" w:color="CCCCCC"/>
              <w:start w:val="single" w:sz="2" w:space="0" w:color="CCCCCC"/>
              <w:bottom w:val="single" w:sz="2" w:space="0" w:color="CCCCCC"/>
              <w:end w:val="single" w:sz="2" w:space="0" w:color="CCCCCC"/>
            </w:tcBorders>
            <w:shd w:fill="4527A0" w:val="clear"/>
          </w:tcPr>
          <w:p>
            <w:pPr>
              <w:pStyle w:val="Normal"/>
              <w:jc w:val="center"/>
              <w:rPr/>
            </w:pPr>
            <w:r>
              <w:rPr>
                <w:rFonts w:eastAsia="Arial" w:cs="Arial"/>
                <w:b/>
                <w:bCs/>
                <w:color w:val="FFFFFF"/>
                <w:sz w:val="18"/>
                <w:szCs w:val="18"/>
              </w:rPr>
              <w:t>AlgoTrader Implementation</w:t>
            </w:r>
          </w:p>
        </w:tc>
        <w:tc>
          <w:tcPr>
            <w:tcW w:w="2351" w:type="dxa"/>
            <w:tcBorders>
              <w:top w:val="single" w:sz="2" w:space="0" w:color="CCCCCC"/>
              <w:start w:val="single" w:sz="2" w:space="0" w:color="CCCCCC"/>
              <w:bottom w:val="single" w:sz="2" w:space="0" w:color="CCCCCC"/>
              <w:end w:val="single" w:sz="2" w:space="0" w:color="CCCCCC"/>
            </w:tcBorders>
            <w:shd w:fill="4527A0" w:val="clear"/>
          </w:tcPr>
          <w:p>
            <w:pPr>
              <w:pStyle w:val="Normal"/>
              <w:jc w:val="center"/>
              <w:rPr/>
            </w:pPr>
            <w:r>
              <w:rPr>
                <w:rFonts w:eastAsia="Arial" w:cs="Arial"/>
                <w:b/>
                <w:bCs/>
                <w:color w:val="FFFFFF"/>
                <w:sz w:val="18"/>
                <w:szCs w:val="18"/>
              </w:rPr>
              <w:t>Diversification</w:t>
            </w:r>
          </w:p>
        </w:tc>
      </w:tr>
      <w:tr>
        <w:trPr/>
        <w:tc>
          <w:tcPr>
            <w:tcW w:w="235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Trend Following</w:t>
            </w:r>
          </w:p>
        </w:tc>
        <w:tc>
          <w:tcPr>
            <w:tcW w:w="465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SwingStructure (primary signal) — HH+HL / LH+LL</w:t>
            </w:r>
          </w:p>
        </w:tc>
        <w:tc>
          <w:tcPr>
            <w:tcW w:w="235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w:t>
            </w:r>
          </w:p>
        </w:tc>
      </w:tr>
      <w:tr>
        <w:trPr/>
        <w:tc>
          <w:tcPr>
            <w:tcW w:w="235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Momentum</w:t>
            </w:r>
          </w:p>
        </w:tc>
        <w:tc>
          <w:tcPr>
            <w:tcW w:w="465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MomentumBot — 2-bar DiffHistogram hold</w:t>
            </w:r>
          </w:p>
        </w:tc>
        <w:tc>
          <w:tcPr>
            <w:tcW w:w="235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Moderate correlation with Trend</w:t>
            </w:r>
          </w:p>
        </w:tc>
      </w:tr>
      <w:tr>
        <w:trPr/>
        <w:tc>
          <w:tcPr>
            <w:tcW w:w="235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Reversal</w:t>
            </w:r>
          </w:p>
        </w:tc>
        <w:tc>
          <w:tcPr>
            <w:tcW w:w="465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DailyRange Rev signal — price vs session anchor</w:t>
            </w:r>
          </w:p>
        </w:tc>
        <w:tc>
          <w:tcPr>
            <w:tcW w:w="235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Low correlation with above</w:t>
            </w:r>
          </w:p>
        </w:tc>
      </w:tr>
      <w:tr>
        <w:trPr/>
        <w:tc>
          <w:tcPr>
            <w:tcW w:w="235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Mean Reversion</w:t>
            </w:r>
          </w:p>
        </w:tc>
        <w:tc>
          <w:tcPr>
            <w:tcW w:w="465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Not implemented (ATS method if desired)</w:t>
            </w:r>
          </w:p>
        </w:tc>
        <w:tc>
          <w:tcPr>
            <w:tcW w:w="235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High diversification benefit</w:t>
            </w:r>
          </w:p>
        </w:tc>
      </w:tr>
      <w:tr>
        <w:trPr/>
        <w:tc>
          <w:tcPr>
            <w:tcW w:w="235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Event-Driven</w:t>
            </w:r>
          </w:p>
        </w:tc>
        <w:tc>
          <w:tcPr>
            <w:tcW w:w="465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Gap filter, time-of-day windows (partial)</w:t>
            </w:r>
          </w:p>
        </w:tc>
        <w:tc>
          <w:tcPr>
            <w:tcW w:w="235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Low correlation</w:t>
            </w:r>
          </w:p>
        </w:tc>
      </w:tr>
    </w:tbl>
    <w:p>
      <w:pPr>
        <w:pStyle w:val="Normal"/>
        <w:rPr/>
      </w:pPr>
      <w:r>
        <w:rPr/>
      </w:r>
      <w:r>
        <w:br w:type="page"/>
      </w:r>
    </w:p>
    <w:p>
      <w:pPr>
        <w:pStyle w:val="Heading1"/>
        <w:spacing w:before="0" w:after="180"/>
        <w:rPr/>
      </w:pPr>
      <w:r>
        <w:rPr>
          <w:rFonts w:eastAsia="Arial" w:cs="Arial" w:ascii="Arial" w:hAnsi="Arial"/>
          <w:b/>
          <w:bCs/>
          <w:color w:val="1F4E79"/>
          <w:sz w:val="36"/>
          <w:szCs w:val="36"/>
        </w:rPr>
        <w:t>Part II — Books 17–22: New Analysis</w:t>
      </w:r>
    </w:p>
    <w:p>
      <w:pPr>
        <w:pStyle w:val="Normal"/>
        <w:spacing w:before="0" w:after="120"/>
        <w:rPr/>
      </w:pPr>
      <w:r>
        <w:rPr>
          <w:rFonts w:eastAsia="Arial" w:cs="Arial"/>
          <w:sz w:val="20"/>
          <w:szCs w:val="20"/>
        </w:rPr>
        <w:t>Six new books analyzed for this unified edition. Note: Machine Trading (E. Chan) and its duplicate file are the same book — treated as one source. Total unique new sources: 5.</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530"/>
        <w:gridCol w:w="1897"/>
        <w:gridCol w:w="632"/>
        <w:gridCol w:w="4301"/>
      </w:tblGrid>
      <w:tr>
        <w:trPr>
          <w:tblHeader w:val="true"/>
        </w:trPr>
        <w:tc>
          <w:tcPr>
            <w:tcW w:w="2530"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18"/>
                <w:szCs w:val="18"/>
              </w:rPr>
              <w:t>Book</w:t>
            </w:r>
          </w:p>
        </w:tc>
        <w:tc>
          <w:tcPr>
            <w:tcW w:w="1897"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18"/>
                <w:szCs w:val="18"/>
              </w:rPr>
              <w:t>Author</w:t>
            </w:r>
          </w:p>
        </w:tc>
        <w:tc>
          <w:tcPr>
            <w:tcW w:w="632"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18"/>
                <w:szCs w:val="18"/>
              </w:rPr>
              <w:t>Pages</w:t>
            </w:r>
          </w:p>
        </w:tc>
        <w:tc>
          <w:tcPr>
            <w:tcW w:w="4301"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18"/>
                <w:szCs w:val="18"/>
              </w:rPr>
              <w:t>Primary Contribution</w:t>
            </w:r>
          </w:p>
        </w:tc>
      </w:tr>
      <w:tr>
        <w:trPr/>
        <w:tc>
          <w:tcPr>
            <w:tcW w:w="253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Quantitative Trading (2nd ed)</w:t>
            </w:r>
          </w:p>
        </w:tc>
        <w:tc>
          <w:tcPr>
            <w:tcW w:w="1897"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Ernest P. Chan</w:t>
            </w:r>
          </w:p>
        </w:tc>
        <w:tc>
          <w:tcPr>
            <w:tcW w:w="632"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204</w:t>
            </w:r>
          </w:p>
        </w:tc>
        <w:tc>
          <w:tcPr>
            <w:tcW w:w="43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Kelly formula, mean reversion vs momentum, backtesting pitfalls, regime shifts</w:t>
            </w:r>
          </w:p>
        </w:tc>
      </w:tr>
      <w:tr>
        <w:trPr/>
        <w:tc>
          <w:tcPr>
            <w:tcW w:w="253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Building Winning Algo Trading Systems</w:t>
            </w:r>
          </w:p>
        </w:tc>
        <w:tc>
          <w:tcPr>
            <w:tcW w:w="189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Kevin Davey</w:t>
            </w:r>
          </w:p>
        </w:tc>
        <w:tc>
          <w:tcPr>
            <w:tcW w:w="63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284</w:t>
            </w:r>
          </w:p>
        </w:tc>
        <w:tc>
          <w:tcPr>
            <w:tcW w:w="43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Monte Carlo simulation, walk-forward workflow, stop types, system development checklist</w:t>
            </w:r>
          </w:p>
        </w:tc>
      </w:tr>
      <w:tr>
        <w:trPr/>
        <w:tc>
          <w:tcPr>
            <w:tcW w:w="253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High-Frequency Trading</w:t>
            </w:r>
          </w:p>
        </w:tc>
        <w:tc>
          <w:tcPr>
            <w:tcW w:w="1897"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Irene Aldridge</w:t>
            </w:r>
          </w:p>
        </w:tc>
        <w:tc>
          <w:tcPr>
            <w:tcW w:w="632"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354</w:t>
            </w:r>
          </w:p>
        </w:tc>
        <w:tc>
          <w:tcPr>
            <w:tcW w:w="43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Market microstructure, bid-ask spread cycles, momentum/reversal patterns, ARMA signals</w:t>
            </w:r>
          </w:p>
        </w:tc>
      </w:tr>
      <w:tr>
        <w:trPr/>
        <w:tc>
          <w:tcPr>
            <w:tcW w:w="253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AI in Financial Markets</w:t>
            </w:r>
          </w:p>
        </w:tc>
        <w:tc>
          <w:tcPr>
            <w:tcW w:w="189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Dunis et al.</w:t>
            </w:r>
          </w:p>
        </w:tc>
        <w:tc>
          <w:tcPr>
            <w:tcW w:w="63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349</w:t>
            </w:r>
          </w:p>
        </w:tc>
        <w:tc>
          <w:tcPr>
            <w:tcW w:w="43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Neural networks, SVM, genetic algorithms, ensemble methods for risk and portfolio</w:t>
            </w:r>
          </w:p>
        </w:tc>
      </w:tr>
      <w:tr>
        <w:trPr/>
        <w:tc>
          <w:tcPr>
            <w:tcW w:w="253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Machine Trading</w:t>
            </w:r>
          </w:p>
        </w:tc>
        <w:tc>
          <w:tcPr>
            <w:tcW w:w="1897"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Ernest P. Chan</w:t>
            </w:r>
          </w:p>
        </w:tc>
        <w:tc>
          <w:tcPr>
            <w:tcW w:w="632"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267</w:t>
            </w:r>
          </w:p>
        </w:tc>
        <w:tc>
          <w:tcPr>
            <w:tcW w:w="43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Kelly/Sharpe equivalence proof, Calmar ratio, sentiment data, portfolio optimization</w:t>
            </w:r>
          </w:p>
        </w:tc>
      </w:tr>
      <w:tr>
        <w:trPr/>
        <w:tc>
          <w:tcPr>
            <w:tcW w:w="253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Successful Algorithmic Trading</w:t>
            </w:r>
          </w:p>
        </w:tc>
        <w:tc>
          <w:tcPr>
            <w:tcW w:w="189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QuantStart</w:t>
            </w:r>
          </w:p>
        </w:tc>
        <w:tc>
          <w:tcPr>
            <w:tcW w:w="63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208</w:t>
            </w:r>
          </w:p>
        </w:tc>
        <w:tc>
          <w:tcPr>
            <w:tcW w:w="43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Event-driven backtesting, Python OOP strategy development, biases taxonomy, live trading transition</w:t>
            </w:r>
          </w:p>
        </w:tc>
      </w:tr>
    </w:tbl>
    <w:p>
      <w:pPr>
        <w:pStyle w:val="Normal"/>
        <w:rPr/>
      </w:pPr>
      <w:r>
        <w:rPr/>
      </w:r>
    </w:p>
    <w:p>
      <w:pPr>
        <w:pStyle w:val="Heading2"/>
        <w:rPr/>
      </w:pPr>
      <w:r>
        <w:rPr>
          <w:rFonts w:eastAsia="Arial" w:cs="Arial" w:ascii="Arial" w:hAnsi="Arial"/>
          <w:b/>
          <w:bCs/>
          <w:color w:val="2E75B6"/>
          <w:sz w:val="28"/>
          <w:szCs w:val="28"/>
        </w:rPr>
        <w:t>2.1  Quantitative Trading — E. Chan (2nd Edition)</w:t>
      </w:r>
    </w:p>
    <w:p>
      <w:pPr>
        <w:pStyle w:val="Heading3"/>
        <w:rPr/>
      </w:pPr>
      <w:r>
        <w:rPr>
          <w:rFonts w:eastAsia="Arial" w:cs="Arial" w:ascii="Arial" w:hAnsi="Arial"/>
          <w:b/>
          <w:bCs/>
          <w:color w:val="00695C"/>
          <w:sz w:val="24"/>
          <w:szCs w:val="24"/>
        </w:rPr>
        <w:t>Kelly Formula Deep Dive</w:t>
      </w:r>
    </w:p>
    <w:p>
      <w:pPr>
        <w:pStyle w:val="Normal"/>
        <w:spacing w:before="0" w:after="120"/>
        <w:rPr/>
      </w:pPr>
      <w:r>
        <w:rPr>
          <w:rFonts w:eastAsia="Arial" w:cs="Arial"/>
          <w:sz w:val="20"/>
          <w:szCs w:val="20"/>
        </w:rPr>
        <w:t>Chan provides the most accessible derivation in the 22 books. The Kelly optimal leverage f* = μ/σ² = Sharpe ratio / σ. For a portfolio, f* = Σ⁻¹μ (inverse covariance matrix times mean returns vector). Half-Kelly is universally recommended: trading at full Kelly produces drawdowns most traders cannot psychologically endure.</w:t>
      </w:r>
    </w:p>
    <w:tbl>
      <w:tblPr>
        <w:tblW w:w="9360" w:type="dxa"/>
        <w:jc w:val="start"/>
        <w:tblInd w:w="0" w:type="dxa"/>
        <w:tblLayout w:type="fixed"/>
        <w:tblCellMar>
          <w:top w:w="80" w:type="dxa"/>
          <w:start w:w="80" w:type="dxa"/>
          <w:bottom w:w="80" w:type="dxa"/>
          <w:end w:w="80" w:type="dxa"/>
        </w:tblCellMar>
      </w:tblPr>
      <w:tblGrid>
        <w:gridCol w:w="480"/>
        <w:gridCol w:w="8880"/>
      </w:tblGrid>
      <w:tr>
        <w:trPr/>
        <w:tc>
          <w:tcPr>
            <w:tcW w:w="480"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18"/>
                <w:szCs w:val="18"/>
              </w:rPr>
              <w:t>KEY INSIGHT</w:t>
            </w:r>
          </w:p>
        </w:tc>
        <w:tc>
          <w:tcPr>
            <w:tcW w:w="8880" w:type="dxa"/>
            <w:tcBorders>
              <w:top w:val="single" w:sz="2" w:space="0" w:color="2E75B6"/>
              <w:start w:val="single" w:sz="4" w:space="0" w:color="2E75B6"/>
              <w:bottom w:val="single" w:sz="2" w:space="0" w:color="2E75B6"/>
              <w:end w:val="single" w:sz="2" w:space="0" w:color="2E75B6"/>
            </w:tcBorders>
            <w:shd w:fill="EEF4FB" w:val="clear"/>
            <w:tcMar>
              <w:start w:w="120" w:type="dxa"/>
              <w:end w:w="120" w:type="dxa"/>
            </w:tcMar>
          </w:tcPr>
          <w:p>
            <w:pPr>
              <w:pStyle w:val="Normal"/>
              <w:rPr/>
            </w:pPr>
            <w:r>
              <w:rPr>
                <w:rFonts w:eastAsia="Arial" w:cs="Arial"/>
                <w:i/>
                <w:iCs/>
                <w:sz w:val="19"/>
                <w:szCs w:val="19"/>
              </w:rPr>
              <w:t>Kelly optimal leverage = Sharpe ratio / annualized volatility. A strategy with Sharpe=1.0 and annualized vol=20% has Kelly f*=5.0. Half-Kelly = 2.5. But if the maximum one-day drawdown at half-Kelly exceeds your tolerance (Black Swan risk), use quarter-Kelly instead. The leverage to use is always the SMALLER of half-Kelly and (max-tolerable-one-day-loss / max-historical-one-day-loss).</w:t>
            </w:r>
          </w:p>
        </w:tc>
      </w:tr>
    </w:tbl>
    <w:p>
      <w:pPr>
        <w:pStyle w:val="Heading3"/>
        <w:rPr/>
      </w:pPr>
      <w:r>
        <w:rPr>
          <w:rFonts w:eastAsia="Arial" w:cs="Arial" w:ascii="Arial" w:hAnsi="Arial"/>
          <w:b/>
          <w:bCs/>
          <w:color w:val="00695C"/>
          <w:sz w:val="24"/>
          <w:szCs w:val="24"/>
        </w:rPr>
        <w:t>Mean Reversion vs. Momentum Regime Detection</w:t>
      </w:r>
    </w:p>
    <w:p>
      <w:pPr>
        <w:pStyle w:val="Normal"/>
        <w:spacing w:before="0" w:after="120"/>
        <w:rPr/>
      </w:pPr>
      <w:r>
        <w:rPr>
          <w:rFonts w:eastAsia="Arial" w:cs="Arial"/>
          <w:sz w:val="20"/>
          <w:szCs w:val="20"/>
        </w:rPr>
        <w:t>Chan's practical framework for regime identification without HMMs: use the Hurst exponent H. H &lt; 0.5 = mean-reverting (use reversion strategies). H &gt; 0.5 = trending (use momentum strategies). H = 0.5 = random walk (no edge). Compute H on 20–50 bar rolling windows. This is simpler to implement in NinjaTrader than a full HMM and provides equivalent signal for intraday use.</w:t>
      </w:r>
    </w:p>
    <w:tbl>
      <w:tblPr>
        <w:tblW w:w="9360" w:type="dxa"/>
        <w:jc w:val="start"/>
        <w:tblInd w:w="0" w:type="dxa"/>
        <w:tblLayout w:type="fixed"/>
        <w:tblCellMar>
          <w:top w:w="80" w:type="dxa"/>
          <w:start w:w="80" w:type="dxa"/>
          <w:bottom w:w="80" w:type="dxa"/>
          <w:end w:w="80" w:type="dxa"/>
        </w:tblCellMar>
      </w:tblPr>
      <w:tblGrid>
        <w:gridCol w:w="480"/>
        <w:gridCol w:w="8880"/>
      </w:tblGrid>
      <w:tr>
        <w:trPr/>
        <w:tc>
          <w:tcPr>
            <w:tcW w:w="480" w:type="dxa"/>
            <w:tcBorders>
              <w:top w:val="single" w:sz="2" w:space="0" w:color="CCCCCC"/>
              <w:start w:val="single" w:sz="2" w:space="0" w:color="CCCCCC"/>
              <w:bottom w:val="single" w:sz="2" w:space="0" w:color="CCCCCC"/>
              <w:end w:val="single" w:sz="2" w:space="0" w:color="CCCCCC"/>
            </w:tcBorders>
            <w:shd w:fill="00695C" w:val="clear"/>
          </w:tcPr>
          <w:p>
            <w:pPr>
              <w:pStyle w:val="Normal"/>
              <w:jc w:val="center"/>
              <w:rPr/>
            </w:pPr>
            <w:r>
              <w:rPr>
                <w:rFonts w:eastAsia="Arial" w:cs="Arial"/>
                <w:b/>
                <w:bCs/>
                <w:color w:val="FFFFFF"/>
                <w:sz w:val="18"/>
                <w:szCs w:val="18"/>
              </w:rPr>
              <w:t>IMPL NOTE</w:t>
            </w:r>
          </w:p>
        </w:tc>
        <w:tc>
          <w:tcPr>
            <w:tcW w:w="8880" w:type="dxa"/>
            <w:tcBorders>
              <w:top w:val="single" w:sz="2" w:space="0" w:color="2E75B6"/>
              <w:start w:val="single" w:sz="4" w:space="0" w:color="2E75B6"/>
              <w:bottom w:val="single" w:sz="2" w:space="0" w:color="2E75B6"/>
              <w:end w:val="single" w:sz="2" w:space="0" w:color="2E75B6"/>
            </w:tcBorders>
            <w:shd w:fill="EEF4FB" w:val="clear"/>
            <w:tcMar>
              <w:start w:w="120" w:type="dxa"/>
              <w:end w:w="120" w:type="dxa"/>
            </w:tcMar>
          </w:tcPr>
          <w:p>
            <w:pPr>
              <w:pStyle w:val="Normal"/>
              <w:rPr/>
            </w:pPr>
            <w:r>
              <w:rPr>
                <w:rFonts w:eastAsia="Arial" w:cs="Arial"/>
                <w:i/>
                <w:iCs/>
                <w:sz w:val="19"/>
                <w:szCs w:val="19"/>
              </w:rPr>
              <w:t>Hurst exponent for intraday regime detection is a direct alternative to HMM. Easier to implement in C#: compute variance of log-returns at multiple time scales. If Var(τ) ∝ τ^(2H), estimate H via OLS. H &lt; 0.45 → mean reversion mode. H &gt; 0.55 → trend mode. 0.45–0.55 → neutral/chop.</w:t>
            </w:r>
          </w:p>
        </w:tc>
      </w:tr>
    </w:tbl>
    <w:p>
      <w:pPr>
        <w:pStyle w:val="Heading3"/>
        <w:rPr/>
      </w:pPr>
      <w:r>
        <w:rPr>
          <w:rFonts w:eastAsia="Arial" w:cs="Arial" w:ascii="Arial" w:hAnsi="Arial"/>
          <w:b/>
          <w:bCs/>
          <w:color w:val="00695C"/>
          <w:sz w:val="24"/>
          <w:szCs w:val="24"/>
        </w:rPr>
        <w:t>Backtesting Pitfalls Taxonomy</w:t>
      </w:r>
    </w:p>
    <w:p>
      <w:pPr>
        <w:pStyle w:val="ListParagraph"/>
        <w:numPr>
          <w:ilvl w:val="0"/>
          <w:numId w:val="1"/>
        </w:numPr>
        <w:spacing w:before="0" w:after="80"/>
        <w:ind w:hanging="260" w:start="540"/>
        <w:rPr/>
      </w:pPr>
      <w:r>
        <w:rPr>
          <w:rFonts w:eastAsia="Arial" w:cs="Arial"/>
          <w:sz w:val="20"/>
          <w:szCs w:val="20"/>
        </w:rPr>
        <w:t>Look-ahead bias: using current bar's High/Low for entry triggers — NT8 Calculate.OnBarClose guards against this</w:t>
      </w:r>
    </w:p>
    <w:p>
      <w:pPr>
        <w:pStyle w:val="ListParagraph"/>
        <w:numPr>
          <w:ilvl w:val="0"/>
          <w:numId w:val="1"/>
        </w:numPr>
        <w:spacing w:before="0" w:after="80"/>
        <w:ind w:hanging="260" w:start="540"/>
        <w:rPr/>
      </w:pPr>
      <w:r>
        <w:rPr>
          <w:rFonts w:eastAsia="Arial" w:cs="Arial"/>
          <w:sz w:val="20"/>
          <w:szCs w:val="20"/>
        </w:rPr>
        <w:t>Data-snooping bias: optimizing parameters on the same data used for validation — only walk-forward OOS is immune</w:t>
      </w:r>
    </w:p>
    <w:p>
      <w:pPr>
        <w:pStyle w:val="ListParagraph"/>
        <w:numPr>
          <w:ilvl w:val="0"/>
          <w:numId w:val="1"/>
        </w:numPr>
        <w:spacing w:before="0" w:after="80"/>
        <w:ind w:hanging="260" w:start="540"/>
        <w:rPr/>
      </w:pPr>
      <w:r>
        <w:rPr>
          <w:rFonts w:eastAsia="Arial" w:cs="Arial"/>
          <w:sz w:val="20"/>
          <w:szCs w:val="20"/>
        </w:rPr>
        <w:t>Regime shift: strategy worked in IS period but the underlying market dynamic changed — test on multiple market periods</w:t>
      </w:r>
    </w:p>
    <w:p>
      <w:pPr>
        <w:pStyle w:val="ListParagraph"/>
        <w:numPr>
          <w:ilvl w:val="0"/>
          <w:numId w:val="1"/>
        </w:numPr>
        <w:spacing w:before="0" w:after="80"/>
        <w:ind w:hanging="260" w:start="540"/>
        <w:rPr/>
      </w:pPr>
      <w:r>
        <w:rPr>
          <w:rFonts w:eastAsia="Arial" w:cs="Arial"/>
          <w:sz w:val="20"/>
          <w:szCs w:val="20"/>
        </w:rPr>
        <w:t>Survivorship bias: testing on current S&amp;P constituents excludes delisted stocks — less relevant for single-instrument futures</w:t>
      </w:r>
    </w:p>
    <w:p>
      <w:pPr>
        <w:pStyle w:val="ListParagraph"/>
        <w:numPr>
          <w:ilvl w:val="0"/>
          <w:numId w:val="1"/>
        </w:numPr>
        <w:spacing w:before="0" w:after="80"/>
        <w:ind w:hanging="260" w:start="540"/>
        <w:rPr/>
      </w:pPr>
      <w:r>
        <w:rPr>
          <w:rFonts w:eastAsia="Arial" w:cs="Arial"/>
          <w:sz w:val="20"/>
          <w:szCs w:val="20"/>
        </w:rPr>
        <w:t>Transaction cost naivety: Sharpe ratio of 4.47 gross becomes -3.19 after 5bp transaction costs in Chan's own example</w:t>
      </w:r>
    </w:p>
    <w:p>
      <w:pPr>
        <w:pStyle w:val="Normal"/>
        <w:spacing w:before="0" w:after="120"/>
        <w:rPr/>
      </w:pPr>
      <w:r>
        <w:rPr>
          <w:rFonts w:eastAsia="Arial" w:cs="Arial"/>
          <w:sz w:val="20"/>
          <w:szCs w:val="20"/>
        </w:rPr>
        <w:t>Sensitivity analysis is the practical guard against data-snooping: vary each parameter ±20% from optimal. If performance collapses, the parameter is fragile. For AlgoTrader: FixedTPTicks, FixedSLTicks, ADXMin, MLThreshold must all show broad performance plateaus.</w:t>
      </w:r>
    </w:p>
    <w:p>
      <w:pPr>
        <w:pStyle w:val="Normal"/>
        <w:rPr/>
      </w:pPr>
      <w:r>
        <w:rPr/>
      </w:r>
    </w:p>
    <w:p>
      <w:pPr>
        <w:pStyle w:val="Heading2"/>
        <w:rPr/>
      </w:pPr>
      <w:r>
        <w:rPr>
          <w:rFonts w:eastAsia="Arial" w:cs="Arial" w:ascii="Arial" w:hAnsi="Arial"/>
          <w:b/>
          <w:bCs/>
          <w:color w:val="2E75B6"/>
          <w:sz w:val="28"/>
          <w:szCs w:val="28"/>
        </w:rPr>
        <w:t>2.2  Building Winning Algorithmic Trading Systems — Kevin Davey</w:t>
      </w:r>
    </w:p>
    <w:p>
      <w:pPr>
        <w:pStyle w:val="Heading3"/>
        <w:rPr/>
      </w:pPr>
      <w:r>
        <w:rPr>
          <w:rFonts w:eastAsia="Arial" w:cs="Arial" w:ascii="Arial" w:hAnsi="Arial"/>
          <w:b/>
          <w:bCs/>
          <w:color w:val="00695C"/>
          <w:sz w:val="24"/>
          <w:szCs w:val="24"/>
        </w:rPr>
        <w:t>System Development Workflow</w:t>
      </w:r>
    </w:p>
    <w:p>
      <w:pPr>
        <w:pStyle w:val="Normal"/>
        <w:spacing w:before="0" w:after="120"/>
        <w:rPr/>
      </w:pPr>
      <w:r>
        <w:rPr>
          <w:rFonts w:eastAsia="Arial" w:cs="Arial"/>
          <w:sz w:val="20"/>
          <w:szCs w:val="20"/>
        </w:rPr>
        <w:t>Davey's workflow is the most operationally complete in the 22 books, drawn from his World Cup Championship wins. The mandatory sequence before live deployment:</w:t>
      </w:r>
    </w:p>
    <w:p>
      <w:pPr>
        <w:pStyle w:val="ListParagraph"/>
        <w:numPr>
          <w:ilvl w:val="0"/>
          <w:numId w:val="1"/>
        </w:numPr>
        <w:spacing w:before="0" w:after="80"/>
        <w:ind w:hanging="260" w:start="540"/>
        <w:rPr/>
      </w:pPr>
      <w:r>
        <w:rPr>
          <w:rFonts w:eastAsia="Arial" w:cs="Arial"/>
          <w:sz w:val="20"/>
          <w:szCs w:val="20"/>
        </w:rPr>
        <w:t>Step 1: Idea generation — must have a hypothesis rooted in market behavior, not data mining</w:t>
      </w:r>
    </w:p>
    <w:p>
      <w:pPr>
        <w:pStyle w:val="ListParagraph"/>
        <w:numPr>
          <w:ilvl w:val="0"/>
          <w:numId w:val="1"/>
        </w:numPr>
        <w:spacing w:before="0" w:after="80"/>
        <w:ind w:hanging="260" w:start="540"/>
        <w:rPr/>
      </w:pPr>
      <w:r>
        <w:rPr>
          <w:rFonts w:eastAsia="Arial" w:cs="Arial"/>
          <w:sz w:val="20"/>
          <w:szCs w:val="20"/>
        </w:rPr>
        <w:t>Step 2: Initial testing with fixed stop/target — validates directional hypothesis in isolation</w:t>
      </w:r>
    </w:p>
    <w:p>
      <w:pPr>
        <w:pStyle w:val="ListParagraph"/>
        <w:numPr>
          <w:ilvl w:val="0"/>
          <w:numId w:val="1"/>
        </w:numPr>
        <w:spacing w:before="0" w:after="80"/>
        <w:ind w:hanging="260" w:start="540"/>
        <w:rPr/>
      </w:pPr>
      <w:r>
        <w:rPr>
          <w:rFonts w:eastAsia="Arial" w:cs="Arial"/>
          <w:sz w:val="20"/>
          <w:szCs w:val="20"/>
        </w:rPr>
        <w:t>Step 3: Entry/exit refinement — test stop types (fixed dollar, ATR, trailing, breakeven) independently</w:t>
      </w:r>
    </w:p>
    <w:p>
      <w:pPr>
        <w:pStyle w:val="ListParagraph"/>
        <w:numPr>
          <w:ilvl w:val="0"/>
          <w:numId w:val="1"/>
        </w:numPr>
        <w:spacing w:before="0" w:after="80"/>
        <w:ind w:hanging="260" w:start="540"/>
        <w:rPr/>
      </w:pPr>
      <w:r>
        <w:rPr>
          <w:rFonts w:eastAsia="Arial" w:cs="Arial"/>
          <w:sz w:val="20"/>
          <w:szCs w:val="20"/>
        </w:rPr>
        <w:t>Step 4: Walk-forward analysis — IS/OOS split, confirm OOS performance matches IS character</w:t>
      </w:r>
    </w:p>
    <w:p>
      <w:pPr>
        <w:pStyle w:val="ListParagraph"/>
        <w:numPr>
          <w:ilvl w:val="0"/>
          <w:numId w:val="1"/>
        </w:numPr>
        <w:spacing w:before="0" w:after="80"/>
        <w:ind w:hanging="260" w:start="540"/>
        <w:rPr/>
      </w:pPr>
      <w:r>
        <w:rPr>
          <w:rFonts w:eastAsia="Arial" w:cs="Arial"/>
          <w:sz w:val="20"/>
          <w:szCs w:val="20"/>
        </w:rPr>
        <w:t>Step 5: Monte Carlo simulation — establish probability distribution of outcomes before risking capital</w:t>
      </w:r>
    </w:p>
    <w:p>
      <w:pPr>
        <w:pStyle w:val="ListParagraph"/>
        <w:numPr>
          <w:ilvl w:val="0"/>
          <w:numId w:val="1"/>
        </w:numPr>
        <w:spacing w:before="0" w:after="80"/>
        <w:ind w:hanging="260" w:start="540"/>
        <w:rPr/>
      </w:pPr>
      <w:r>
        <w:rPr>
          <w:rFonts w:eastAsia="Arial" w:cs="Arial"/>
          <w:sz w:val="20"/>
          <w:szCs w:val="20"/>
        </w:rPr>
        <w:t>Step 6: Incubation — paper trade for minimum 30 days to confirm live behavior matches backtest</w:t>
      </w:r>
    </w:p>
    <w:p>
      <w:pPr>
        <w:pStyle w:val="ListParagraph"/>
        <w:numPr>
          <w:ilvl w:val="0"/>
          <w:numId w:val="1"/>
        </w:numPr>
        <w:spacing w:before="0" w:after="80"/>
        <w:ind w:hanging="260" w:start="540"/>
        <w:rPr/>
      </w:pPr>
      <w:r>
        <w:rPr>
          <w:rFonts w:eastAsia="Arial" w:cs="Arial"/>
          <w:sz w:val="20"/>
          <w:szCs w:val="20"/>
        </w:rPr>
        <w:t>Step 7: Live trading — start at minimum size, scale up only after 20+ live trades confirm system</w:t>
      </w:r>
    </w:p>
    <w:p>
      <w:pPr>
        <w:pStyle w:val="Heading3"/>
        <w:rPr/>
      </w:pPr>
      <w:r>
        <w:rPr>
          <w:rFonts w:eastAsia="Arial" w:cs="Arial" w:ascii="Arial" w:hAnsi="Arial"/>
          <w:b/>
          <w:bCs/>
          <w:color w:val="00695C"/>
          <w:sz w:val="24"/>
          <w:szCs w:val="24"/>
        </w:rPr>
        <w:t>Monte Carlo Simulation — The Primary Validation Tool</w:t>
      </w:r>
    </w:p>
    <w:p>
      <w:pPr>
        <w:pStyle w:val="Normal"/>
        <w:spacing w:before="0" w:after="120"/>
        <w:rPr/>
      </w:pPr>
      <w:r>
        <w:rPr>
          <w:rFonts w:eastAsia="Arial" w:cs="Arial"/>
          <w:sz w:val="20"/>
          <w:szCs w:val="20"/>
        </w:rPr>
        <w:t>Davey's Monte Carlo process: take the distribution of closed trade P&amp;L values, randomly resample with replacement 1,000+ times, compute equity curves for each simulation. Output: probability of ruin, distribution of maximum drawdown, 5th/95th percentile outcomes.</w:t>
      </w:r>
    </w:p>
    <w:tbl>
      <w:tblPr>
        <w:tblW w:w="9360" w:type="dxa"/>
        <w:jc w:val="start"/>
        <w:tblInd w:w="0" w:type="dxa"/>
        <w:tblLayout w:type="fixed"/>
        <w:tblCellMar>
          <w:top w:w="80" w:type="dxa"/>
          <w:start w:w="80" w:type="dxa"/>
          <w:bottom w:w="80" w:type="dxa"/>
          <w:end w:w="80" w:type="dxa"/>
        </w:tblCellMar>
      </w:tblPr>
      <w:tblGrid>
        <w:gridCol w:w="480"/>
        <w:gridCol w:w="8880"/>
      </w:tblGrid>
      <w:tr>
        <w:trPr/>
        <w:tc>
          <w:tcPr>
            <w:tcW w:w="480" w:type="dxa"/>
            <w:tcBorders>
              <w:top w:val="single" w:sz="2" w:space="0" w:color="CCCCCC"/>
              <w:start w:val="single" w:sz="2" w:space="0" w:color="CCCCCC"/>
              <w:bottom w:val="single" w:sz="2" w:space="0" w:color="CCCCCC"/>
              <w:end w:val="single" w:sz="2" w:space="0" w:color="CCCCCC"/>
            </w:tcBorders>
            <w:shd w:fill="B71C1C" w:val="clear"/>
          </w:tcPr>
          <w:p>
            <w:pPr>
              <w:pStyle w:val="Normal"/>
              <w:jc w:val="center"/>
              <w:rPr/>
            </w:pPr>
            <w:r>
              <w:rPr>
                <w:rFonts w:eastAsia="Arial" w:cs="Arial"/>
                <w:b/>
                <w:bCs/>
                <w:color w:val="FFFFFF"/>
                <w:sz w:val="18"/>
                <w:szCs w:val="18"/>
              </w:rPr>
              <w:t>CRITICAL</w:t>
            </w:r>
          </w:p>
        </w:tc>
        <w:tc>
          <w:tcPr>
            <w:tcW w:w="8880" w:type="dxa"/>
            <w:tcBorders>
              <w:top w:val="single" w:sz="2" w:space="0" w:color="2E75B6"/>
              <w:start w:val="single" w:sz="4" w:space="0" w:color="2E75B6"/>
              <w:bottom w:val="single" w:sz="2" w:space="0" w:color="2E75B6"/>
              <w:end w:val="single" w:sz="2" w:space="0" w:color="2E75B6"/>
            </w:tcBorders>
            <w:shd w:fill="EEF4FB" w:val="clear"/>
            <w:tcMar>
              <w:start w:w="120" w:type="dxa"/>
              <w:end w:w="120" w:type="dxa"/>
            </w:tcMar>
          </w:tcPr>
          <w:p>
            <w:pPr>
              <w:pStyle w:val="Normal"/>
              <w:rPr/>
            </w:pPr>
            <w:r>
              <w:rPr>
                <w:rFonts w:eastAsia="Arial" w:cs="Arial"/>
                <w:i/>
                <w:iCs/>
                <w:sz w:val="19"/>
                <w:szCs w:val="19"/>
              </w:rPr>
              <w:t>Serial correlation in trade returns invalidates simple Monte Carlo — if trade N influences trade N+1 outcome (common in trending systems), use block bootstrap instead of random resampling. Davey provides this test: compute autocorrelation of trade sequence. If |r| &gt; 0.2 at any lag, use block bootstrap with block size = mean trade duration in bars.</w:t>
            </w:r>
          </w:p>
        </w:tc>
      </w:tr>
    </w:tbl>
    <w:p>
      <w:pPr>
        <w:pStyle w:val="Heading3"/>
        <w:rPr/>
      </w:pPr>
      <w:r>
        <w:rPr>
          <w:rFonts w:eastAsia="Arial" w:cs="Arial" w:ascii="Arial" w:hAnsi="Arial"/>
          <w:b/>
          <w:bCs/>
          <w:color w:val="00695C"/>
          <w:sz w:val="24"/>
          <w:szCs w:val="24"/>
        </w:rPr>
        <w:t>Stop Types — Systematic Comparison</w:t>
      </w:r>
    </w:p>
    <w:tbl>
      <w:tblPr>
        <w:tblW w:w="9360" w:type="dxa"/>
        <w:jc w:val="start"/>
        <w:tblInd w:w="0" w:type="dxa"/>
        <w:tblLayout w:type="fixed"/>
        <w:tblCellMar>
          <w:top w:w="80" w:type="dxa"/>
          <w:start w:w="120" w:type="dxa"/>
          <w:bottom w:w="80" w:type="dxa"/>
          <w:end w:w="120" w:type="dxa"/>
        </w:tblCellMar>
      </w:tblPr>
      <w:tblGrid>
        <w:gridCol w:w="480"/>
        <w:gridCol w:w="1137"/>
        <w:gridCol w:w="1965"/>
        <w:gridCol w:w="1733"/>
        <w:gridCol w:w="2080"/>
        <w:gridCol w:w="1965"/>
      </w:tblGrid>
      <w:tr>
        <w:trPr>
          <w:tblHeader w:val="true"/>
        </w:trPr>
        <w:tc>
          <w:tcPr>
            <w:tcW w:w="1617" w:type="dxa"/>
            <w:gridSpan w:val="2"/>
            <w:tcBorders>
              <w:top w:val="single" w:sz="2" w:space="0" w:color="CCCCCC"/>
              <w:start w:val="single" w:sz="2" w:space="0" w:color="CCCCCC"/>
              <w:bottom w:val="single" w:sz="2" w:space="0" w:color="CCCCCC"/>
              <w:end w:val="single" w:sz="2" w:space="0" w:color="CCCCCC"/>
            </w:tcBorders>
            <w:shd w:fill="00695C" w:val="clear"/>
          </w:tcPr>
          <w:p>
            <w:pPr>
              <w:pStyle w:val="Normal"/>
              <w:jc w:val="center"/>
              <w:rPr/>
            </w:pPr>
            <w:r>
              <w:rPr>
                <w:rFonts w:eastAsia="Arial" w:cs="Arial"/>
                <w:b/>
                <w:bCs/>
                <w:color w:val="FFFFFF"/>
                <w:sz w:val="18"/>
                <w:szCs w:val="18"/>
              </w:rPr>
              <w:t>Stop Type</w:t>
            </w:r>
          </w:p>
        </w:tc>
        <w:tc>
          <w:tcPr>
            <w:tcW w:w="1965" w:type="dxa"/>
            <w:tcBorders>
              <w:top w:val="single" w:sz="2" w:space="0" w:color="CCCCCC"/>
              <w:start w:val="single" w:sz="2" w:space="0" w:color="CCCCCC"/>
              <w:bottom w:val="single" w:sz="2" w:space="0" w:color="CCCCCC"/>
              <w:end w:val="single" w:sz="2" w:space="0" w:color="CCCCCC"/>
            </w:tcBorders>
            <w:shd w:fill="00695C" w:val="clear"/>
          </w:tcPr>
          <w:p>
            <w:pPr>
              <w:pStyle w:val="Normal"/>
              <w:jc w:val="center"/>
              <w:rPr/>
            </w:pPr>
            <w:r>
              <w:rPr>
                <w:rFonts w:eastAsia="Arial" w:cs="Arial"/>
                <w:b/>
                <w:bCs/>
                <w:color w:val="FFFFFF"/>
                <w:sz w:val="18"/>
                <w:szCs w:val="18"/>
              </w:rPr>
              <w:t>Mechanism</w:t>
            </w:r>
          </w:p>
        </w:tc>
        <w:tc>
          <w:tcPr>
            <w:tcW w:w="1733" w:type="dxa"/>
            <w:tcBorders>
              <w:top w:val="single" w:sz="2" w:space="0" w:color="CCCCCC"/>
              <w:start w:val="single" w:sz="2" w:space="0" w:color="CCCCCC"/>
              <w:bottom w:val="single" w:sz="2" w:space="0" w:color="CCCCCC"/>
              <w:end w:val="single" w:sz="2" w:space="0" w:color="CCCCCC"/>
            </w:tcBorders>
            <w:shd w:fill="00695C" w:val="clear"/>
          </w:tcPr>
          <w:p>
            <w:pPr>
              <w:pStyle w:val="Normal"/>
              <w:jc w:val="center"/>
              <w:rPr/>
            </w:pPr>
            <w:r>
              <w:rPr>
                <w:rFonts w:eastAsia="Arial" w:cs="Arial"/>
                <w:b/>
                <w:bCs/>
                <w:color w:val="FFFFFF"/>
                <w:sz w:val="18"/>
                <w:szCs w:val="18"/>
              </w:rPr>
              <w:t>Pros</w:t>
            </w:r>
          </w:p>
        </w:tc>
        <w:tc>
          <w:tcPr>
            <w:tcW w:w="2080" w:type="dxa"/>
            <w:tcBorders>
              <w:top w:val="single" w:sz="2" w:space="0" w:color="CCCCCC"/>
              <w:start w:val="single" w:sz="2" w:space="0" w:color="CCCCCC"/>
              <w:bottom w:val="single" w:sz="2" w:space="0" w:color="CCCCCC"/>
              <w:end w:val="single" w:sz="2" w:space="0" w:color="CCCCCC"/>
            </w:tcBorders>
            <w:shd w:fill="00695C" w:val="clear"/>
          </w:tcPr>
          <w:p>
            <w:pPr>
              <w:pStyle w:val="Normal"/>
              <w:jc w:val="center"/>
              <w:rPr/>
            </w:pPr>
            <w:r>
              <w:rPr>
                <w:rFonts w:eastAsia="Arial" w:cs="Arial"/>
                <w:b/>
                <w:bCs/>
                <w:color w:val="FFFFFF"/>
                <w:sz w:val="18"/>
                <w:szCs w:val="18"/>
              </w:rPr>
              <w:t>Cons</w:t>
            </w:r>
          </w:p>
        </w:tc>
        <w:tc>
          <w:tcPr>
            <w:tcW w:w="1965" w:type="dxa"/>
            <w:tcBorders>
              <w:top w:val="single" w:sz="2" w:space="0" w:color="CCCCCC"/>
              <w:start w:val="single" w:sz="2" w:space="0" w:color="CCCCCC"/>
              <w:bottom w:val="single" w:sz="2" w:space="0" w:color="CCCCCC"/>
              <w:end w:val="single" w:sz="2" w:space="0" w:color="CCCCCC"/>
            </w:tcBorders>
            <w:shd w:fill="00695C" w:val="clear"/>
          </w:tcPr>
          <w:p>
            <w:pPr>
              <w:pStyle w:val="Normal"/>
              <w:jc w:val="center"/>
              <w:rPr/>
            </w:pPr>
            <w:r>
              <w:rPr>
                <w:rFonts w:eastAsia="Arial" w:cs="Arial"/>
                <w:b/>
                <w:bCs/>
                <w:color w:val="FFFFFF"/>
                <w:sz w:val="18"/>
                <w:szCs w:val="18"/>
              </w:rPr>
              <w:t>Ranger Status</w:t>
            </w:r>
          </w:p>
        </w:tc>
      </w:tr>
      <w:tr>
        <w:trPr/>
        <w:tc>
          <w:tcPr>
            <w:tcW w:w="1617" w:type="dxa"/>
            <w:gridSpan w:val="2"/>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Fixed Dollar</w:t>
            </w:r>
          </w:p>
        </w:tc>
        <w:tc>
          <w:tcPr>
            <w:tcW w:w="196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Exit at entry ± N dollars</w:t>
            </w:r>
          </w:p>
        </w:tc>
        <w:tc>
          <w:tcPr>
            <w:tcW w:w="173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Simple, predictable</w:t>
            </w:r>
          </w:p>
        </w:tc>
        <w:tc>
          <w:tcPr>
            <w:tcW w:w="208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Doesn't adapt to volatility</w:t>
            </w:r>
          </w:p>
        </w:tc>
        <w:tc>
          <w:tcPr>
            <w:tcW w:w="196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FixedSLTicks — implemented</w:t>
            </w:r>
          </w:p>
        </w:tc>
      </w:tr>
      <w:tr>
        <w:trPr/>
        <w:tc>
          <w:tcPr>
            <w:tcW w:w="1617" w:type="dxa"/>
            <w:gridSpan w:val="2"/>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ATR-based</w:t>
            </w:r>
          </w:p>
        </w:tc>
        <w:tc>
          <w:tcPr>
            <w:tcW w:w="196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Exit at entry ± N × ATR</w:t>
            </w:r>
          </w:p>
        </w:tc>
        <w:tc>
          <w:tcPr>
            <w:tcW w:w="173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Volatility-adaptive</w:t>
            </w:r>
          </w:p>
        </w:tc>
        <w:tc>
          <w:tcPr>
            <w:tcW w:w="20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Requires ATR calculation</w:t>
            </w:r>
          </w:p>
        </w:tc>
        <w:tc>
          <w:tcPr>
            <w:tcW w:w="196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SLATRMultiplier — implemented</w:t>
            </w:r>
          </w:p>
        </w:tc>
      </w:tr>
      <w:tr>
        <w:trPr/>
        <w:tc>
          <w:tcPr>
            <w:tcW w:w="1617" w:type="dxa"/>
            <w:gridSpan w:val="2"/>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Trailing</w:t>
            </w:r>
          </w:p>
        </w:tc>
        <w:tc>
          <w:tcPr>
            <w:tcW w:w="196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Move stop as price improves</w:t>
            </w:r>
          </w:p>
        </w:tc>
        <w:tc>
          <w:tcPr>
            <w:tcW w:w="173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Captures trends</w:t>
            </w:r>
          </w:p>
        </w:tc>
        <w:tc>
          <w:tcPr>
            <w:tcW w:w="208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Can exit on normal pullbacks</w:t>
            </w:r>
          </w:p>
        </w:tc>
        <w:tc>
          <w:tcPr>
            <w:tcW w:w="196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FixedStopTrail 4-stage — implemented</w:t>
            </w:r>
          </w:p>
        </w:tc>
      </w:tr>
      <w:tr>
        <w:trPr/>
        <w:tc>
          <w:tcPr>
            <w:tcW w:w="1617" w:type="dxa"/>
            <w:gridSpan w:val="2"/>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Breakeven</w:t>
            </w:r>
          </w:p>
        </w:tc>
        <w:tc>
          <w:tcPr>
            <w:tcW w:w="196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Move to entry once at 1× risk</w:t>
            </w:r>
          </w:p>
        </w:tc>
        <w:tc>
          <w:tcPr>
            <w:tcW w:w="173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Free ride after 1R</w:t>
            </w:r>
          </w:p>
        </w:tc>
        <w:tc>
          <w:tcPr>
            <w:tcW w:w="20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Often exits before target</w:t>
            </w:r>
          </w:p>
        </w:tc>
        <w:tc>
          <w:tcPr>
            <w:tcW w:w="196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BETriggerTicks — implemented</w:t>
            </w:r>
          </w:p>
        </w:tc>
      </w:tr>
      <w:tr>
        <w:trPr/>
        <w:tc>
          <w:tcPr>
            <w:tcW w:w="1617" w:type="dxa"/>
            <w:gridSpan w:val="2"/>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Time-based</w:t>
            </w:r>
          </w:p>
        </w:tc>
        <w:tc>
          <w:tcPr>
            <w:tcW w:w="196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Exit after N bars regardless</w:t>
            </w:r>
          </w:p>
        </w:tc>
        <w:tc>
          <w:tcPr>
            <w:tcW w:w="173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Limits exposure</w:t>
            </w:r>
          </w:p>
        </w:tc>
        <w:tc>
          <w:tcPr>
            <w:tcW w:w="208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Misses trends, cuts winners</w:t>
            </w:r>
          </w:p>
        </w:tc>
        <w:tc>
          <w:tcPr>
            <w:tcW w:w="196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Via RTHWindowEnd (indirect)</w:t>
            </w:r>
          </w:p>
        </w:tc>
      </w:tr>
      <w:tr>
        <w:trPr/>
        <w:tc>
          <w:tcPr>
            <w:tcW w:w="480" w:type="dxa"/>
            <w:tcBorders>
              <w:top w:val="single" w:sz="2" w:space="0" w:color="CCCCCC"/>
              <w:start w:val="single" w:sz="2" w:space="0" w:color="CCCCCC"/>
              <w:bottom w:val="single" w:sz="2" w:space="0" w:color="CCCCCC"/>
              <w:end w:val="single" w:sz="2" w:space="0" w:color="CCCCCC"/>
            </w:tcBorders>
            <w:shd w:fill="E65100" w:val="clear"/>
            <w:tcMar>
              <w:start w:w="80" w:type="dxa"/>
              <w:end w:w="80" w:type="dxa"/>
            </w:tcMar>
          </w:tcPr>
          <w:p>
            <w:pPr>
              <w:pStyle w:val="Normal"/>
              <w:jc w:val="center"/>
              <w:rPr/>
            </w:pPr>
            <w:r>
              <w:rPr>
                <w:rFonts w:eastAsia="Arial" w:cs="Arial"/>
                <w:b/>
                <w:bCs/>
                <w:color w:val="FFFFFF"/>
                <w:sz w:val="18"/>
                <w:szCs w:val="18"/>
              </w:rPr>
              <w:t>DAVEY FINDING</w:t>
            </w:r>
          </w:p>
        </w:tc>
        <w:tc>
          <w:tcPr>
            <w:tcW w:w="8880" w:type="dxa"/>
            <w:gridSpan w:val="5"/>
            <w:tcBorders>
              <w:top w:val="single" w:sz="2" w:space="0" w:color="2E75B6"/>
              <w:start w:val="single" w:sz="4" w:space="0" w:color="2E75B6"/>
              <w:bottom w:val="single" w:sz="2" w:space="0" w:color="2E75B6"/>
              <w:end w:val="single" w:sz="2" w:space="0" w:color="2E75B6"/>
            </w:tcBorders>
            <w:shd w:fill="EEF4FB" w:val="clear"/>
          </w:tcPr>
          <w:p>
            <w:pPr>
              <w:pStyle w:val="Normal"/>
              <w:rPr/>
            </w:pPr>
            <w:r>
              <w:rPr>
                <w:rFonts w:eastAsia="Arial" w:cs="Arial"/>
                <w:i/>
                <w:iCs/>
                <w:sz w:val="19"/>
                <w:szCs w:val="19"/>
              </w:rPr>
              <w:t>Breakeven stops always limit profit potential — they typically exit on the first normal pullback before the real target. Use them only when you want to free-ride a smaller portion of the trade. Davey's own systems avoid breakeven stops unless the R:R is already achieved.</w:t>
            </w:r>
          </w:p>
        </w:tc>
      </w:tr>
    </w:tbl>
    <w:p>
      <w:pPr>
        <w:pStyle w:val="Heading3"/>
        <w:rPr/>
      </w:pPr>
      <w:r>
        <w:rPr>
          <w:rFonts w:eastAsia="Arial" w:cs="Arial" w:ascii="Arial" w:hAnsi="Arial"/>
          <w:b/>
          <w:bCs/>
          <w:color w:val="00695C"/>
          <w:sz w:val="24"/>
          <w:szCs w:val="24"/>
        </w:rPr>
        <w:t>Walk-Forward — Davey's Practical Guidance</w:t>
      </w:r>
    </w:p>
    <w:p>
      <w:pPr>
        <w:pStyle w:val="ListParagraph"/>
        <w:numPr>
          <w:ilvl w:val="0"/>
          <w:numId w:val="1"/>
        </w:numPr>
        <w:spacing w:before="0" w:after="80"/>
        <w:ind w:hanging="260" w:start="540"/>
        <w:rPr/>
      </w:pPr>
      <w:r>
        <w:rPr>
          <w:rFonts w:eastAsia="Arial" w:cs="Arial"/>
          <w:sz w:val="20"/>
          <w:szCs w:val="20"/>
        </w:rPr>
        <w:t>IS period should be 4–5× OOS period (5:1 ratio — matches SSML recommendation)</w:t>
      </w:r>
    </w:p>
    <w:p>
      <w:pPr>
        <w:pStyle w:val="ListParagraph"/>
        <w:numPr>
          <w:ilvl w:val="0"/>
          <w:numId w:val="1"/>
        </w:numPr>
        <w:spacing w:before="0" w:after="80"/>
        <w:ind w:hanging="260" w:start="540"/>
        <w:rPr/>
      </w:pPr>
      <w:r>
        <w:rPr>
          <w:rFonts w:eastAsia="Arial" w:cs="Arial"/>
          <w:sz w:val="20"/>
          <w:szCs w:val="20"/>
        </w:rPr>
        <w:t>Run at least 5 walk-forward windows before trusting results</w:t>
      </w:r>
    </w:p>
    <w:p>
      <w:pPr>
        <w:pStyle w:val="ListParagraph"/>
        <w:numPr>
          <w:ilvl w:val="0"/>
          <w:numId w:val="1"/>
        </w:numPr>
        <w:spacing w:before="0" w:after="80"/>
        <w:ind w:hanging="260" w:start="540"/>
        <w:rPr/>
      </w:pPr>
      <w:r>
        <w:rPr>
          <w:rFonts w:eastAsia="Arial" w:cs="Arial"/>
          <w:sz w:val="20"/>
          <w:szCs w:val="20"/>
        </w:rPr>
        <w:t>If walk-forward OOS equity curve is significantly worse than IS: system is curve-fitted — discard it</w:t>
      </w:r>
    </w:p>
    <w:p>
      <w:pPr>
        <w:pStyle w:val="ListParagraph"/>
        <w:numPr>
          <w:ilvl w:val="0"/>
          <w:numId w:val="1"/>
        </w:numPr>
        <w:spacing w:before="0" w:after="80"/>
        <w:ind w:hanging="260" w:start="540"/>
        <w:rPr/>
      </w:pPr>
      <w:r>
        <w:rPr>
          <w:rFonts w:eastAsia="Arial" w:cs="Arial"/>
          <w:sz w:val="20"/>
          <w:szCs w:val="20"/>
        </w:rPr>
        <w:t>Calmar ratio (CAGR / max drawdown) is Davey's preferred metric alongside Sharpe — focuses on tail risk</w:t>
      </w:r>
    </w:p>
    <w:p>
      <w:pPr>
        <w:pStyle w:val="Normal"/>
        <w:rPr/>
      </w:pPr>
      <w:r>
        <w:rPr/>
      </w:r>
    </w:p>
    <w:p>
      <w:pPr>
        <w:pStyle w:val="Heading2"/>
        <w:rPr/>
      </w:pPr>
      <w:r>
        <w:rPr>
          <w:rFonts w:eastAsia="Arial" w:cs="Arial" w:ascii="Arial" w:hAnsi="Arial"/>
          <w:b/>
          <w:bCs/>
          <w:color w:val="2E75B6"/>
          <w:sz w:val="28"/>
          <w:szCs w:val="28"/>
        </w:rPr>
        <w:t>2.3  High-Frequency Trading — Irene Aldridge</w:t>
      </w:r>
    </w:p>
    <w:p>
      <w:pPr>
        <w:pStyle w:val="Normal"/>
        <w:spacing w:before="0" w:after="120"/>
        <w:rPr/>
      </w:pPr>
      <w:r>
        <w:rPr>
          <w:rFonts w:eastAsia="Arial" w:cs="Arial"/>
          <w:sz w:val="20"/>
          <w:szCs w:val="20"/>
        </w:rPr>
        <w:t>Aldridge's HFT book focuses on sub-second strategies and market microstructure. Most of the latency-specific content (co-location, FPGA execution, tick-level order books) is not applicable to Ranger's 15-minute intraday timeframe. However, several microstructure findings apply directly.</w:t>
      </w:r>
    </w:p>
    <w:p>
      <w:pPr>
        <w:pStyle w:val="Heading3"/>
        <w:rPr/>
      </w:pPr>
      <w:r>
        <w:rPr>
          <w:rFonts w:eastAsia="Arial" w:cs="Arial" w:ascii="Arial" w:hAnsi="Arial"/>
          <w:b/>
          <w:bCs/>
          <w:color w:val="00695C"/>
          <w:sz w:val="24"/>
          <w:szCs w:val="24"/>
        </w:rPr>
        <w:t>Bid-Ask Spread Cycles — Timing Signal</w:t>
      </w:r>
    </w:p>
    <w:p>
      <w:pPr>
        <w:pStyle w:val="Normal"/>
        <w:spacing w:before="0" w:after="120"/>
        <w:rPr/>
      </w:pPr>
      <w:r>
        <w:rPr>
          <w:rFonts w:eastAsia="Arial" w:cs="Arial"/>
          <w:sz w:val="20"/>
          <w:szCs w:val="20"/>
        </w:rPr>
        <w:t>Bid-ask spreads follow a predictable intraday cycle: widest at the open (first 15–30 minutes of RTH), narrow during mid-morning, widen again around news releases, narrow in the afternoon. Wide spreads indicate elevated uncertainty — entering during wide-spread periods increases adverse selection risk.</w:t>
      </w:r>
    </w:p>
    <w:tbl>
      <w:tblPr>
        <w:tblW w:w="9360" w:type="dxa"/>
        <w:jc w:val="start"/>
        <w:tblInd w:w="0" w:type="dxa"/>
        <w:tblLayout w:type="fixed"/>
        <w:tblCellMar>
          <w:top w:w="80" w:type="dxa"/>
          <w:start w:w="80" w:type="dxa"/>
          <w:bottom w:w="80" w:type="dxa"/>
          <w:end w:w="80" w:type="dxa"/>
        </w:tblCellMar>
      </w:tblPr>
      <w:tblGrid>
        <w:gridCol w:w="480"/>
        <w:gridCol w:w="8880"/>
      </w:tblGrid>
      <w:tr>
        <w:trPr/>
        <w:tc>
          <w:tcPr>
            <w:tcW w:w="480"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18"/>
                <w:szCs w:val="18"/>
              </w:rPr>
              <w:t>IMPL NOTE</w:t>
            </w:r>
          </w:p>
        </w:tc>
        <w:tc>
          <w:tcPr>
            <w:tcW w:w="8880" w:type="dxa"/>
            <w:tcBorders>
              <w:top w:val="single" w:sz="2" w:space="0" w:color="2E75B6"/>
              <w:start w:val="single" w:sz="4" w:space="0" w:color="2E75B6"/>
              <w:bottom w:val="single" w:sz="2" w:space="0" w:color="2E75B6"/>
              <w:end w:val="single" w:sz="2" w:space="0" w:color="2E75B6"/>
            </w:tcBorders>
            <w:shd w:fill="EEF4FB" w:val="clear"/>
            <w:tcMar>
              <w:start w:w="120" w:type="dxa"/>
              <w:end w:w="120" w:type="dxa"/>
            </w:tcMar>
          </w:tcPr>
          <w:p>
            <w:pPr>
              <w:pStyle w:val="Normal"/>
              <w:rPr/>
            </w:pPr>
            <w:r>
              <w:rPr>
                <w:rFonts w:eastAsia="Arial" w:cs="Arial"/>
                <w:i/>
                <w:iCs/>
                <w:sz w:val="19"/>
                <w:szCs w:val="19"/>
              </w:rPr>
              <w:t>Ranger's GlobexWarmupBars already suppresses entries in the first 60 minutes of the session — this directly implements Aldridge's recommendation to avoid the wide-spread opening window without needing bid-ask data.</w:t>
            </w:r>
          </w:p>
        </w:tc>
      </w:tr>
    </w:tbl>
    <w:p>
      <w:pPr>
        <w:pStyle w:val="Heading3"/>
        <w:rPr/>
      </w:pPr>
      <w:r>
        <w:rPr>
          <w:rFonts w:eastAsia="Arial" w:cs="Arial" w:ascii="Arial" w:hAnsi="Arial"/>
          <w:b/>
          <w:bCs/>
          <w:color w:val="00695C"/>
          <w:sz w:val="24"/>
          <w:szCs w:val="24"/>
        </w:rPr>
        <w:t>Momentum/Reversal Patterns via Autoregression</w:t>
      </w:r>
    </w:p>
    <w:p>
      <w:pPr>
        <w:pStyle w:val="Normal"/>
        <w:spacing w:before="0" w:after="120"/>
        <w:rPr/>
      </w:pPr>
      <w:r>
        <w:rPr>
          <w:rFonts w:eastAsia="Arial" w:cs="Arial"/>
          <w:sz w:val="20"/>
          <w:szCs w:val="20"/>
        </w:rPr>
        <w:t>Aldridge applies ARMA models to detect momentum (positive serial correlation) and reversal (negative serial correlation) patterns in 1-minute data. Coefficients from AR(1)–AR(5) models indicate which regime is active. Positive β coefficients → momentum. Negative β → mean reversion. This is a quantitative version of the Hurst exponent approach from Chan QT.</w:t>
      </w:r>
    </w:p>
    <w:p>
      <w:pPr>
        <w:pStyle w:val="Heading3"/>
        <w:rPr/>
      </w:pPr>
      <w:r>
        <w:rPr>
          <w:rFonts w:eastAsia="Arial" w:cs="Arial" w:ascii="Arial" w:hAnsi="Arial"/>
          <w:b/>
          <w:bCs/>
          <w:color w:val="00695C"/>
          <w:sz w:val="24"/>
          <w:szCs w:val="24"/>
        </w:rPr>
        <w:t>Short-Term Momentum in 1-Minute Bars</w:t>
      </w:r>
    </w:p>
    <w:p>
      <w:pPr>
        <w:pStyle w:val="Normal"/>
        <w:spacing w:before="0" w:after="120"/>
        <w:rPr/>
      </w:pPr>
      <w:r>
        <w:rPr>
          <w:rFonts w:eastAsia="Arial" w:cs="Arial"/>
          <w:sz w:val="20"/>
          <w:szCs w:val="20"/>
        </w:rPr>
        <w:t>Momentum is detectable in 1-minute bars of equity index futures during the first 60 minutes of RTH but decays rapidly — edge window is 1–5 minutes. This validates Ranger's 15-minute chart focus: by the time a signal forms on a 15-minute chart, the 1-minute momentum has either extended significantly or exhausted. The 15-minute signal is capturing the sustained portion of the move, not the initial spike.</w:t>
      </w:r>
    </w:p>
    <w:p>
      <w:pPr>
        <w:pStyle w:val="Heading3"/>
        <w:rPr/>
      </w:pPr>
      <w:r>
        <w:rPr>
          <w:rFonts w:eastAsia="Arial" w:cs="Arial" w:ascii="Arial" w:hAnsi="Arial"/>
          <w:b/>
          <w:bCs/>
          <w:color w:val="00695C"/>
          <w:sz w:val="24"/>
          <w:szCs w:val="24"/>
        </w:rPr>
        <w:t>Order Imbalance Prediction — Confirmation</w:t>
      </w:r>
    </w:p>
    <w:p>
      <w:pPr>
        <w:pStyle w:val="Normal"/>
        <w:spacing w:before="0" w:after="120"/>
        <w:rPr/>
      </w:pPr>
      <w:r>
        <w:rPr>
          <w:rFonts w:eastAsia="Arial" w:cs="Arial"/>
          <w:sz w:val="20"/>
          <w:szCs w:val="20"/>
        </w:rPr>
        <w:t>Confirms AHF (Cartea) findings: order imbalance (bid volume vs ask volume) predicts short-term direction with 55–62% accuracy in liquid futures. Persistent imbalance over 3+ consecutive bars raises accuracy to 60–65%. GetCurrentBidSize() and GetCurrentAskSize() are available in NinjaTrader 8 in real-time.</w:t>
      </w:r>
    </w:p>
    <w:p>
      <w:pPr>
        <w:pStyle w:val="Heading3"/>
        <w:rPr/>
      </w:pPr>
      <w:r>
        <w:rPr>
          <w:rFonts w:eastAsia="Arial" w:cs="Arial" w:ascii="Arial" w:hAnsi="Arial"/>
          <w:b/>
          <w:bCs/>
          <w:color w:val="00695C"/>
          <w:sz w:val="24"/>
          <w:szCs w:val="24"/>
        </w:rPr>
        <w:t>Market Microstructure for Non-HFT Traders</w:t>
      </w:r>
    </w:p>
    <w:tbl>
      <w:tblPr>
        <w:tblW w:w="9360" w:type="dxa"/>
        <w:jc w:val="start"/>
        <w:tblInd w:w="0" w:type="dxa"/>
        <w:tblLayout w:type="fixed"/>
        <w:tblCellMar>
          <w:top w:w="80" w:type="dxa"/>
          <w:start w:w="80" w:type="dxa"/>
          <w:bottom w:w="80" w:type="dxa"/>
          <w:end w:w="80" w:type="dxa"/>
        </w:tblCellMar>
      </w:tblPr>
      <w:tblGrid>
        <w:gridCol w:w="480"/>
        <w:gridCol w:w="8880"/>
      </w:tblGrid>
      <w:tr>
        <w:trPr/>
        <w:tc>
          <w:tcPr>
            <w:tcW w:w="480" w:type="dxa"/>
            <w:tcBorders>
              <w:top w:val="single" w:sz="2" w:space="0" w:color="CCCCCC"/>
              <w:start w:val="single" w:sz="2" w:space="0" w:color="CCCCCC"/>
              <w:bottom w:val="single" w:sz="2" w:space="0" w:color="CCCCCC"/>
              <w:end w:val="single" w:sz="2" w:space="0" w:color="CCCCCC"/>
            </w:tcBorders>
            <w:shd w:fill="4527A0" w:val="clear"/>
          </w:tcPr>
          <w:p>
            <w:pPr>
              <w:pStyle w:val="Normal"/>
              <w:jc w:val="center"/>
              <w:rPr/>
            </w:pPr>
            <w:r>
              <w:rPr>
                <w:rFonts w:eastAsia="Arial" w:cs="Arial"/>
                <w:b/>
                <w:bCs/>
                <w:color w:val="FFFFFF"/>
                <w:sz w:val="18"/>
                <w:szCs w:val="18"/>
              </w:rPr>
              <w:t>KEY FINDING</w:t>
            </w:r>
          </w:p>
        </w:tc>
        <w:tc>
          <w:tcPr>
            <w:tcW w:w="8880" w:type="dxa"/>
            <w:tcBorders>
              <w:top w:val="single" w:sz="2" w:space="0" w:color="2E75B6"/>
              <w:start w:val="single" w:sz="4" w:space="0" w:color="2E75B6"/>
              <w:bottom w:val="single" w:sz="2" w:space="0" w:color="2E75B6"/>
              <w:end w:val="single" w:sz="2" w:space="0" w:color="2E75B6"/>
            </w:tcBorders>
            <w:shd w:fill="EEF4FB" w:val="clear"/>
            <w:tcMar>
              <w:start w:w="120" w:type="dxa"/>
              <w:end w:w="120" w:type="dxa"/>
            </w:tcMar>
          </w:tcPr>
          <w:p>
            <w:pPr>
              <w:pStyle w:val="Normal"/>
              <w:rPr/>
            </w:pPr>
            <w:r>
              <w:rPr>
                <w:rFonts w:eastAsia="Arial" w:cs="Arial"/>
                <w:i/>
                <w:iCs/>
                <w:sz w:val="19"/>
                <w:szCs w:val="19"/>
              </w:rPr>
              <w:t>For strategies operating on 5–15 minute bars, the primary microstructure insight from Aldridge is: avoid entry during the first 15–30 minutes of RTH (wide spreads, informed flow dominance), and avoid entry immediately after large news releases (spread spike, adverse selection peak). Ranger's GlobexWarmupBars and the RTHOpenBlockMins properties address both correctly.</w:t>
            </w:r>
          </w:p>
        </w:tc>
      </w:tr>
    </w:tbl>
    <w:p>
      <w:pPr>
        <w:pStyle w:val="Normal"/>
        <w:rPr/>
      </w:pPr>
      <w:r>
        <w:rPr/>
      </w:r>
    </w:p>
    <w:p>
      <w:pPr>
        <w:pStyle w:val="Heading2"/>
        <w:rPr/>
      </w:pPr>
      <w:r>
        <w:rPr>
          <w:rFonts w:eastAsia="Arial" w:cs="Arial" w:ascii="Arial" w:hAnsi="Arial"/>
          <w:b/>
          <w:bCs/>
          <w:color w:val="2E75B6"/>
          <w:sz w:val="28"/>
          <w:szCs w:val="28"/>
        </w:rPr>
        <w:t>2.4  Artificial Intelligence in Financial Markets — Dunis et al.</w:t>
      </w:r>
    </w:p>
    <w:p>
      <w:pPr>
        <w:pStyle w:val="Heading3"/>
        <w:rPr/>
      </w:pPr>
      <w:r>
        <w:rPr>
          <w:rFonts w:eastAsia="Arial" w:cs="Arial" w:ascii="Arial" w:hAnsi="Arial"/>
          <w:b/>
          <w:bCs/>
          <w:color w:val="00695C"/>
          <w:sz w:val="24"/>
          <w:szCs w:val="24"/>
        </w:rPr>
        <w:t>Ensemble Methods Are the Consistent Winner</w:t>
      </w:r>
    </w:p>
    <w:p>
      <w:pPr>
        <w:pStyle w:val="Normal"/>
        <w:spacing w:before="0" w:after="120"/>
        <w:rPr/>
      </w:pPr>
      <w:r>
        <w:rPr>
          <w:rFonts w:eastAsia="Arial" w:cs="Arial"/>
          <w:sz w:val="20"/>
          <w:szCs w:val="20"/>
        </w:rPr>
        <w:t>AIFM surveys 20+ years of ML applications in finance. The single most consistent finding across all studies: ensemble methods outperform single models. This holds across Neural Networks, SVM, Decision Trees, and hybrid intelligent systems (HIS).</w:t>
      </w:r>
    </w:p>
    <w:tbl>
      <w:tblPr>
        <w:tblW w:w="9360" w:type="dxa"/>
        <w:jc w:val="start"/>
        <w:tblInd w:w="0" w:type="dxa"/>
        <w:tblLayout w:type="fixed"/>
        <w:tblCellMar>
          <w:top w:w="80" w:type="dxa"/>
          <w:start w:w="120" w:type="dxa"/>
          <w:bottom w:w="80" w:type="dxa"/>
          <w:end w:w="120" w:type="dxa"/>
        </w:tblCellMar>
      </w:tblPr>
      <w:tblGrid>
        <w:gridCol w:w="1783"/>
        <w:gridCol w:w="1336"/>
        <w:gridCol w:w="2229"/>
        <w:gridCol w:w="2006"/>
        <w:gridCol w:w="2006"/>
      </w:tblGrid>
      <w:tr>
        <w:trPr>
          <w:tblHeader w:val="true"/>
        </w:trPr>
        <w:tc>
          <w:tcPr>
            <w:tcW w:w="1783" w:type="dxa"/>
            <w:tcBorders>
              <w:top w:val="single" w:sz="2" w:space="0" w:color="CCCCCC"/>
              <w:start w:val="single" w:sz="2" w:space="0" w:color="CCCCCC"/>
              <w:bottom w:val="single" w:sz="2" w:space="0" w:color="CCCCCC"/>
              <w:end w:val="single" w:sz="2" w:space="0" w:color="CCCCCC"/>
            </w:tcBorders>
            <w:shd w:fill="4527A0" w:val="clear"/>
          </w:tcPr>
          <w:p>
            <w:pPr>
              <w:pStyle w:val="Normal"/>
              <w:jc w:val="center"/>
              <w:rPr/>
            </w:pPr>
            <w:r>
              <w:rPr>
                <w:rFonts w:eastAsia="Arial" w:cs="Arial"/>
                <w:b/>
                <w:bCs/>
                <w:color w:val="FFFFFF"/>
                <w:sz w:val="18"/>
                <w:szCs w:val="18"/>
              </w:rPr>
              <w:t>Method</w:t>
            </w:r>
          </w:p>
        </w:tc>
        <w:tc>
          <w:tcPr>
            <w:tcW w:w="1336" w:type="dxa"/>
            <w:tcBorders>
              <w:top w:val="single" w:sz="2" w:space="0" w:color="CCCCCC"/>
              <w:start w:val="single" w:sz="2" w:space="0" w:color="CCCCCC"/>
              <w:bottom w:val="single" w:sz="2" w:space="0" w:color="CCCCCC"/>
              <w:end w:val="single" w:sz="2" w:space="0" w:color="CCCCCC"/>
            </w:tcBorders>
            <w:shd w:fill="4527A0" w:val="clear"/>
          </w:tcPr>
          <w:p>
            <w:pPr>
              <w:pStyle w:val="Normal"/>
              <w:jc w:val="center"/>
              <w:rPr/>
            </w:pPr>
            <w:r>
              <w:rPr>
                <w:rFonts w:eastAsia="Arial" w:cs="Arial"/>
                <w:b/>
                <w:bCs/>
                <w:color w:val="FFFFFF"/>
                <w:sz w:val="18"/>
                <w:szCs w:val="18"/>
              </w:rPr>
              <w:t>Typical Accuracy</w:t>
            </w:r>
          </w:p>
        </w:tc>
        <w:tc>
          <w:tcPr>
            <w:tcW w:w="2229" w:type="dxa"/>
            <w:tcBorders>
              <w:top w:val="single" w:sz="2" w:space="0" w:color="CCCCCC"/>
              <w:start w:val="single" w:sz="2" w:space="0" w:color="CCCCCC"/>
              <w:bottom w:val="single" w:sz="2" w:space="0" w:color="CCCCCC"/>
              <w:end w:val="single" w:sz="2" w:space="0" w:color="CCCCCC"/>
            </w:tcBorders>
            <w:shd w:fill="4527A0" w:val="clear"/>
          </w:tcPr>
          <w:p>
            <w:pPr>
              <w:pStyle w:val="Normal"/>
              <w:jc w:val="center"/>
              <w:rPr/>
            </w:pPr>
            <w:r>
              <w:rPr>
                <w:rFonts w:eastAsia="Arial" w:cs="Arial"/>
                <w:b/>
                <w:bCs/>
                <w:color w:val="FFFFFF"/>
                <w:sz w:val="18"/>
                <w:szCs w:val="18"/>
              </w:rPr>
              <w:t>Strengths</w:t>
            </w:r>
          </w:p>
        </w:tc>
        <w:tc>
          <w:tcPr>
            <w:tcW w:w="2006" w:type="dxa"/>
            <w:tcBorders>
              <w:top w:val="single" w:sz="2" w:space="0" w:color="CCCCCC"/>
              <w:start w:val="single" w:sz="2" w:space="0" w:color="CCCCCC"/>
              <w:bottom w:val="single" w:sz="2" w:space="0" w:color="CCCCCC"/>
              <w:end w:val="single" w:sz="2" w:space="0" w:color="CCCCCC"/>
            </w:tcBorders>
            <w:shd w:fill="4527A0" w:val="clear"/>
          </w:tcPr>
          <w:p>
            <w:pPr>
              <w:pStyle w:val="Normal"/>
              <w:jc w:val="center"/>
              <w:rPr/>
            </w:pPr>
            <w:r>
              <w:rPr>
                <w:rFonts w:eastAsia="Arial" w:cs="Arial"/>
                <w:b/>
                <w:bCs/>
                <w:color w:val="FFFFFF"/>
                <w:sz w:val="18"/>
                <w:szCs w:val="18"/>
              </w:rPr>
              <w:t>Weaknesses</w:t>
            </w:r>
          </w:p>
        </w:tc>
        <w:tc>
          <w:tcPr>
            <w:tcW w:w="2006" w:type="dxa"/>
            <w:tcBorders>
              <w:top w:val="single" w:sz="2" w:space="0" w:color="CCCCCC"/>
              <w:start w:val="single" w:sz="2" w:space="0" w:color="CCCCCC"/>
              <w:bottom w:val="single" w:sz="2" w:space="0" w:color="CCCCCC"/>
              <w:end w:val="single" w:sz="2" w:space="0" w:color="CCCCCC"/>
            </w:tcBorders>
            <w:shd w:fill="4527A0" w:val="clear"/>
          </w:tcPr>
          <w:p>
            <w:pPr>
              <w:pStyle w:val="Normal"/>
              <w:jc w:val="center"/>
              <w:rPr/>
            </w:pPr>
            <w:r>
              <w:rPr>
                <w:rFonts w:eastAsia="Arial" w:cs="Arial"/>
                <w:b/>
                <w:bCs/>
                <w:color w:val="FFFFFF"/>
                <w:sz w:val="18"/>
                <w:szCs w:val="18"/>
              </w:rPr>
              <w:t>AlgoTrader Relevance</w:t>
            </w:r>
          </w:p>
        </w:tc>
      </w:tr>
      <w:tr>
        <w:trPr/>
        <w:tc>
          <w:tcPr>
            <w:tcW w:w="178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Logistic Regression</w:t>
            </w:r>
          </w:p>
        </w:tc>
        <w:tc>
          <w:tcPr>
            <w:tcW w:w="1336"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55–62%</w:t>
            </w:r>
          </w:p>
        </w:tc>
        <w:tc>
          <w:tcPr>
            <w:tcW w:w="222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Interpretable, fast, calibrated probabilities</w:t>
            </w:r>
          </w:p>
        </w:tc>
        <w:tc>
          <w:tcPr>
            <w:tcW w:w="2006"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Linear only, misses complex patterns</w:t>
            </w:r>
          </w:p>
        </w:tc>
        <w:tc>
          <w:tcPr>
            <w:tcW w:w="2006"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Current meta-label model — baseline</w:t>
            </w:r>
          </w:p>
        </w:tc>
      </w:tr>
      <w:tr>
        <w:trPr/>
        <w:tc>
          <w:tcPr>
            <w:tcW w:w="178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Random Forest</w:t>
            </w:r>
          </w:p>
        </w:tc>
        <w:tc>
          <w:tcPr>
            <w:tcW w:w="1336"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58–66%</w:t>
            </w:r>
          </w:p>
        </w:tc>
        <w:tc>
          <w:tcPr>
            <w:tcW w:w="222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Non-linear, handles missing data, importance scores</w:t>
            </w:r>
          </w:p>
        </w:tc>
        <w:tc>
          <w:tcPr>
            <w:tcW w:w="2006"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Slower, requires more training data</w:t>
            </w:r>
          </w:p>
        </w:tc>
        <w:tc>
          <w:tcPr>
            <w:tcW w:w="2006"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AlgoTrainer.py primary model</w:t>
            </w:r>
          </w:p>
        </w:tc>
      </w:tr>
      <w:tr>
        <w:trPr/>
        <w:tc>
          <w:tcPr>
            <w:tcW w:w="178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SVM</w:t>
            </w:r>
          </w:p>
        </w:tc>
        <w:tc>
          <w:tcPr>
            <w:tcW w:w="1336"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57–64%</w:t>
            </w:r>
          </w:p>
        </w:tc>
        <w:tc>
          <w:tcPr>
            <w:tcW w:w="222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Effective in high dimensions, kernel trick</w:t>
            </w:r>
          </w:p>
        </w:tc>
        <w:tc>
          <w:tcPr>
            <w:tcW w:w="2006"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Slow on large datasets, no probability natively</w:t>
            </w:r>
          </w:p>
        </w:tc>
        <w:tc>
          <w:tcPr>
            <w:tcW w:w="2006"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Alternative to RF for classification</w:t>
            </w:r>
          </w:p>
        </w:tc>
      </w:tr>
      <w:tr>
        <w:trPr/>
        <w:tc>
          <w:tcPr>
            <w:tcW w:w="178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Neural Network (MLP)</w:t>
            </w:r>
          </w:p>
        </w:tc>
        <w:tc>
          <w:tcPr>
            <w:tcW w:w="1336"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56–68%</w:t>
            </w:r>
          </w:p>
        </w:tc>
        <w:tc>
          <w:tcPr>
            <w:tcW w:w="222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Universal function approximator</w:t>
            </w:r>
          </w:p>
        </w:tc>
        <w:tc>
          <w:tcPr>
            <w:tcW w:w="2006"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Overfits easily, requires large data</w:t>
            </w:r>
          </w:p>
        </w:tc>
        <w:tc>
          <w:tcPr>
            <w:tcW w:w="2006"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Overkill for &lt;500 trades/year</w:t>
            </w:r>
          </w:p>
        </w:tc>
      </w:tr>
      <w:tr>
        <w:trPr/>
        <w:tc>
          <w:tcPr>
            <w:tcW w:w="178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Ensemble (RF + LR)</w:t>
            </w:r>
          </w:p>
        </w:tc>
        <w:tc>
          <w:tcPr>
            <w:tcW w:w="1336"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60–70%</w:t>
            </w:r>
          </w:p>
        </w:tc>
        <w:tc>
          <w:tcPr>
            <w:tcW w:w="222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Best calibration, most stable OOS</w:t>
            </w:r>
          </w:p>
        </w:tc>
        <w:tc>
          <w:tcPr>
            <w:tcW w:w="2006"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More complex pipeline</w:t>
            </w:r>
          </w:p>
        </w:tc>
        <w:tc>
          <w:tcPr>
            <w:tcW w:w="2006"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RECOMMENDED upgrade</w:t>
            </w:r>
          </w:p>
        </w:tc>
      </w:tr>
      <w:tr>
        <w:trPr/>
        <w:tc>
          <w:tcPr>
            <w:tcW w:w="178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Genetic Algorithm</w:t>
            </w:r>
          </w:p>
        </w:tc>
        <w:tc>
          <w:tcPr>
            <w:tcW w:w="1336"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N/A for prediction</w:t>
            </w:r>
          </w:p>
        </w:tc>
        <w:tc>
          <w:tcPr>
            <w:tcW w:w="222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Parameter optimization, feature selection</w:t>
            </w:r>
          </w:p>
        </w:tc>
        <w:tc>
          <w:tcPr>
            <w:tcW w:w="2006"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Slow, complex, easy to overfit</w:t>
            </w:r>
          </w:p>
        </w:tc>
        <w:tc>
          <w:tcPr>
            <w:tcW w:w="2006"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Useful for FixedTPTicks optimization</w:t>
            </w:r>
          </w:p>
        </w:tc>
      </w:tr>
    </w:tbl>
    <w:p>
      <w:pPr>
        <w:pStyle w:val="Heading3"/>
        <w:rPr/>
      </w:pPr>
      <w:r>
        <w:rPr>
          <w:rFonts w:eastAsia="Arial" w:cs="Arial" w:ascii="Arial" w:hAnsi="Arial"/>
          <w:b/>
          <w:bCs/>
          <w:color w:val="00695C"/>
          <w:sz w:val="24"/>
          <w:szCs w:val="24"/>
        </w:rPr>
        <w:t>Neural Networks for Risk Management</w:t>
      </w:r>
    </w:p>
    <w:p>
      <w:pPr>
        <w:pStyle w:val="Normal"/>
        <w:spacing w:before="0" w:after="120"/>
        <w:rPr/>
      </w:pPr>
      <w:r>
        <w:rPr>
          <w:rFonts w:eastAsia="Arial" w:cs="Arial"/>
          <w:sz w:val="20"/>
          <w:szCs w:val="20"/>
        </w:rPr>
        <w:t>AIFM documents successful NN applications for credit risk (bankruptcy prediction), volatility forecasting, and portfolio optimization. For AlgoTrader: NN-based volatility forecasting could replace ATR(25) as the InstrumentVolDollars input in Carver's sizing formula, producing more accurate daily vol estimates. However, this requires historical daily data and is a Phase 5+ enhancement.</w:t>
      </w:r>
    </w:p>
    <w:p>
      <w:pPr>
        <w:pStyle w:val="Heading3"/>
        <w:rPr/>
      </w:pPr>
      <w:r>
        <w:rPr>
          <w:rFonts w:eastAsia="Arial" w:cs="Arial" w:ascii="Arial" w:hAnsi="Arial"/>
          <w:b/>
          <w:bCs/>
          <w:color w:val="00695C"/>
          <w:sz w:val="24"/>
          <w:szCs w:val="24"/>
        </w:rPr>
        <w:t>Key Recommendation for AlgoTrader</w:t>
      </w:r>
    </w:p>
    <w:tbl>
      <w:tblPr>
        <w:tblW w:w="9360" w:type="dxa"/>
        <w:jc w:val="start"/>
        <w:tblInd w:w="0" w:type="dxa"/>
        <w:tblLayout w:type="fixed"/>
        <w:tblCellMar>
          <w:top w:w="80" w:type="dxa"/>
          <w:start w:w="80" w:type="dxa"/>
          <w:bottom w:w="80" w:type="dxa"/>
          <w:end w:w="80" w:type="dxa"/>
        </w:tblCellMar>
      </w:tblPr>
      <w:tblGrid>
        <w:gridCol w:w="480"/>
        <w:gridCol w:w="8880"/>
      </w:tblGrid>
      <w:tr>
        <w:trPr/>
        <w:tc>
          <w:tcPr>
            <w:tcW w:w="480" w:type="dxa"/>
            <w:tcBorders>
              <w:top w:val="single" w:sz="2" w:space="0" w:color="CCCCCC"/>
              <w:start w:val="single" w:sz="2" w:space="0" w:color="CCCCCC"/>
              <w:bottom w:val="single" w:sz="2" w:space="0" w:color="CCCCCC"/>
              <w:end w:val="single" w:sz="2" w:space="0" w:color="CCCCCC"/>
            </w:tcBorders>
            <w:shd w:fill="1B5E20" w:val="clear"/>
          </w:tcPr>
          <w:p>
            <w:pPr>
              <w:pStyle w:val="Normal"/>
              <w:jc w:val="center"/>
              <w:rPr/>
            </w:pPr>
            <w:r>
              <w:rPr>
                <w:rFonts w:eastAsia="Arial" w:cs="Arial"/>
                <w:b/>
                <w:bCs/>
                <w:color w:val="FFFFFF"/>
                <w:sz w:val="18"/>
                <w:szCs w:val="18"/>
              </w:rPr>
              <w:t>AIFM CONSENSUS</w:t>
            </w:r>
          </w:p>
        </w:tc>
        <w:tc>
          <w:tcPr>
            <w:tcW w:w="8880" w:type="dxa"/>
            <w:tcBorders>
              <w:top w:val="single" w:sz="2" w:space="0" w:color="2E75B6"/>
              <w:start w:val="single" w:sz="4" w:space="0" w:color="2E75B6"/>
              <w:bottom w:val="single" w:sz="2" w:space="0" w:color="2E75B6"/>
              <w:end w:val="single" w:sz="2" w:space="0" w:color="2E75B6"/>
            </w:tcBorders>
            <w:shd w:fill="EEF4FB" w:val="clear"/>
            <w:tcMar>
              <w:start w:w="120" w:type="dxa"/>
              <w:end w:w="120" w:type="dxa"/>
            </w:tcMar>
          </w:tcPr>
          <w:p>
            <w:pPr>
              <w:pStyle w:val="Normal"/>
              <w:rPr/>
            </w:pPr>
            <w:r>
              <w:rPr>
                <w:rFonts w:eastAsia="Arial" w:cs="Arial"/>
                <w:i/>
                <w:iCs/>
                <w:sz w:val="19"/>
                <w:szCs w:val="19"/>
              </w:rPr>
              <w:t>Combine the existing logistic regression meta-label model with the Random Forest model in AlgoTrainer.py. Use a simple ensemble: P_ensemble = 0.4 × P_logistic + 0.6 × P_random_forest. The RF gets higher weight because it handles non-linear feature interactions (e.g., high ADX AND high slope angle simultaneously). Retrain the ensemble monthly on the last 6 months of trade logs.</w:t>
            </w:r>
          </w:p>
        </w:tc>
      </w:tr>
    </w:tbl>
    <w:p>
      <w:pPr>
        <w:pStyle w:val="Normal"/>
        <w:rPr/>
      </w:pPr>
      <w:r>
        <w:rPr/>
      </w:r>
    </w:p>
    <w:p>
      <w:pPr>
        <w:pStyle w:val="Heading2"/>
        <w:rPr/>
      </w:pPr>
      <w:r>
        <w:rPr>
          <w:rFonts w:eastAsia="Arial" w:cs="Arial" w:ascii="Arial" w:hAnsi="Arial"/>
          <w:b/>
          <w:bCs/>
          <w:color w:val="2E75B6"/>
          <w:sz w:val="28"/>
          <w:szCs w:val="28"/>
        </w:rPr>
        <w:t>2.5  Machine Trading — Ernest P. Chan</w:t>
      </w:r>
    </w:p>
    <w:p>
      <w:pPr>
        <w:pStyle w:val="Heading3"/>
        <w:rPr/>
      </w:pPr>
      <w:r>
        <w:rPr>
          <w:rFonts w:eastAsia="Arial" w:cs="Arial" w:ascii="Arial" w:hAnsi="Arial"/>
          <w:b/>
          <w:bCs/>
          <w:color w:val="00695C"/>
          <w:sz w:val="24"/>
          <w:szCs w:val="24"/>
        </w:rPr>
        <w:t>Kelly/Sharpe Equivalence Proof</w:t>
      </w:r>
    </w:p>
    <w:p>
      <w:pPr>
        <w:pStyle w:val="Normal"/>
        <w:spacing w:before="0" w:after="120"/>
        <w:rPr/>
      </w:pPr>
      <w:r>
        <w:rPr>
          <w:rFonts w:eastAsia="Arial" w:cs="Arial"/>
          <w:sz w:val="20"/>
          <w:szCs w:val="20"/>
        </w:rPr>
        <w:t>Chan's Machine Trading provides the formal proof that maximizing the Kelly criterion is equivalent to maximizing the Sharpe ratio under a fixed-leverage constraint. This has a direct implication: the portfolio that maximizes Sharpe ratio is the Kelly-optimal portfolio. For AlgoTrader: optimizing the strategy to maximize Sharpe ratio in OOS validation is simultaneously optimizing for Kelly-optimal sizing.</w:t>
      </w:r>
    </w:p>
    <w:tbl>
      <w:tblPr>
        <w:tblW w:w="9360" w:type="dxa"/>
        <w:jc w:val="start"/>
        <w:tblInd w:w="0" w:type="dxa"/>
        <w:tblLayout w:type="fixed"/>
        <w:tblCellMar>
          <w:top w:w="80" w:type="dxa"/>
          <w:start w:w="80" w:type="dxa"/>
          <w:bottom w:w="80" w:type="dxa"/>
          <w:end w:w="80" w:type="dxa"/>
        </w:tblCellMar>
      </w:tblPr>
      <w:tblGrid>
        <w:gridCol w:w="480"/>
        <w:gridCol w:w="8880"/>
      </w:tblGrid>
      <w:tr>
        <w:trPr/>
        <w:tc>
          <w:tcPr>
            <w:tcW w:w="480"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18"/>
                <w:szCs w:val="18"/>
              </w:rPr>
              <w:t>KEY PROOF</w:t>
            </w:r>
          </w:p>
        </w:tc>
        <w:tc>
          <w:tcPr>
            <w:tcW w:w="8880" w:type="dxa"/>
            <w:tcBorders>
              <w:top w:val="single" w:sz="2" w:space="0" w:color="2E75B6"/>
              <w:start w:val="single" w:sz="4" w:space="0" w:color="2E75B6"/>
              <w:bottom w:val="single" w:sz="2" w:space="0" w:color="2E75B6"/>
              <w:end w:val="single" w:sz="2" w:space="0" w:color="2E75B6"/>
            </w:tcBorders>
            <w:shd w:fill="EEF4FB" w:val="clear"/>
            <w:tcMar>
              <w:start w:w="120" w:type="dxa"/>
              <w:end w:w="120" w:type="dxa"/>
            </w:tcMar>
          </w:tcPr>
          <w:p>
            <w:pPr>
              <w:pStyle w:val="Normal"/>
              <w:rPr/>
            </w:pPr>
            <w:r>
              <w:rPr>
                <w:rFonts w:eastAsia="Arial" w:cs="Arial"/>
                <w:i/>
                <w:iCs/>
                <w:sz w:val="19"/>
                <w:szCs w:val="19"/>
              </w:rPr>
              <w:t>Maximizing Sharpe = Maximizing Kelly growth rate (under fixed leverage). Therefore: the parameter set that maximizes OOS Sharpe ratio is also the Kelly-optimal parameter set. You don't need to separately compute Kelly optimal — just optimize for Sharpe ratio and you have both simultaneously.</w:t>
            </w:r>
          </w:p>
        </w:tc>
      </w:tr>
    </w:tbl>
    <w:p>
      <w:pPr>
        <w:pStyle w:val="Heading3"/>
        <w:rPr/>
      </w:pPr>
      <w:r>
        <w:rPr>
          <w:rFonts w:eastAsia="Arial" w:cs="Arial" w:ascii="Arial" w:hAnsi="Arial"/>
          <w:b/>
          <w:bCs/>
          <w:color w:val="00695C"/>
          <w:sz w:val="24"/>
          <w:szCs w:val="24"/>
        </w:rPr>
        <w:t>Calmar Ratio as Primary Performance Metric</w:t>
      </w:r>
    </w:p>
    <w:p>
      <w:pPr>
        <w:pStyle w:val="Normal"/>
        <w:spacing w:before="0" w:after="120"/>
        <w:rPr/>
      </w:pPr>
      <w:r>
        <w:rPr>
          <w:rFonts w:eastAsia="Arial" w:cs="Arial"/>
          <w:sz w:val="20"/>
          <w:szCs w:val="20"/>
        </w:rPr>
        <w:t>Chan recommends the Calmar ratio (CAGR / |maximum drawdown over 3 years|) as the preferred metric over Sharpe for trending/directional strategies, because Sharpe penalizes upside volatility equally with downside — which is incorrect for a strategy designed to capture directional moves.</w:t>
      </w:r>
    </w:p>
    <w:p>
      <w:pPr>
        <w:pStyle w:val="ListParagraph"/>
        <w:numPr>
          <w:ilvl w:val="0"/>
          <w:numId w:val="1"/>
        </w:numPr>
        <w:spacing w:before="0" w:after="80"/>
        <w:ind w:hanging="260" w:start="540"/>
        <w:rPr/>
      </w:pPr>
      <w:r>
        <w:rPr>
          <w:rFonts w:eastAsia="Arial" w:cs="Arial"/>
          <w:sz w:val="20"/>
          <w:szCs w:val="20"/>
        </w:rPr>
        <w:t>Calmar ratio normalizes for 3-year period — length-independent unlike raw Sharpe</w:t>
      </w:r>
    </w:p>
    <w:p>
      <w:pPr>
        <w:pStyle w:val="ListParagraph"/>
        <w:numPr>
          <w:ilvl w:val="0"/>
          <w:numId w:val="1"/>
        </w:numPr>
        <w:spacing w:before="0" w:after="80"/>
        <w:ind w:hanging="260" w:start="540"/>
        <w:rPr/>
      </w:pPr>
      <w:r>
        <w:rPr>
          <w:rFonts w:eastAsia="Arial" w:cs="Arial"/>
          <w:sz w:val="20"/>
          <w:szCs w:val="20"/>
        </w:rPr>
        <w:t>Target Calmar &gt; 1.0 for a viable strategy (CAGR exceeds max drawdown)</w:t>
      </w:r>
    </w:p>
    <w:p>
      <w:pPr>
        <w:pStyle w:val="ListParagraph"/>
        <w:numPr>
          <w:ilvl w:val="0"/>
          <w:numId w:val="1"/>
        </w:numPr>
        <w:spacing w:before="0" w:after="80"/>
        <w:ind w:hanging="260" w:start="540"/>
        <w:rPr/>
      </w:pPr>
      <w:r>
        <w:rPr>
          <w:rFonts w:eastAsia="Arial" w:cs="Arial"/>
          <w:sz w:val="20"/>
          <w:szCs w:val="20"/>
        </w:rPr>
        <w:t>Target Calmar &gt; 2.0 for a high-quality systematic strategy</w:t>
      </w:r>
    </w:p>
    <w:p>
      <w:pPr>
        <w:pStyle w:val="ListParagraph"/>
        <w:numPr>
          <w:ilvl w:val="0"/>
          <w:numId w:val="1"/>
        </w:numPr>
        <w:spacing w:before="0" w:after="80"/>
        <w:ind w:hanging="260" w:start="540"/>
        <w:rPr/>
      </w:pPr>
      <w:r>
        <w:rPr>
          <w:rFonts w:eastAsia="Arial" w:cs="Arial"/>
          <w:sz w:val="20"/>
          <w:szCs w:val="20"/>
        </w:rPr>
        <w:t>Ranger's trade logger should add Calmar computation to the session summary</w:t>
      </w:r>
    </w:p>
    <w:p>
      <w:pPr>
        <w:pStyle w:val="Heading3"/>
        <w:rPr/>
      </w:pPr>
      <w:r>
        <w:rPr>
          <w:rFonts w:eastAsia="Arial" w:cs="Arial" w:ascii="Arial" w:hAnsi="Arial"/>
          <w:b/>
          <w:bCs/>
          <w:color w:val="00695C"/>
          <w:sz w:val="24"/>
          <w:szCs w:val="24"/>
        </w:rPr>
        <w:t>Sentiment Data as Alternative Features</w:t>
      </w:r>
    </w:p>
    <w:p>
      <w:pPr>
        <w:pStyle w:val="Normal"/>
        <w:spacing w:before="0" w:after="120"/>
        <w:rPr/>
      </w:pPr>
      <w:r>
        <w:rPr>
          <w:rFonts w:eastAsia="Arial" w:cs="Arial"/>
          <w:sz w:val="20"/>
          <w:szCs w:val="20"/>
        </w:rPr>
        <w:t>Chan documents the use of news sentiment data (RavenPack, Thomson Reuters) as ML features. Sentiment scores add genuine alpha when combined with price-based signals, particularly for earnings-driven moves. For MNQ/NQ: macro news sentiment (Fed, CPI, NFP) is more relevant than individual stock sentiment. This is a Phase 4+ enhancement — requires data subscription.</w:t>
      </w:r>
    </w:p>
    <w:p>
      <w:pPr>
        <w:pStyle w:val="Heading3"/>
        <w:rPr/>
      </w:pPr>
      <w:r>
        <w:rPr>
          <w:rFonts w:eastAsia="Arial" w:cs="Arial" w:ascii="Arial" w:hAnsi="Arial"/>
          <w:b/>
          <w:bCs/>
          <w:color w:val="00695C"/>
          <w:sz w:val="24"/>
          <w:szCs w:val="24"/>
        </w:rPr>
        <w:t>Practical Kelly with Historical Drawdown Cap</w:t>
      </w:r>
    </w:p>
    <w:p>
      <w:pPr>
        <w:pStyle w:val="Normal"/>
        <w:spacing w:before="0" w:after="120"/>
        <w:rPr/>
      </w:pPr>
      <w:r>
        <w:rPr>
          <w:rFonts w:eastAsia="Arial" w:cs="Arial"/>
          <w:sz w:val="20"/>
          <w:szCs w:val="20"/>
        </w:rPr>
        <w:t>Chan's practical Kelly implementation: instead of using the theoretical formula, use the maximum historical drawdown to cap leverage. If maximum historical drawdown at leverage L was D%, and maximum tolerable drawdown is T%, then maximum safe leverage = L × (T/D). Apply this as a ceiling on Carver's BaseContracts formula.</w:t>
      </w:r>
    </w:p>
    <w:p>
      <w:pPr>
        <w:pStyle w:val="Normal"/>
        <w:rPr/>
      </w:pPr>
      <w:r>
        <w:rPr/>
      </w:r>
    </w:p>
    <w:p>
      <w:pPr>
        <w:pStyle w:val="Heading2"/>
        <w:rPr/>
      </w:pPr>
      <w:r>
        <w:rPr>
          <w:rFonts w:eastAsia="Arial" w:cs="Arial" w:ascii="Arial" w:hAnsi="Arial"/>
          <w:b/>
          <w:bCs/>
          <w:color w:val="2E75B6"/>
          <w:sz w:val="28"/>
          <w:szCs w:val="28"/>
        </w:rPr>
        <w:t>2.6  Successful Algorithmic Trading — QuantStart</w:t>
      </w:r>
    </w:p>
    <w:p>
      <w:pPr>
        <w:pStyle w:val="Heading3"/>
        <w:rPr/>
      </w:pPr>
      <w:r>
        <w:rPr>
          <w:rFonts w:eastAsia="Arial" w:cs="Arial" w:ascii="Arial" w:hAnsi="Arial"/>
          <w:b/>
          <w:bCs/>
          <w:color w:val="00695C"/>
          <w:sz w:val="24"/>
          <w:szCs w:val="24"/>
        </w:rPr>
        <w:t>Event-Driven vs. Vectorized Backtesting</w:t>
      </w:r>
    </w:p>
    <w:p>
      <w:pPr>
        <w:pStyle w:val="Normal"/>
        <w:spacing w:before="0" w:after="120"/>
        <w:rPr/>
      </w:pPr>
      <w:r>
        <w:rPr>
          <w:rFonts w:eastAsia="Arial" w:cs="Arial"/>
          <w:sz w:val="20"/>
          <w:szCs w:val="20"/>
        </w:rPr>
        <w:t>SAT's central architectural argument: vectorized research backtests (array operations on historical data) are fast but produce unrealistic results because they assume simultaneous execution of all signals. Event-driven backtests simulate the actual order-of-operations: data arrives, strategy processes it, orders are submitted, fills are simulated. The difference in Sharpe ratio between the two approaches can be 30–50% for strategies with execution complexity.</w:t>
      </w:r>
    </w:p>
    <w:tbl>
      <w:tblPr>
        <w:tblW w:w="9360" w:type="dxa"/>
        <w:jc w:val="start"/>
        <w:tblInd w:w="0" w:type="dxa"/>
        <w:tblLayout w:type="fixed"/>
        <w:tblCellMar>
          <w:top w:w="80" w:type="dxa"/>
          <w:start w:w="80" w:type="dxa"/>
          <w:bottom w:w="80" w:type="dxa"/>
          <w:end w:w="80" w:type="dxa"/>
        </w:tblCellMar>
      </w:tblPr>
      <w:tblGrid>
        <w:gridCol w:w="480"/>
        <w:gridCol w:w="8880"/>
      </w:tblGrid>
      <w:tr>
        <w:trPr/>
        <w:tc>
          <w:tcPr>
            <w:tcW w:w="480" w:type="dxa"/>
            <w:tcBorders>
              <w:top w:val="single" w:sz="2" w:space="0" w:color="CCCCCC"/>
              <w:start w:val="single" w:sz="2" w:space="0" w:color="CCCCCC"/>
              <w:bottom w:val="single" w:sz="2" w:space="0" w:color="CCCCCC"/>
              <w:end w:val="single" w:sz="2" w:space="0" w:color="CCCCCC"/>
            </w:tcBorders>
            <w:shd w:fill="1B5E20" w:val="clear"/>
          </w:tcPr>
          <w:p>
            <w:pPr>
              <w:pStyle w:val="Normal"/>
              <w:jc w:val="center"/>
              <w:rPr/>
            </w:pPr>
            <w:r>
              <w:rPr>
                <w:rFonts w:eastAsia="Arial" w:cs="Arial"/>
                <w:b/>
                <w:bCs/>
                <w:color w:val="FFFFFF"/>
                <w:sz w:val="18"/>
                <w:szCs w:val="18"/>
              </w:rPr>
              <w:t>RELEVANCE</w:t>
            </w:r>
          </w:p>
        </w:tc>
        <w:tc>
          <w:tcPr>
            <w:tcW w:w="8880" w:type="dxa"/>
            <w:tcBorders>
              <w:top w:val="single" w:sz="2" w:space="0" w:color="2E75B6"/>
              <w:start w:val="single" w:sz="4" w:space="0" w:color="2E75B6"/>
              <w:bottom w:val="single" w:sz="2" w:space="0" w:color="2E75B6"/>
              <w:end w:val="single" w:sz="2" w:space="0" w:color="2E75B6"/>
            </w:tcBorders>
            <w:shd w:fill="EEF4FB" w:val="clear"/>
            <w:tcMar>
              <w:start w:w="120" w:type="dxa"/>
              <w:end w:w="120" w:type="dxa"/>
            </w:tcMar>
          </w:tcPr>
          <w:p>
            <w:pPr>
              <w:pStyle w:val="Normal"/>
              <w:rPr/>
            </w:pPr>
            <w:r>
              <w:rPr>
                <w:rFonts w:eastAsia="Arial" w:cs="Arial"/>
                <w:i/>
                <w:iCs/>
                <w:sz w:val="19"/>
                <w:szCs w:val="19"/>
              </w:rPr>
              <w:t>NinjaTrader 8 is an event-driven backtesting platform by architecture — OnBarUpdate, OnOrderUpdate, OnPositionUpdate are the event handlers. Ranger is already implemented in the correct paradigm. SAT validates that the NT8 architecture choice is the gold standard.</w:t>
            </w:r>
          </w:p>
        </w:tc>
      </w:tr>
    </w:tbl>
    <w:p>
      <w:pPr>
        <w:pStyle w:val="Heading3"/>
        <w:rPr/>
      </w:pPr>
      <w:r>
        <w:rPr>
          <w:rFonts w:eastAsia="Arial" w:cs="Arial" w:ascii="Arial" w:hAnsi="Arial"/>
          <w:b/>
          <w:bCs/>
          <w:color w:val="00695C"/>
          <w:sz w:val="24"/>
          <w:szCs w:val="24"/>
        </w:rPr>
        <w:t>Biases Taxonomy — Complete List</w:t>
      </w:r>
    </w:p>
    <w:p>
      <w:pPr>
        <w:pStyle w:val="ListParagraph"/>
        <w:numPr>
          <w:ilvl w:val="0"/>
          <w:numId w:val="1"/>
        </w:numPr>
        <w:spacing w:before="0" w:after="80"/>
        <w:ind w:hanging="260" w:start="540"/>
        <w:rPr/>
      </w:pPr>
      <w:r>
        <w:rPr>
          <w:rFonts w:eastAsia="Arial" w:cs="Arial"/>
          <w:sz w:val="20"/>
          <w:szCs w:val="20"/>
        </w:rPr>
        <w:t>Optimization bias: fitting parameters to historical data without OOS validation — prevented by walk-forward</w:t>
      </w:r>
    </w:p>
    <w:p>
      <w:pPr>
        <w:pStyle w:val="ListParagraph"/>
        <w:numPr>
          <w:ilvl w:val="0"/>
          <w:numId w:val="1"/>
        </w:numPr>
        <w:spacing w:before="0" w:after="80"/>
        <w:ind w:hanging="260" w:start="540"/>
        <w:rPr/>
      </w:pPr>
      <w:r>
        <w:rPr>
          <w:rFonts w:eastAsia="Arial" w:cs="Arial"/>
          <w:sz w:val="20"/>
          <w:szCs w:val="20"/>
        </w:rPr>
        <w:t>Look-ahead bias: accessing future data in signal calculation — NT8 Calculate.OnBarClose prevents this</w:t>
      </w:r>
    </w:p>
    <w:p>
      <w:pPr>
        <w:pStyle w:val="ListParagraph"/>
        <w:numPr>
          <w:ilvl w:val="0"/>
          <w:numId w:val="1"/>
        </w:numPr>
        <w:spacing w:before="0" w:after="80"/>
        <w:ind w:hanging="260" w:start="540"/>
        <w:rPr/>
      </w:pPr>
      <w:r>
        <w:rPr>
          <w:rFonts w:eastAsia="Arial" w:cs="Arial"/>
          <w:sz w:val="20"/>
          <w:szCs w:val="20"/>
        </w:rPr>
        <w:t>Survivorship bias: testing on current instrument universe excludes failed instruments — minimal for single-instrument futures</w:t>
      </w:r>
    </w:p>
    <w:p>
      <w:pPr>
        <w:pStyle w:val="ListParagraph"/>
        <w:numPr>
          <w:ilvl w:val="0"/>
          <w:numId w:val="1"/>
        </w:numPr>
        <w:spacing w:before="0" w:after="80"/>
        <w:ind w:hanging="260" w:start="540"/>
        <w:rPr/>
      </w:pPr>
      <w:r>
        <w:rPr>
          <w:rFonts w:eastAsia="Arial" w:cs="Arial"/>
          <w:sz w:val="20"/>
          <w:szCs w:val="20"/>
        </w:rPr>
        <w:t>Psychological bias: live trading decisions that deviate from the tested strategy — eliminated by automated execution</w:t>
      </w:r>
    </w:p>
    <w:p>
      <w:pPr>
        <w:pStyle w:val="ListParagraph"/>
        <w:numPr>
          <w:ilvl w:val="0"/>
          <w:numId w:val="1"/>
        </w:numPr>
        <w:spacing w:before="0" w:after="80"/>
        <w:ind w:hanging="260" w:start="540"/>
        <w:rPr/>
      </w:pPr>
      <w:r>
        <w:rPr>
          <w:rFonts w:eastAsia="Arial" w:cs="Arial"/>
          <w:sz w:val="20"/>
          <w:szCs w:val="20"/>
        </w:rPr>
        <w:t>Overfitting bias: too many parameters relative to trades — addressed by stepwise feature selection (SSML)</w:t>
      </w:r>
    </w:p>
    <w:p>
      <w:pPr>
        <w:pStyle w:val="ListParagraph"/>
        <w:numPr>
          <w:ilvl w:val="0"/>
          <w:numId w:val="1"/>
        </w:numPr>
        <w:spacing w:before="0" w:after="80"/>
        <w:ind w:hanging="260" w:start="540"/>
        <w:rPr/>
      </w:pPr>
      <w:r>
        <w:rPr>
          <w:rFonts w:eastAsia="Arial" w:cs="Arial"/>
          <w:sz w:val="20"/>
          <w:szCs w:val="20"/>
        </w:rPr>
        <w:t>Transaction cost bias: underestimating slippage and commission impact — model 2-tick slippage minimum for MNQ</w:t>
      </w:r>
    </w:p>
    <w:p>
      <w:pPr>
        <w:pStyle w:val="Heading3"/>
        <w:rPr/>
      </w:pPr>
      <w:r>
        <w:rPr>
          <w:rFonts w:eastAsia="Arial" w:cs="Arial" w:ascii="Arial" w:hAnsi="Arial"/>
          <w:b/>
          <w:bCs/>
          <w:color w:val="00695C"/>
          <w:sz w:val="24"/>
          <w:szCs w:val="24"/>
        </w:rPr>
        <w:t>Backtesting Is an Upper Bound</w:t>
      </w:r>
    </w:p>
    <w:tbl>
      <w:tblPr>
        <w:tblW w:w="9360" w:type="dxa"/>
        <w:jc w:val="start"/>
        <w:tblInd w:w="0" w:type="dxa"/>
        <w:tblLayout w:type="fixed"/>
        <w:tblCellMar>
          <w:top w:w="80" w:type="dxa"/>
          <w:start w:w="80" w:type="dxa"/>
          <w:bottom w:w="80" w:type="dxa"/>
          <w:end w:w="80" w:type="dxa"/>
        </w:tblCellMar>
      </w:tblPr>
      <w:tblGrid>
        <w:gridCol w:w="480"/>
        <w:gridCol w:w="8880"/>
      </w:tblGrid>
      <w:tr>
        <w:trPr/>
        <w:tc>
          <w:tcPr>
            <w:tcW w:w="480" w:type="dxa"/>
            <w:tcBorders>
              <w:top w:val="single" w:sz="2" w:space="0" w:color="CCCCCC"/>
              <w:start w:val="single" w:sz="2" w:space="0" w:color="CCCCCC"/>
              <w:bottom w:val="single" w:sz="2" w:space="0" w:color="CCCCCC"/>
              <w:end w:val="single" w:sz="2" w:space="0" w:color="CCCCCC"/>
            </w:tcBorders>
            <w:shd w:fill="E65100" w:val="clear"/>
          </w:tcPr>
          <w:p>
            <w:pPr>
              <w:pStyle w:val="Normal"/>
              <w:jc w:val="center"/>
              <w:rPr/>
            </w:pPr>
            <w:r>
              <w:rPr>
                <w:rFonts w:eastAsia="Arial" w:cs="Arial"/>
                <w:b/>
                <w:bCs/>
                <w:color w:val="FFFFFF"/>
                <w:sz w:val="18"/>
                <w:szCs w:val="18"/>
              </w:rPr>
              <w:t>SAT PRINCIPLE</w:t>
            </w:r>
          </w:p>
        </w:tc>
        <w:tc>
          <w:tcPr>
            <w:tcW w:w="8880" w:type="dxa"/>
            <w:tcBorders>
              <w:top w:val="single" w:sz="2" w:space="0" w:color="2E75B6"/>
              <w:start w:val="single" w:sz="4" w:space="0" w:color="2E75B6"/>
              <w:bottom w:val="single" w:sz="2" w:space="0" w:color="2E75B6"/>
              <w:end w:val="single" w:sz="2" w:space="0" w:color="2E75B6"/>
            </w:tcBorders>
            <w:shd w:fill="EEF4FB" w:val="clear"/>
            <w:tcMar>
              <w:start w:w="120" w:type="dxa"/>
              <w:end w:w="120" w:type="dxa"/>
            </w:tcMar>
          </w:tcPr>
          <w:p>
            <w:pPr>
              <w:pStyle w:val="Normal"/>
              <w:rPr/>
            </w:pPr>
            <w:r>
              <w:rPr>
                <w:rFonts w:eastAsia="Arial" w:cs="Arial"/>
                <w:i/>
                <w:iCs/>
                <w:sz w:val="19"/>
                <w:szCs w:val="19"/>
              </w:rPr>
              <w:t>A backtest is an idealized upper bound on live performance, not a prediction of it. Every bias that exists will degrade live performance below backtest. The correct mental model: if the backtest Sharpe is 1.5, expect live Sharpe of 0.8–1.1 after all biases and execution degradation. Design the system to be profitable at 50–60% of backtest performance.</w:t>
            </w:r>
          </w:p>
        </w:tc>
      </w:tr>
    </w:tbl>
    <w:p>
      <w:pPr>
        <w:pStyle w:val="Heading3"/>
        <w:rPr/>
      </w:pPr>
      <w:r>
        <w:rPr>
          <w:rFonts w:eastAsia="Arial" w:cs="Arial" w:ascii="Arial" w:hAnsi="Arial"/>
          <w:b/>
          <w:bCs/>
          <w:color w:val="00695C"/>
          <w:sz w:val="24"/>
          <w:szCs w:val="24"/>
        </w:rPr>
        <w:t>Live Trading Transition Protocol</w:t>
      </w:r>
    </w:p>
    <w:p>
      <w:pPr>
        <w:pStyle w:val="ListParagraph"/>
        <w:numPr>
          <w:ilvl w:val="0"/>
          <w:numId w:val="1"/>
        </w:numPr>
        <w:spacing w:before="0" w:after="80"/>
        <w:ind w:hanging="260" w:start="540"/>
        <w:rPr/>
      </w:pPr>
      <w:r>
        <w:rPr>
          <w:rFonts w:eastAsia="Arial" w:cs="Arial"/>
          <w:sz w:val="20"/>
          <w:szCs w:val="20"/>
        </w:rPr>
        <w:t>Phase 1 — Demo trading: run strategy on paper account for minimum 30 days (Davey's incubation)</w:t>
      </w:r>
    </w:p>
    <w:p>
      <w:pPr>
        <w:pStyle w:val="ListParagraph"/>
        <w:numPr>
          <w:ilvl w:val="0"/>
          <w:numId w:val="1"/>
        </w:numPr>
        <w:spacing w:before="0" w:after="80"/>
        <w:ind w:hanging="260" w:start="540"/>
        <w:rPr/>
      </w:pPr>
      <w:r>
        <w:rPr>
          <w:rFonts w:eastAsia="Arial" w:cs="Arial"/>
          <w:sz w:val="20"/>
          <w:szCs w:val="20"/>
        </w:rPr>
        <w:t>Phase 2 — Minimum size live: 1 contract, full live execution, 20+ trades to calibrate fill quality</w:t>
      </w:r>
    </w:p>
    <w:p>
      <w:pPr>
        <w:pStyle w:val="ListParagraph"/>
        <w:numPr>
          <w:ilvl w:val="0"/>
          <w:numId w:val="1"/>
        </w:numPr>
        <w:spacing w:before="0" w:after="80"/>
        <w:ind w:hanging="260" w:start="540"/>
        <w:rPr/>
      </w:pPr>
      <w:r>
        <w:rPr>
          <w:rFonts w:eastAsia="Arial" w:cs="Arial"/>
          <w:sz w:val="20"/>
          <w:szCs w:val="20"/>
        </w:rPr>
        <w:t>Phase 3 — Scale up: only after Phase 2 Sharpe matches Phase 1 within ±0.3</w:t>
      </w:r>
    </w:p>
    <w:p>
      <w:pPr>
        <w:pStyle w:val="ListParagraph"/>
        <w:numPr>
          <w:ilvl w:val="0"/>
          <w:numId w:val="1"/>
        </w:numPr>
        <w:spacing w:before="0" w:after="80"/>
        <w:ind w:hanging="260" w:start="540"/>
        <w:rPr/>
      </w:pPr>
      <w:r>
        <w:rPr>
          <w:rFonts w:eastAsia="Arial" w:cs="Arial"/>
          <w:sz w:val="20"/>
          <w:szCs w:val="20"/>
        </w:rPr>
        <w:t>Never scale from demo directly to full size — execution reality always differs from simulation</w:t>
      </w:r>
    </w:p>
    <w:p>
      <w:pPr>
        <w:pStyle w:val="Heading3"/>
        <w:rPr/>
      </w:pPr>
      <w:r>
        <w:rPr>
          <w:rFonts w:eastAsia="Arial" w:cs="Arial" w:ascii="Arial" w:hAnsi="Arial"/>
          <w:b/>
          <w:bCs/>
          <w:color w:val="00695C"/>
          <w:sz w:val="24"/>
          <w:szCs w:val="24"/>
        </w:rPr>
        <w:t>Python OOP Architecture Validation</w:t>
      </w:r>
    </w:p>
    <w:p>
      <w:pPr>
        <w:pStyle w:val="Normal"/>
        <w:spacing w:before="0" w:after="120"/>
        <w:rPr/>
      </w:pPr>
      <w:r>
        <w:rPr>
          <w:rFonts w:eastAsia="Arial" w:cs="Arial"/>
          <w:sz w:val="20"/>
          <w:szCs w:val="20"/>
        </w:rPr>
        <w:t>SAT documents the event-driven strategy architecture in Python that mirrors NinjaTrader's model: Strategy class, Portfolio class, ExecutionHandler class, DataHandler class. Ranger's partial-class modular design (AlgoTraderBot.cs, AlgoTradeLogger.cs, AlgoUI.cs, AlgoHUD.cs) is the C# equivalent of the SAT recommended architecture.</w:t>
      </w:r>
    </w:p>
    <w:p>
      <w:pPr>
        <w:pStyle w:val="Normal"/>
        <w:rPr/>
      </w:pPr>
      <w:r>
        <w:rPr/>
      </w:r>
      <w:r>
        <w:br w:type="page"/>
      </w:r>
    </w:p>
    <w:p>
      <w:pPr>
        <w:pStyle w:val="Heading1"/>
        <w:spacing w:before="0" w:after="180"/>
        <w:rPr/>
      </w:pPr>
      <w:r>
        <w:rPr>
          <w:rFonts w:eastAsia="Arial" w:cs="Arial" w:ascii="Arial" w:hAnsi="Arial"/>
          <w:b/>
          <w:bCs/>
          <w:color w:val="1F4E79"/>
          <w:sz w:val="36"/>
          <w:szCs w:val="36"/>
        </w:rPr>
        <w:t>Part III — Ranger Complete Evaluation</w:t>
      </w:r>
    </w:p>
    <w:p>
      <w:pPr>
        <w:pStyle w:val="Normal"/>
        <w:spacing w:before="0" w:after="120"/>
        <w:rPr/>
      </w:pPr>
      <w:r>
        <w:rPr>
          <w:rFonts w:eastAsia="Arial" w:cs="Arial"/>
          <w:sz w:val="20"/>
          <w:szCs w:val="20"/>
        </w:rPr>
        <w:t>This section evaluates Ranger against every major finding from all 22 books. Each domain is assessed, gaps are identified, and improvements are prioritized and specified.</w:t>
      </w:r>
    </w:p>
    <w:p>
      <w:pPr>
        <w:pStyle w:val="Normal"/>
        <w:rPr/>
      </w:pPr>
      <w:r>
        <w:rPr/>
      </w:r>
    </w:p>
    <w:p>
      <w:pPr>
        <w:pStyle w:val="Heading2"/>
        <w:rPr/>
      </w:pPr>
      <w:r>
        <w:rPr>
          <w:rFonts w:eastAsia="Arial" w:cs="Arial" w:ascii="Arial" w:hAnsi="Arial"/>
          <w:b/>
          <w:bCs/>
          <w:color w:val="2E75B6"/>
          <w:sz w:val="28"/>
          <w:szCs w:val="28"/>
        </w:rPr>
        <w:t>3.1  What Ranger Gets Right</w:t>
      </w:r>
    </w:p>
    <w:p>
      <w:pPr>
        <w:pStyle w:val="Normal"/>
        <w:spacing w:before="0" w:after="120"/>
        <w:rPr/>
      </w:pPr>
      <w:r>
        <w:rPr>
          <w:rFonts w:eastAsia="Arial" w:cs="Arial"/>
          <w:sz w:val="20"/>
          <w:szCs w:val="20"/>
        </w:rPr>
        <w:t>Before the gaps: these are the areas where Ranger is already fully aligned with or ahead of the literature. Do not change these.</w:t>
      </w:r>
    </w:p>
    <w:p>
      <w:pPr>
        <w:pStyle w:val="ListParagraph"/>
        <w:numPr>
          <w:ilvl w:val="0"/>
          <w:numId w:val="1"/>
        </w:numPr>
        <w:spacing w:before="0" w:after="80"/>
        <w:ind w:hanging="260" w:start="540"/>
        <w:rPr/>
      </w:pPr>
      <w:r>
        <w:rPr>
          <w:rFonts w:eastAsia="Arial" w:cs="Arial"/>
          <w:sz w:val="20"/>
          <w:szCs w:val="20"/>
        </w:rPr>
        <w:t>Partial-class modular architecture (AlgoTraderBot.cs, AlgoTradeLogger.cs, AlgoUI.cs, AlgoHUD.cs, SessionTrend) — SAT validates this OOP paradigm as the correct design</w:t>
      </w:r>
    </w:p>
    <w:p>
      <w:pPr>
        <w:pStyle w:val="ListParagraph"/>
        <w:numPr>
          <w:ilvl w:val="0"/>
          <w:numId w:val="1"/>
        </w:numPr>
        <w:spacing w:before="0" w:after="80"/>
        <w:ind w:hanging="260" w:start="540"/>
        <w:rPr/>
      </w:pPr>
      <w:r>
        <w:rPr>
          <w:rFonts w:eastAsia="Arial" w:cs="Arial"/>
          <w:sz w:val="20"/>
          <w:szCs w:val="20"/>
        </w:rPr>
        <w:t>4-stage FixedStopTrail ratchet with monotonicity guarantee — aligned with PAT's optimal trading rule research</w:t>
      </w:r>
    </w:p>
    <w:p>
      <w:pPr>
        <w:pStyle w:val="ListParagraph"/>
        <w:numPr>
          <w:ilvl w:val="0"/>
          <w:numId w:val="1"/>
        </w:numPr>
        <w:spacing w:before="0" w:after="80"/>
        <w:ind w:hanging="260" w:start="540"/>
        <w:rPr/>
      </w:pPr>
      <w:r>
        <w:rPr>
          <w:rFonts w:eastAsia="Arial" w:cs="Arial"/>
          <w:sz w:val="20"/>
          <w:szCs w:val="20"/>
        </w:rPr>
        <w:t>Online logistic regression ML gate with SGD + L2 regularization — correct paradigm for live deployment, SAT and SSML confirm</w:t>
      </w:r>
    </w:p>
    <w:p>
      <w:pPr>
        <w:pStyle w:val="ListParagraph"/>
        <w:numPr>
          <w:ilvl w:val="0"/>
          <w:numId w:val="1"/>
        </w:numPr>
        <w:spacing w:before="0" w:after="80"/>
        <w:ind w:hanging="260" w:start="540"/>
        <w:rPr/>
      </w:pPr>
      <w:r>
        <w:rPr>
          <w:rFonts w:eastAsia="Arial" w:cs="Arial"/>
          <w:sz w:val="20"/>
          <w:szCs w:val="20"/>
        </w:rPr>
        <w:t>SwingStopBufferTicks = 10 — AHF adverse selection finding exactly implemented</w:t>
      </w:r>
    </w:p>
    <w:p>
      <w:pPr>
        <w:pStyle w:val="ListParagraph"/>
        <w:numPr>
          <w:ilvl w:val="0"/>
          <w:numId w:val="1"/>
        </w:numPr>
        <w:spacing w:before="0" w:after="80"/>
        <w:ind w:hanging="260" w:start="540"/>
        <w:rPr/>
      </w:pPr>
      <w:r>
        <w:rPr>
          <w:rFonts w:eastAsia="Arial" w:cs="Arial"/>
          <w:sz w:val="20"/>
          <w:szCs w:val="20"/>
        </w:rPr>
        <w:t>GlobexWarmupBars — Aldridge's wide-spread opening window avoidance, implemented</w:t>
      </w:r>
    </w:p>
    <w:p>
      <w:pPr>
        <w:pStyle w:val="ListParagraph"/>
        <w:numPr>
          <w:ilvl w:val="0"/>
          <w:numId w:val="1"/>
        </w:numPr>
        <w:spacing w:before="0" w:after="80"/>
        <w:ind w:hanging="260" w:start="540"/>
        <w:rPr/>
      </w:pPr>
      <w:r>
        <w:rPr>
          <w:rFonts w:eastAsia="Arial" w:cs="Arial"/>
          <w:sz w:val="20"/>
          <w:szCs w:val="20"/>
        </w:rPr>
        <w:t>GlobexWarmupBars + MinTrendSlopeDegrees — prevents Globex spike false entries, well-supported by literature</w:t>
      </w:r>
    </w:p>
    <w:p>
      <w:pPr>
        <w:pStyle w:val="ListParagraph"/>
        <w:numPr>
          <w:ilvl w:val="0"/>
          <w:numId w:val="1"/>
        </w:numPr>
        <w:spacing w:before="0" w:after="80"/>
        <w:ind w:hanging="260" w:start="540"/>
        <w:rPr/>
      </w:pPr>
      <w:r>
        <w:rPr>
          <w:rFonts w:eastAsia="Arial" w:cs="Arial"/>
          <w:sz w:val="20"/>
          <w:szCs w:val="20"/>
        </w:rPr>
        <w:t>Comprehensive trade logging (JSONL + CSV) with MFE/MAE, ER, ATRTicks, TripleBarrierLabel, MLProbability — AFML/SSML mandatory fields, all present</w:t>
      </w:r>
    </w:p>
    <w:p>
      <w:pPr>
        <w:pStyle w:val="ListParagraph"/>
        <w:numPr>
          <w:ilvl w:val="0"/>
          <w:numId w:val="1"/>
        </w:numPr>
        <w:spacing w:before="0" w:after="80"/>
        <w:ind w:hanging="260" w:start="540"/>
        <w:rPr/>
      </w:pPr>
      <w:r>
        <w:rPr>
          <w:rFonts w:eastAsia="Arial" w:cs="Arial"/>
          <w:sz w:val="20"/>
          <w:szCs w:val="20"/>
        </w:rPr>
        <w:t>ADX filter (AdxMin / AdxMax) — validated by Narang IBBa and ATS as the standard chop/trend filter</w:t>
      </w:r>
    </w:p>
    <w:p>
      <w:pPr>
        <w:pStyle w:val="ListParagraph"/>
        <w:numPr>
          <w:ilvl w:val="0"/>
          <w:numId w:val="1"/>
        </w:numPr>
        <w:spacing w:before="0" w:after="80"/>
        <w:ind w:hanging="260" w:start="540"/>
        <w:rPr/>
      </w:pPr>
      <w:r>
        <w:rPr>
          <w:rFonts w:eastAsia="Arial" w:cs="Arial"/>
          <w:sz w:val="20"/>
          <w:szCs w:val="20"/>
        </w:rPr>
        <w:t>SessionTrendLine anchor-to-open approach — Aldridge's momentum detection principle implemented structurally</w:t>
      </w:r>
    </w:p>
    <w:p>
      <w:pPr>
        <w:pStyle w:val="ListParagraph"/>
        <w:numPr>
          <w:ilvl w:val="0"/>
          <w:numId w:val="1"/>
        </w:numPr>
        <w:spacing w:before="0" w:after="80"/>
        <w:ind w:hanging="260" w:start="540"/>
        <w:rPr/>
      </w:pPr>
      <w:r>
        <w:rPr>
          <w:rFonts w:eastAsia="Arial" w:cs="Arial"/>
          <w:sz w:val="20"/>
          <w:szCs w:val="20"/>
        </w:rPr>
        <w:t>DiffHistogram 2-bar confirmation — Chan QT's signal smoothing/decay principle implemented</w:t>
      </w:r>
    </w:p>
    <w:p>
      <w:pPr>
        <w:pStyle w:val="ListParagraph"/>
        <w:numPr>
          <w:ilvl w:val="0"/>
          <w:numId w:val="1"/>
        </w:numPr>
        <w:spacing w:before="0" w:after="80"/>
        <w:ind w:hanging="260" w:start="540"/>
        <w:rPr/>
      </w:pPr>
      <w:r>
        <w:rPr>
          <w:rFonts w:eastAsia="Arial" w:cs="Arial"/>
          <w:sz w:val="20"/>
          <w:szCs w:val="20"/>
        </w:rPr>
        <w:t>MaxDailyTrades gate — Davey's 'one trade' discipline encoded as a hard rule</w:t>
      </w:r>
    </w:p>
    <w:p>
      <w:pPr>
        <w:pStyle w:val="ListParagraph"/>
        <w:numPr>
          <w:ilvl w:val="0"/>
          <w:numId w:val="1"/>
        </w:numPr>
        <w:spacing w:before="0" w:after="80"/>
        <w:ind w:hanging="260" w:start="540"/>
        <w:rPr/>
      </w:pPr>
      <w:r>
        <w:rPr>
          <w:rFonts w:eastAsia="Arial" w:cs="Arial"/>
          <w:sz w:val="20"/>
          <w:szCs w:val="20"/>
        </w:rPr>
        <w:t>MaxConsecutiveLosses gate — Kaufman's geometric loss sequence protection</w:t>
      </w:r>
    </w:p>
    <w:p>
      <w:pPr>
        <w:pStyle w:val="ListParagraph"/>
        <w:numPr>
          <w:ilvl w:val="0"/>
          <w:numId w:val="1"/>
        </w:numPr>
        <w:spacing w:before="0" w:after="80"/>
        <w:ind w:hanging="260" w:start="540"/>
        <w:rPr/>
      </w:pPr>
      <w:r>
        <w:rPr>
          <w:rFonts w:eastAsia="Arial" w:cs="Arial"/>
          <w:sz w:val="20"/>
          <w:szCs w:val="20"/>
        </w:rPr>
        <w:t>Breakeven mechanic (BETriggerTicks) — correctly implemented with Davey's warning noted</w:t>
      </w:r>
    </w:p>
    <w:p>
      <w:pPr>
        <w:pStyle w:val="ListParagraph"/>
        <w:numPr>
          <w:ilvl w:val="0"/>
          <w:numId w:val="1"/>
        </w:numPr>
        <w:spacing w:before="0" w:after="80"/>
        <w:ind w:hanging="260" w:start="540"/>
        <w:rPr/>
      </w:pPr>
      <w:r>
        <w:rPr>
          <w:rFonts w:eastAsia="Arial" w:cs="Arial"/>
          <w:sz w:val="20"/>
          <w:szCs w:val="20"/>
        </w:rPr>
        <w:t>TradingCapital / AnnualVolTargetPct properties — Carver's formula wired (verify calibration in live use)</w:t>
      </w:r>
    </w:p>
    <w:p>
      <w:pPr>
        <w:pStyle w:val="Normal"/>
        <w:rPr/>
      </w:pPr>
      <w:r>
        <w:rPr/>
      </w:r>
    </w:p>
    <w:p>
      <w:pPr>
        <w:pStyle w:val="Heading2"/>
        <w:rPr/>
      </w:pPr>
      <w:r>
        <w:rPr>
          <w:rFonts w:eastAsia="Arial" w:cs="Arial" w:ascii="Arial" w:hAnsi="Arial"/>
          <w:b/>
          <w:bCs/>
          <w:color w:val="2E75B6"/>
          <w:sz w:val="28"/>
          <w:szCs w:val="28"/>
        </w:rPr>
        <w:t>3.2  Priority 1 — Critical Improvements</w:t>
      </w:r>
    </w:p>
    <w:p>
      <w:pPr>
        <w:pStyle w:val="Heading3"/>
        <w:rPr/>
      </w:pPr>
      <w:r>
        <w:rPr>
          <w:rFonts w:eastAsia="Arial" w:cs="Arial" w:ascii="Arial" w:hAnsi="Arial"/>
          <w:b/>
          <w:bCs/>
          <w:color w:val="00695C"/>
          <w:sz w:val="24"/>
          <w:szCs w:val="24"/>
        </w:rPr>
        <w:t>P1-A: AlgoTrainer.py — Replace Dead f2 with SessionTrend_at_Entry</w:t>
      </w:r>
    </w:p>
    <w:p>
      <w:pPr>
        <w:pStyle w:val="Normal"/>
        <w:spacing w:before="0" w:after="120"/>
        <w:rPr/>
      </w:pPr>
      <w:r>
        <w:rPr>
          <w:rFonts w:eastAsia="Arial" w:cs="Arial"/>
          <w:sz w:val="20"/>
          <w:szCs w:val="20"/>
        </w:rPr>
        <w:t>The current feature matrix has f2 = FilterAlign = 0.5 (a dead constant left over from MasterTrendFilter removal). SessionTrend_at_Entry (+1/0/-1) and SlopeAngle_at_Entry are already logged in every trade record but NOT included in the training feature vector. This is the most impactful single improvement available.</w:t>
      </w:r>
    </w:p>
    <w:tbl>
      <w:tblPr>
        <w:tblW w:w="9360" w:type="dxa"/>
        <w:jc w:val="start"/>
        <w:tblInd w:w="0" w:type="dxa"/>
        <w:tblLayout w:type="fixed"/>
        <w:tblCellMar>
          <w:top w:w="80" w:type="dxa"/>
          <w:start w:w="120" w:type="dxa"/>
          <w:bottom w:w="80" w:type="dxa"/>
          <w:end w:w="120" w:type="dxa"/>
        </w:tblCellMar>
      </w:tblPr>
      <w:tblGrid>
        <w:gridCol w:w="480"/>
        <w:gridCol w:w="1465"/>
        <w:gridCol w:w="2702"/>
        <w:gridCol w:w="2767"/>
        <w:gridCol w:w="1946"/>
      </w:tblGrid>
      <w:tr>
        <w:trPr>
          <w:tblHeader w:val="true"/>
        </w:trPr>
        <w:tc>
          <w:tcPr>
            <w:tcW w:w="1945" w:type="dxa"/>
            <w:gridSpan w:val="2"/>
            <w:tcBorders>
              <w:top w:val="single" w:sz="2" w:space="0" w:color="CCCCCC"/>
              <w:start w:val="single" w:sz="2" w:space="0" w:color="CCCCCC"/>
              <w:bottom w:val="single" w:sz="2" w:space="0" w:color="CCCCCC"/>
              <w:end w:val="single" w:sz="2" w:space="0" w:color="CCCCCC"/>
            </w:tcBorders>
            <w:shd w:fill="B71C1C" w:val="clear"/>
          </w:tcPr>
          <w:p>
            <w:pPr>
              <w:pStyle w:val="Normal"/>
              <w:jc w:val="center"/>
              <w:rPr/>
            </w:pPr>
            <w:r>
              <w:rPr>
                <w:rFonts w:eastAsia="Arial" w:cs="Arial"/>
                <w:b/>
                <w:bCs/>
                <w:color w:val="FFFFFF"/>
                <w:sz w:val="18"/>
                <w:szCs w:val="18"/>
              </w:rPr>
              <w:t>Feature</w:t>
            </w:r>
          </w:p>
        </w:tc>
        <w:tc>
          <w:tcPr>
            <w:tcW w:w="2702" w:type="dxa"/>
            <w:tcBorders>
              <w:top w:val="single" w:sz="2" w:space="0" w:color="CCCCCC"/>
              <w:start w:val="single" w:sz="2" w:space="0" w:color="CCCCCC"/>
              <w:bottom w:val="single" w:sz="2" w:space="0" w:color="CCCCCC"/>
              <w:end w:val="single" w:sz="2" w:space="0" w:color="CCCCCC"/>
            </w:tcBorders>
            <w:shd w:fill="B71C1C" w:val="clear"/>
          </w:tcPr>
          <w:p>
            <w:pPr>
              <w:pStyle w:val="Normal"/>
              <w:jc w:val="center"/>
              <w:rPr/>
            </w:pPr>
            <w:r>
              <w:rPr>
                <w:rFonts w:eastAsia="Arial" w:cs="Arial"/>
                <w:b/>
                <w:bCs/>
                <w:color w:val="FFFFFF"/>
                <w:sz w:val="18"/>
                <w:szCs w:val="18"/>
              </w:rPr>
              <w:t>Current Value</w:t>
            </w:r>
          </w:p>
        </w:tc>
        <w:tc>
          <w:tcPr>
            <w:tcW w:w="2767" w:type="dxa"/>
            <w:tcBorders>
              <w:top w:val="single" w:sz="2" w:space="0" w:color="CCCCCC"/>
              <w:start w:val="single" w:sz="2" w:space="0" w:color="CCCCCC"/>
              <w:bottom w:val="single" w:sz="2" w:space="0" w:color="CCCCCC"/>
              <w:end w:val="single" w:sz="2" w:space="0" w:color="CCCCCC"/>
            </w:tcBorders>
            <w:shd w:fill="B71C1C" w:val="clear"/>
          </w:tcPr>
          <w:p>
            <w:pPr>
              <w:pStyle w:val="Normal"/>
              <w:jc w:val="center"/>
              <w:rPr/>
            </w:pPr>
            <w:r>
              <w:rPr>
                <w:rFonts w:eastAsia="Arial" w:cs="Arial"/>
                <w:b/>
                <w:bCs/>
                <w:color w:val="FFFFFF"/>
                <w:sz w:val="18"/>
                <w:szCs w:val="18"/>
              </w:rPr>
              <w:t>Proposed Value</w:t>
            </w:r>
          </w:p>
        </w:tc>
        <w:tc>
          <w:tcPr>
            <w:tcW w:w="1946" w:type="dxa"/>
            <w:tcBorders>
              <w:top w:val="single" w:sz="2" w:space="0" w:color="CCCCCC"/>
              <w:start w:val="single" w:sz="2" w:space="0" w:color="CCCCCC"/>
              <w:bottom w:val="single" w:sz="2" w:space="0" w:color="CCCCCC"/>
              <w:end w:val="single" w:sz="2" w:space="0" w:color="CCCCCC"/>
            </w:tcBorders>
            <w:shd w:fill="B71C1C" w:val="clear"/>
          </w:tcPr>
          <w:p>
            <w:pPr>
              <w:pStyle w:val="Normal"/>
              <w:jc w:val="center"/>
              <w:rPr/>
            </w:pPr>
            <w:r>
              <w:rPr>
                <w:rFonts w:eastAsia="Arial" w:cs="Arial"/>
                <w:b/>
                <w:bCs/>
                <w:color w:val="FFFFFF"/>
                <w:sz w:val="18"/>
                <w:szCs w:val="18"/>
              </w:rPr>
              <w:t>Book Support</w:t>
            </w:r>
          </w:p>
        </w:tc>
      </w:tr>
      <w:tr>
        <w:trPr/>
        <w:tc>
          <w:tcPr>
            <w:tcW w:w="1945" w:type="dxa"/>
            <w:gridSpan w:val="2"/>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f2 (FilterAlign)</w:t>
            </w:r>
          </w:p>
        </w:tc>
        <w:tc>
          <w:tcPr>
            <w:tcW w:w="2702"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0.5 constant — dead placeholder</w:t>
            </w:r>
          </w:p>
        </w:tc>
        <w:tc>
          <w:tcPr>
            <w:tcW w:w="2767"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SessionTrend_at_Entry (+1/0/-1)</w:t>
            </w:r>
          </w:p>
        </w:tc>
        <w:tc>
          <w:tcPr>
            <w:tcW w:w="1946"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AFML: directional context features critical</w:t>
            </w:r>
          </w:p>
        </w:tc>
      </w:tr>
      <w:tr>
        <w:trPr/>
        <w:tc>
          <w:tcPr>
            <w:tcW w:w="1945" w:type="dxa"/>
            <w:gridSpan w:val="2"/>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f11 (OIB placeholder)</w:t>
            </w:r>
          </w:p>
        </w:tc>
        <w:tc>
          <w:tcPr>
            <w:tcW w:w="27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0 or partial</w:t>
            </w:r>
          </w:p>
        </w:tc>
        <w:tc>
          <w:tcPr>
            <w:tcW w:w="276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SlopeAngle_at_Entry (degrees)</w:t>
            </w:r>
          </w:p>
        </w:tc>
        <w:tc>
          <w:tcPr>
            <w:tcW w:w="1946"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AHF: slope/momentum features add genuine alpha</w:t>
            </w:r>
          </w:p>
        </w:tc>
      </w:tr>
      <w:tr>
        <w:trPr/>
        <w:tc>
          <w:tcPr>
            <w:tcW w:w="480" w:type="dxa"/>
            <w:tcBorders>
              <w:top w:val="single" w:sz="2" w:space="0" w:color="CCCCCC"/>
              <w:start w:val="single" w:sz="2" w:space="0" w:color="CCCCCC"/>
              <w:bottom w:val="single" w:sz="2" w:space="0" w:color="CCCCCC"/>
              <w:end w:val="single" w:sz="2" w:space="0" w:color="CCCCCC"/>
            </w:tcBorders>
            <w:shd w:fill="B71C1C" w:val="clear"/>
            <w:tcMar>
              <w:start w:w="80" w:type="dxa"/>
              <w:end w:w="80" w:type="dxa"/>
            </w:tcMar>
          </w:tcPr>
          <w:p>
            <w:pPr>
              <w:pStyle w:val="Normal"/>
              <w:jc w:val="center"/>
              <w:rPr/>
            </w:pPr>
            <w:r>
              <w:rPr>
                <w:rFonts w:eastAsia="Arial" w:cs="Arial"/>
                <w:b/>
                <w:bCs/>
                <w:color w:val="FFFFFF"/>
                <w:sz w:val="18"/>
                <w:szCs w:val="18"/>
              </w:rPr>
              <w:t>IMPLEMENTATION</w:t>
            </w:r>
          </w:p>
        </w:tc>
        <w:tc>
          <w:tcPr>
            <w:tcW w:w="8880" w:type="dxa"/>
            <w:gridSpan w:val="4"/>
            <w:tcBorders>
              <w:top w:val="single" w:sz="2" w:space="0" w:color="2E75B6"/>
              <w:start w:val="single" w:sz="4" w:space="0" w:color="2E75B6"/>
              <w:bottom w:val="single" w:sz="2" w:space="0" w:color="2E75B6"/>
              <w:end w:val="single" w:sz="2" w:space="0" w:color="2E75B6"/>
            </w:tcBorders>
            <w:shd w:fill="EEF4FB" w:val="clear"/>
          </w:tcPr>
          <w:p>
            <w:pPr>
              <w:pStyle w:val="Normal"/>
              <w:rPr/>
            </w:pPr>
            <w:r>
              <w:rPr>
                <w:rFonts w:eastAsia="Arial" w:cs="Arial"/>
                <w:i/>
                <w:iCs/>
                <w:sz w:val="19"/>
                <w:szCs w:val="19"/>
              </w:rPr>
              <w:t>In AlgoTrainer.py, replace feature_row[1] = 0.5 with feature_row[1] = float(trade['SessionTrend_at_Entry']). Replace feature_row[10] = 0 with feature_row[10] = float(trade['SlopeAngle_at_Entry']). These two changes require zero infrastructure work — the data is already in every JSONL record.</w:t>
            </w:r>
          </w:p>
        </w:tc>
      </w:tr>
    </w:tbl>
    <w:p>
      <w:pPr>
        <w:pStyle w:val="Normal"/>
        <w:rPr/>
      </w:pPr>
      <w:r>
        <w:rPr/>
      </w:r>
    </w:p>
    <w:p>
      <w:pPr>
        <w:pStyle w:val="Heading3"/>
        <w:rPr/>
      </w:pPr>
      <w:r>
        <w:rPr>
          <w:rFonts w:eastAsia="Arial" w:cs="Arial" w:ascii="Arial" w:hAnsi="Arial"/>
          <w:b/>
          <w:bCs/>
          <w:color w:val="00695C"/>
          <w:sz w:val="24"/>
          <w:szCs w:val="24"/>
        </w:rPr>
        <w:t>P1-B: AlgoTrainer.py — Add Ensemble Model (RF + LR)</w:t>
      </w:r>
    </w:p>
    <w:p>
      <w:pPr>
        <w:pStyle w:val="Normal"/>
        <w:spacing w:before="0" w:after="120"/>
        <w:rPr/>
      </w:pPr>
      <w:r>
        <w:rPr>
          <w:rFonts w:eastAsia="Arial" w:cs="Arial"/>
          <w:sz w:val="20"/>
          <w:szCs w:val="20"/>
        </w:rPr>
        <w:t>Currently AlgoTrainer.py trains a single RandomForestClassifier. AIFM's consensus finding: ensemble RF + Logistic Regression consistently outperforms either alone. The LR provides calibrated probability estimates; the RF provides non-linear feature interaction capture.</w:t>
      </w:r>
    </w:p>
    <w:tbl>
      <w:tblPr>
        <w:tblW w:w="9360" w:type="dxa"/>
        <w:jc w:val="start"/>
        <w:tblInd w:w="0" w:type="dxa"/>
        <w:tblLayout w:type="fixed"/>
        <w:tblCellMar>
          <w:top w:w="80" w:type="dxa"/>
          <w:start w:w="80" w:type="dxa"/>
          <w:bottom w:w="80" w:type="dxa"/>
          <w:end w:w="80" w:type="dxa"/>
        </w:tblCellMar>
      </w:tblPr>
      <w:tblGrid>
        <w:gridCol w:w="480"/>
        <w:gridCol w:w="8880"/>
      </w:tblGrid>
      <w:tr>
        <w:trPr/>
        <w:tc>
          <w:tcPr>
            <w:tcW w:w="480" w:type="dxa"/>
            <w:tcBorders>
              <w:top w:val="single" w:sz="2" w:space="0" w:color="CCCCCC"/>
              <w:start w:val="single" w:sz="2" w:space="0" w:color="CCCCCC"/>
              <w:bottom w:val="single" w:sz="2" w:space="0" w:color="CCCCCC"/>
              <w:end w:val="single" w:sz="2" w:space="0" w:color="CCCCCC"/>
            </w:tcBorders>
            <w:shd w:fill="B71C1C" w:val="clear"/>
          </w:tcPr>
          <w:p>
            <w:pPr>
              <w:pStyle w:val="Normal"/>
              <w:jc w:val="center"/>
              <w:rPr/>
            </w:pPr>
            <w:r>
              <w:rPr>
                <w:rFonts w:eastAsia="Arial" w:cs="Arial"/>
                <w:b/>
                <w:bCs/>
                <w:color w:val="FFFFFF"/>
                <w:sz w:val="18"/>
                <w:szCs w:val="18"/>
              </w:rPr>
              <w:t>IMPLEMENTATION</w:t>
            </w:r>
          </w:p>
        </w:tc>
        <w:tc>
          <w:tcPr>
            <w:tcW w:w="8880" w:type="dxa"/>
            <w:tcBorders>
              <w:top w:val="single" w:sz="2" w:space="0" w:color="2E75B6"/>
              <w:start w:val="single" w:sz="4" w:space="0" w:color="2E75B6"/>
              <w:bottom w:val="single" w:sz="2" w:space="0" w:color="2E75B6"/>
              <w:end w:val="single" w:sz="2" w:space="0" w:color="2E75B6"/>
            </w:tcBorders>
            <w:shd w:fill="EEF4FB" w:val="clear"/>
            <w:tcMar>
              <w:start w:w="120" w:type="dxa"/>
              <w:end w:w="120" w:type="dxa"/>
            </w:tcMar>
          </w:tcPr>
          <w:p>
            <w:pPr>
              <w:pStyle w:val="Normal"/>
              <w:rPr/>
            </w:pPr>
            <w:r>
              <w:rPr>
                <w:rFonts w:eastAsia="Arial" w:cs="Arial"/>
                <w:i/>
                <w:iCs/>
                <w:sz w:val="19"/>
                <w:szCs w:val="19"/>
              </w:rPr>
              <w:t>After training the RandomForestClassifier, train a LogisticRegression on the same training set. At prediction time: P_ensemble = 0.4 × P_logistic + 0.6 × P_rf. Export both models' calibrated probabilities to meta_model.json along with ensemble weights. The C# side reads P_ensemble directly — no change to AlgoMetaLabel.cs needed.</w:t>
            </w:r>
          </w:p>
        </w:tc>
      </w:tr>
    </w:tbl>
    <w:p>
      <w:pPr>
        <w:pStyle w:val="Normal"/>
        <w:rPr/>
      </w:pPr>
      <w:r>
        <w:rPr/>
      </w:r>
    </w:p>
    <w:p>
      <w:pPr>
        <w:pStyle w:val="Heading3"/>
        <w:rPr/>
      </w:pPr>
      <w:r>
        <w:rPr>
          <w:rFonts w:eastAsia="Arial" w:cs="Arial" w:ascii="Arial" w:hAnsi="Arial"/>
          <w:b/>
          <w:bCs/>
          <w:color w:val="00695C"/>
          <w:sz w:val="24"/>
          <w:szCs w:val="24"/>
        </w:rPr>
        <w:t>P1-C: Monte Carlo Permutation Test in AlgoTrainer.py</w:t>
      </w:r>
    </w:p>
    <w:p>
      <w:pPr>
        <w:pStyle w:val="Normal"/>
        <w:spacing w:before="0" w:after="120"/>
        <w:rPr/>
      </w:pPr>
      <w:r>
        <w:rPr>
          <w:rFonts w:eastAsia="Arial" w:cs="Arial"/>
          <w:sz w:val="20"/>
          <w:szCs w:val="20"/>
        </w:rPr>
        <w:t>SSML and BWATS both mandate this. The test currently does not exist. Without it, there is no statistical basis for trusting that the ML gate is adding genuine value vs. fitting noise.</w:t>
      </w:r>
    </w:p>
    <w:tbl>
      <w:tblPr>
        <w:tblW w:w="9360" w:type="dxa"/>
        <w:jc w:val="start"/>
        <w:tblInd w:w="0" w:type="dxa"/>
        <w:tblLayout w:type="fixed"/>
        <w:tblCellMar>
          <w:top w:w="80" w:type="dxa"/>
          <w:start w:w="80" w:type="dxa"/>
          <w:bottom w:w="80" w:type="dxa"/>
          <w:end w:w="80" w:type="dxa"/>
        </w:tblCellMar>
      </w:tblPr>
      <w:tblGrid>
        <w:gridCol w:w="480"/>
        <w:gridCol w:w="8880"/>
      </w:tblGrid>
      <w:tr>
        <w:trPr/>
        <w:tc>
          <w:tcPr>
            <w:tcW w:w="480" w:type="dxa"/>
            <w:tcBorders>
              <w:top w:val="single" w:sz="2" w:space="0" w:color="CCCCCC"/>
              <w:start w:val="single" w:sz="2" w:space="0" w:color="CCCCCC"/>
              <w:bottom w:val="single" w:sz="2" w:space="0" w:color="CCCCCC"/>
              <w:end w:val="single" w:sz="2" w:space="0" w:color="CCCCCC"/>
            </w:tcBorders>
            <w:shd w:fill="B71C1C" w:val="clear"/>
          </w:tcPr>
          <w:p>
            <w:pPr>
              <w:pStyle w:val="Normal"/>
              <w:jc w:val="center"/>
              <w:rPr/>
            </w:pPr>
            <w:r>
              <w:rPr>
                <w:rFonts w:eastAsia="Arial" w:cs="Arial"/>
                <w:b/>
                <w:bCs/>
                <w:color w:val="FFFFFF"/>
                <w:sz w:val="18"/>
                <w:szCs w:val="18"/>
              </w:rPr>
              <w:t>IMPLEMENTATION</w:t>
            </w:r>
          </w:p>
        </w:tc>
        <w:tc>
          <w:tcPr>
            <w:tcW w:w="8880" w:type="dxa"/>
            <w:tcBorders>
              <w:top w:val="single" w:sz="2" w:space="0" w:color="2E75B6"/>
              <w:start w:val="single" w:sz="4" w:space="0" w:color="2E75B6"/>
              <w:bottom w:val="single" w:sz="2" w:space="0" w:color="2E75B6"/>
              <w:end w:val="single" w:sz="2" w:space="0" w:color="2E75B6"/>
            </w:tcBorders>
            <w:shd w:fill="EEF4FB" w:val="clear"/>
            <w:tcMar>
              <w:start w:w="120" w:type="dxa"/>
              <w:end w:w="120" w:type="dxa"/>
            </w:tcMar>
          </w:tcPr>
          <w:p>
            <w:pPr>
              <w:pStyle w:val="Normal"/>
              <w:rPr/>
            </w:pPr>
            <w:r>
              <w:rPr>
                <w:rFonts w:eastAsia="Arial" w:cs="Arial"/>
                <w:i/>
                <w:iCs/>
                <w:sz w:val="19"/>
                <w:szCs w:val="19"/>
              </w:rPr>
              <w:t>AlgoTrainer.py already has a permutation test stub (--no-permutation flag). Verify it correctly implements the SSML procedure: shuffle TripleBarrierLabel values 1,000 times keeping features fixed, recompute OOS AUC each time, compute p-value = fraction(shuffled AUC &gt; actual AUC). Reject model if p-value &gt; 0.05. This is currently gated by --force flag — make it mandatory in production mode.</w:t>
            </w:r>
          </w:p>
        </w:tc>
      </w:tr>
    </w:tbl>
    <w:p>
      <w:pPr>
        <w:pStyle w:val="Normal"/>
        <w:rPr/>
      </w:pPr>
      <w:r>
        <w:rPr/>
      </w:r>
    </w:p>
    <w:p>
      <w:pPr>
        <w:pStyle w:val="Heading2"/>
        <w:rPr/>
      </w:pPr>
      <w:r>
        <w:rPr>
          <w:rFonts w:eastAsia="Arial" w:cs="Arial" w:ascii="Arial" w:hAnsi="Arial"/>
          <w:b/>
          <w:bCs/>
          <w:color w:val="2E75B6"/>
          <w:sz w:val="28"/>
          <w:szCs w:val="28"/>
        </w:rPr>
        <w:t>3.3  Priority 2 — High-Impact Improvements</w:t>
      </w:r>
    </w:p>
    <w:p>
      <w:pPr>
        <w:pStyle w:val="Heading3"/>
        <w:rPr/>
      </w:pPr>
      <w:r>
        <w:rPr>
          <w:rFonts w:eastAsia="Arial" w:cs="Arial" w:ascii="Arial" w:hAnsi="Arial"/>
          <w:b/>
          <w:bCs/>
          <w:color w:val="00695C"/>
          <w:sz w:val="24"/>
          <w:szCs w:val="24"/>
        </w:rPr>
        <w:t>P2-A: Efficiency Ratio as Standalone Entry Gate</w:t>
      </w:r>
    </w:p>
    <w:p>
      <w:pPr>
        <w:pStyle w:val="Normal"/>
        <w:spacing w:before="0" w:after="120"/>
        <w:rPr/>
      </w:pPr>
      <w:r>
        <w:rPr>
          <w:rFonts w:eastAsia="Arial" w:cs="Arial"/>
          <w:sz w:val="20"/>
          <w:szCs w:val="20"/>
        </w:rPr>
        <w:t>ER is computed on every bar and logged in trade records but is NOT currently used as a real-time entry gate. Kaufman's TSM and Chan's QT both validate ER &lt; threshold as a chop filter superior to ADX for short-term directional signals.</w:t>
      </w:r>
    </w:p>
    <w:tbl>
      <w:tblPr>
        <w:tblW w:w="9360" w:type="dxa"/>
        <w:jc w:val="start"/>
        <w:tblInd w:w="0" w:type="dxa"/>
        <w:tblLayout w:type="fixed"/>
        <w:tblCellMar>
          <w:top w:w="80" w:type="dxa"/>
          <w:start w:w="80" w:type="dxa"/>
          <w:bottom w:w="80" w:type="dxa"/>
          <w:end w:w="80" w:type="dxa"/>
        </w:tblCellMar>
      </w:tblPr>
      <w:tblGrid>
        <w:gridCol w:w="480"/>
        <w:gridCol w:w="8880"/>
      </w:tblGrid>
      <w:tr>
        <w:trPr/>
        <w:tc>
          <w:tcPr>
            <w:tcW w:w="480" w:type="dxa"/>
            <w:tcBorders>
              <w:top w:val="single" w:sz="2" w:space="0" w:color="CCCCCC"/>
              <w:start w:val="single" w:sz="2" w:space="0" w:color="CCCCCC"/>
              <w:bottom w:val="single" w:sz="2" w:space="0" w:color="CCCCCC"/>
              <w:end w:val="single" w:sz="2" w:space="0" w:color="CCCCCC"/>
            </w:tcBorders>
            <w:shd w:fill="2E75B6" w:val="clear"/>
          </w:tcPr>
          <w:p>
            <w:pPr>
              <w:pStyle w:val="Normal"/>
              <w:jc w:val="center"/>
              <w:rPr/>
            </w:pPr>
            <w:r>
              <w:rPr>
                <w:rFonts w:eastAsia="Arial" w:cs="Arial"/>
                <w:b/>
                <w:bCs/>
                <w:color w:val="FFFFFF"/>
                <w:sz w:val="18"/>
                <w:szCs w:val="18"/>
              </w:rPr>
              <w:t>IMPLEMENTATION</w:t>
            </w:r>
          </w:p>
        </w:tc>
        <w:tc>
          <w:tcPr>
            <w:tcW w:w="8880" w:type="dxa"/>
            <w:tcBorders>
              <w:top w:val="single" w:sz="2" w:space="0" w:color="2E75B6"/>
              <w:start w:val="single" w:sz="4" w:space="0" w:color="2E75B6"/>
              <w:bottom w:val="single" w:sz="2" w:space="0" w:color="2E75B6"/>
              <w:end w:val="single" w:sz="2" w:space="0" w:color="2E75B6"/>
            </w:tcBorders>
            <w:shd w:fill="EEF4FB" w:val="clear"/>
            <w:tcMar>
              <w:start w:w="120" w:type="dxa"/>
              <w:end w:w="120" w:type="dxa"/>
            </w:tcMar>
          </w:tcPr>
          <w:p>
            <w:pPr>
              <w:pStyle w:val="Normal"/>
              <w:rPr/>
            </w:pPr>
            <w:r>
              <w:rPr>
                <w:rFonts w:eastAsia="Arial" w:cs="Arial"/>
                <w:i/>
                <w:iCs/>
                <w:sz w:val="19"/>
                <w:szCs w:val="19"/>
              </w:rPr>
              <w:t>In AlgoTraderBotSessionTrend.cs or AlgoTraderBot.cs: compute ER(20) = |Close[0] - Close[20]| / Sum(|Close[i] - Close[i-1]|, i=1..20). Add property ERChopThreshold (default 0.12). In entry gate cascade: if (er &lt; ERChopThreshold) return false. This is a zero-cost filter using existing Close[] data.</w:t>
            </w:r>
          </w:p>
        </w:tc>
      </w:tr>
    </w:tbl>
    <w:p>
      <w:pPr>
        <w:pStyle w:val="Heading3"/>
        <w:rPr/>
      </w:pPr>
      <w:r>
        <w:rPr>
          <w:rFonts w:eastAsia="Arial" w:cs="Arial" w:ascii="Arial" w:hAnsi="Arial"/>
          <w:b/>
          <w:bCs/>
          <w:color w:val="00695C"/>
          <w:sz w:val="24"/>
          <w:szCs w:val="24"/>
        </w:rPr>
        <w:t>P2-B: Midday Block (11:30–13:30 ET)</w:t>
      </w:r>
    </w:p>
    <w:p>
      <w:pPr>
        <w:pStyle w:val="Normal"/>
        <w:spacing w:before="0" w:after="120"/>
        <w:rPr/>
      </w:pPr>
      <w:r>
        <w:rPr>
          <w:rFonts w:eastAsia="Arial" w:cs="Arial"/>
          <w:sz w:val="20"/>
          <w:szCs w:val="20"/>
        </w:rPr>
        <w:t>TSM's U-shaped volume research is unambiguous: midday entries in equity index futures are primarily noise. Ranger has RTHWindowEnd but no midday suppression window.</w:t>
      </w:r>
    </w:p>
    <w:tbl>
      <w:tblPr>
        <w:tblW w:w="9360" w:type="dxa"/>
        <w:jc w:val="start"/>
        <w:tblInd w:w="0" w:type="dxa"/>
        <w:tblLayout w:type="fixed"/>
        <w:tblCellMar>
          <w:top w:w="80" w:type="dxa"/>
          <w:start w:w="80" w:type="dxa"/>
          <w:bottom w:w="80" w:type="dxa"/>
          <w:end w:w="80" w:type="dxa"/>
        </w:tblCellMar>
      </w:tblPr>
      <w:tblGrid>
        <w:gridCol w:w="480"/>
        <w:gridCol w:w="8880"/>
      </w:tblGrid>
      <w:tr>
        <w:trPr/>
        <w:tc>
          <w:tcPr>
            <w:tcW w:w="480" w:type="dxa"/>
            <w:tcBorders>
              <w:top w:val="single" w:sz="2" w:space="0" w:color="CCCCCC"/>
              <w:start w:val="single" w:sz="2" w:space="0" w:color="CCCCCC"/>
              <w:bottom w:val="single" w:sz="2" w:space="0" w:color="CCCCCC"/>
              <w:end w:val="single" w:sz="2" w:space="0" w:color="CCCCCC"/>
            </w:tcBorders>
            <w:shd w:fill="2E75B6" w:val="clear"/>
          </w:tcPr>
          <w:p>
            <w:pPr>
              <w:pStyle w:val="Normal"/>
              <w:jc w:val="center"/>
              <w:rPr/>
            </w:pPr>
            <w:r>
              <w:rPr>
                <w:rFonts w:eastAsia="Arial" w:cs="Arial"/>
                <w:b/>
                <w:bCs/>
                <w:color w:val="FFFFFF"/>
                <w:sz w:val="18"/>
                <w:szCs w:val="18"/>
              </w:rPr>
              <w:t>IMPLEMENTATION</w:t>
            </w:r>
          </w:p>
        </w:tc>
        <w:tc>
          <w:tcPr>
            <w:tcW w:w="8880" w:type="dxa"/>
            <w:tcBorders>
              <w:top w:val="single" w:sz="2" w:space="0" w:color="2E75B6"/>
              <w:start w:val="single" w:sz="4" w:space="0" w:color="2E75B6"/>
              <w:bottom w:val="single" w:sz="2" w:space="0" w:color="2E75B6"/>
              <w:end w:val="single" w:sz="2" w:space="0" w:color="2E75B6"/>
            </w:tcBorders>
            <w:shd w:fill="EEF4FB" w:val="clear"/>
            <w:tcMar>
              <w:start w:w="120" w:type="dxa"/>
              <w:end w:w="120" w:type="dxa"/>
            </w:tcMar>
          </w:tcPr>
          <w:p>
            <w:pPr>
              <w:pStyle w:val="Normal"/>
              <w:rPr/>
            </w:pPr>
            <w:r>
              <w:rPr>
                <w:rFonts w:eastAsia="Arial" w:cs="Arial"/>
                <w:i/>
                <w:iCs/>
                <w:sz w:val="19"/>
                <w:szCs w:val="19"/>
              </w:rPr>
              <w:t>Add MidDayBlockEnabled (default true), MidDayBlockStart (default 1130), MidDayBlockEnd (default 1330) properties. In the session time gate: if (MidDayBlockEnabled &amp;&amp; timeET &gt;= MidDayBlockStart * 100 &amp;&amp; timeET &lt; MidDayBlockEnd * 100) return false. Three properties, five lines of code.</w:t>
            </w:r>
          </w:p>
        </w:tc>
      </w:tr>
    </w:tbl>
    <w:p>
      <w:pPr>
        <w:pStyle w:val="Heading3"/>
        <w:rPr/>
      </w:pPr>
      <w:r>
        <w:rPr>
          <w:rFonts w:eastAsia="Arial" w:cs="Arial" w:ascii="Arial" w:hAnsi="Arial"/>
          <w:b/>
          <w:bCs/>
          <w:color w:val="00695C"/>
          <w:sz w:val="24"/>
          <w:szCs w:val="24"/>
        </w:rPr>
        <w:t>P2-C: Gap Filter on Large-Gap Opens</w:t>
      </w:r>
    </w:p>
    <w:p>
      <w:pPr>
        <w:pStyle w:val="Normal"/>
        <w:spacing w:before="0" w:after="120"/>
        <w:rPr/>
      </w:pPr>
      <w:r>
        <w:rPr>
          <w:rFonts w:eastAsia="Arial" w:cs="Arial"/>
          <w:sz w:val="20"/>
          <w:szCs w:val="20"/>
        </w:rPr>
        <w:t>TSM empirical research: counter-gap entries on gaps &gt; 0.5% in the first 30 minutes succeed only ~35% of the time. This is a systematic losing setup that Ranger currently takes freely.</w:t>
      </w:r>
    </w:p>
    <w:tbl>
      <w:tblPr>
        <w:tblW w:w="9360" w:type="dxa"/>
        <w:jc w:val="start"/>
        <w:tblInd w:w="0" w:type="dxa"/>
        <w:tblLayout w:type="fixed"/>
        <w:tblCellMar>
          <w:top w:w="80" w:type="dxa"/>
          <w:start w:w="80" w:type="dxa"/>
          <w:bottom w:w="80" w:type="dxa"/>
          <w:end w:w="80" w:type="dxa"/>
        </w:tblCellMar>
      </w:tblPr>
      <w:tblGrid>
        <w:gridCol w:w="480"/>
        <w:gridCol w:w="8880"/>
      </w:tblGrid>
      <w:tr>
        <w:trPr/>
        <w:tc>
          <w:tcPr>
            <w:tcW w:w="480" w:type="dxa"/>
            <w:tcBorders>
              <w:top w:val="single" w:sz="2" w:space="0" w:color="CCCCCC"/>
              <w:start w:val="single" w:sz="2" w:space="0" w:color="CCCCCC"/>
              <w:bottom w:val="single" w:sz="2" w:space="0" w:color="CCCCCC"/>
              <w:end w:val="single" w:sz="2" w:space="0" w:color="CCCCCC"/>
            </w:tcBorders>
            <w:shd w:fill="2E75B6" w:val="clear"/>
          </w:tcPr>
          <w:p>
            <w:pPr>
              <w:pStyle w:val="Normal"/>
              <w:jc w:val="center"/>
              <w:rPr/>
            </w:pPr>
            <w:r>
              <w:rPr>
                <w:rFonts w:eastAsia="Arial" w:cs="Arial"/>
                <w:b/>
                <w:bCs/>
                <w:color w:val="FFFFFF"/>
                <w:sz w:val="18"/>
                <w:szCs w:val="18"/>
              </w:rPr>
              <w:t>IMPLEMENTATION</w:t>
            </w:r>
          </w:p>
        </w:tc>
        <w:tc>
          <w:tcPr>
            <w:tcW w:w="8880" w:type="dxa"/>
            <w:tcBorders>
              <w:top w:val="single" w:sz="2" w:space="0" w:color="2E75B6"/>
              <w:start w:val="single" w:sz="4" w:space="0" w:color="2E75B6"/>
              <w:bottom w:val="single" w:sz="2" w:space="0" w:color="2E75B6"/>
              <w:end w:val="single" w:sz="2" w:space="0" w:color="2E75B6"/>
            </w:tcBorders>
            <w:shd w:fill="EEF4FB" w:val="clear"/>
            <w:tcMar>
              <w:start w:w="120" w:type="dxa"/>
              <w:end w:w="120" w:type="dxa"/>
            </w:tcMar>
          </w:tcPr>
          <w:p>
            <w:pPr>
              <w:pStyle w:val="Normal"/>
              <w:rPr/>
            </w:pPr>
            <w:r>
              <w:rPr>
                <w:rFonts w:eastAsia="Arial" w:cs="Arial"/>
                <w:i/>
                <w:iCs/>
                <w:sz w:val="19"/>
                <w:szCs w:val="19"/>
              </w:rPr>
              <w:t>Add GapFilterEnabled (default true), GapFilterPct (default 0.5), GapBlockMinutes (default 30) properties. At session open compute gapPct = |GlobexOpen - PriorClose| / PriorClose * 100. For first GapBlockMinutes bars after open: if gapPct &gt; GapFilterPct, block entries in counter-gap direction only.</w:t>
            </w:r>
          </w:p>
        </w:tc>
      </w:tr>
    </w:tbl>
    <w:p>
      <w:pPr>
        <w:pStyle w:val="Heading3"/>
        <w:rPr/>
      </w:pPr>
      <w:r>
        <w:rPr>
          <w:rFonts w:eastAsia="Arial" w:cs="Arial" w:ascii="Arial" w:hAnsi="Arial"/>
          <w:b/>
          <w:bCs/>
          <w:color w:val="00695C"/>
          <w:sz w:val="24"/>
          <w:szCs w:val="24"/>
        </w:rPr>
        <w:t>P2-D: Calmar Ratio in Trade Logger</w:t>
      </w:r>
    </w:p>
    <w:p>
      <w:pPr>
        <w:pStyle w:val="Normal"/>
        <w:spacing w:before="0" w:after="120"/>
        <w:rPr/>
      </w:pPr>
      <w:r>
        <w:rPr>
          <w:rFonts w:eastAsia="Arial" w:cs="Arial"/>
          <w:sz w:val="20"/>
          <w:szCs w:val="20"/>
        </w:rPr>
        <w:t>Chan's Machine Trading identifies Calmar ratio as the preferred directional strategy metric. Currently not computed in the logger or HUD.</w:t>
      </w:r>
    </w:p>
    <w:tbl>
      <w:tblPr>
        <w:tblW w:w="9360" w:type="dxa"/>
        <w:jc w:val="start"/>
        <w:tblInd w:w="0" w:type="dxa"/>
        <w:tblLayout w:type="fixed"/>
        <w:tblCellMar>
          <w:top w:w="80" w:type="dxa"/>
          <w:start w:w="80" w:type="dxa"/>
          <w:bottom w:w="80" w:type="dxa"/>
          <w:end w:w="80" w:type="dxa"/>
        </w:tblCellMar>
      </w:tblPr>
      <w:tblGrid>
        <w:gridCol w:w="480"/>
        <w:gridCol w:w="8880"/>
      </w:tblGrid>
      <w:tr>
        <w:trPr/>
        <w:tc>
          <w:tcPr>
            <w:tcW w:w="480" w:type="dxa"/>
            <w:tcBorders>
              <w:top w:val="single" w:sz="2" w:space="0" w:color="CCCCCC"/>
              <w:start w:val="single" w:sz="2" w:space="0" w:color="CCCCCC"/>
              <w:bottom w:val="single" w:sz="2" w:space="0" w:color="CCCCCC"/>
              <w:end w:val="single" w:sz="2" w:space="0" w:color="CCCCCC"/>
            </w:tcBorders>
            <w:shd w:fill="2E75B6" w:val="clear"/>
          </w:tcPr>
          <w:p>
            <w:pPr>
              <w:pStyle w:val="Normal"/>
              <w:jc w:val="center"/>
              <w:rPr/>
            </w:pPr>
            <w:r>
              <w:rPr>
                <w:rFonts w:eastAsia="Arial" w:cs="Arial"/>
                <w:b/>
                <w:bCs/>
                <w:color w:val="FFFFFF"/>
                <w:sz w:val="18"/>
                <w:szCs w:val="18"/>
              </w:rPr>
              <w:t>IMPLEMENTATION</w:t>
            </w:r>
          </w:p>
        </w:tc>
        <w:tc>
          <w:tcPr>
            <w:tcW w:w="8880" w:type="dxa"/>
            <w:tcBorders>
              <w:top w:val="single" w:sz="2" w:space="0" w:color="2E75B6"/>
              <w:start w:val="single" w:sz="4" w:space="0" w:color="2E75B6"/>
              <w:bottom w:val="single" w:sz="2" w:space="0" w:color="2E75B6"/>
              <w:end w:val="single" w:sz="2" w:space="0" w:color="2E75B6"/>
            </w:tcBorders>
            <w:shd w:fill="EEF4FB" w:val="clear"/>
            <w:tcMar>
              <w:start w:w="120" w:type="dxa"/>
              <w:end w:w="120" w:type="dxa"/>
            </w:tcMar>
          </w:tcPr>
          <w:p>
            <w:pPr>
              <w:pStyle w:val="Normal"/>
              <w:rPr/>
            </w:pPr>
            <w:r>
              <w:rPr>
                <w:rFonts w:eastAsia="Arial" w:cs="Arial"/>
                <w:i/>
                <w:iCs/>
                <w:sz w:val="19"/>
                <w:szCs w:val="19"/>
              </w:rPr>
              <w:t>In DailyRangeBotTradeLogger.cs / AlgoTradeLogger.cs: add SessionCalmar = SessionCAGR / |SessionMaxDrawdown| to the summary DTO and CSV header. In HUD: display Calmar next to Sharpe. This is a single-session approximation only — full 3-year Calmar requires persistent equity curve tracking.</w:t>
            </w:r>
          </w:p>
        </w:tc>
      </w:tr>
    </w:tbl>
    <w:p>
      <w:pPr>
        <w:pStyle w:val="Normal"/>
        <w:rPr/>
      </w:pPr>
      <w:r>
        <w:rPr/>
      </w:r>
    </w:p>
    <w:p>
      <w:pPr>
        <w:pStyle w:val="Heading2"/>
        <w:rPr/>
      </w:pPr>
      <w:r>
        <w:rPr>
          <w:rFonts w:eastAsia="Arial" w:cs="Arial" w:ascii="Arial" w:hAnsi="Arial"/>
          <w:b/>
          <w:bCs/>
          <w:color w:val="2E75B6"/>
          <w:sz w:val="28"/>
          <w:szCs w:val="28"/>
        </w:rPr>
        <w:t>3.4  Priority 3 — Medium Improvements</w:t>
      </w:r>
    </w:p>
    <w:p>
      <w:pPr>
        <w:pStyle w:val="Heading3"/>
        <w:rPr/>
      </w:pPr>
      <w:r>
        <w:rPr>
          <w:rFonts w:eastAsia="Arial" w:cs="Arial" w:ascii="Arial" w:hAnsi="Arial"/>
          <w:b/>
          <w:bCs/>
          <w:color w:val="00695C"/>
          <w:sz w:val="24"/>
          <w:szCs w:val="24"/>
        </w:rPr>
        <w:t>P3-A: Half-Size Rebuild After MaxConsecutiveLosses</w:t>
      </w:r>
    </w:p>
    <w:p>
      <w:pPr>
        <w:pStyle w:val="Normal"/>
        <w:spacing w:before="0" w:after="120"/>
        <w:rPr/>
      </w:pPr>
      <w:r>
        <w:rPr>
          <w:rFonts w:eastAsia="Arial" w:cs="Arial"/>
          <w:sz w:val="20"/>
          <w:szCs w:val="20"/>
        </w:rPr>
        <w:t>Kaufman's consecutive loss tables show that 5 consecutive losses at 40% WR is a statistically normal event (~7.8% per 100-trade sequence). The current gate pauses trading for the session — this is correct. The gap is what happens the NEXT session.</w:t>
      </w:r>
    </w:p>
    <w:tbl>
      <w:tblPr>
        <w:tblW w:w="9360" w:type="dxa"/>
        <w:jc w:val="start"/>
        <w:tblInd w:w="0" w:type="dxa"/>
        <w:tblLayout w:type="fixed"/>
        <w:tblCellMar>
          <w:top w:w="80" w:type="dxa"/>
          <w:start w:w="80" w:type="dxa"/>
          <w:bottom w:w="80" w:type="dxa"/>
          <w:end w:w="80" w:type="dxa"/>
        </w:tblCellMar>
      </w:tblPr>
      <w:tblGrid>
        <w:gridCol w:w="480"/>
        <w:gridCol w:w="8880"/>
      </w:tblGrid>
      <w:tr>
        <w:trPr/>
        <w:tc>
          <w:tcPr>
            <w:tcW w:w="480" w:type="dxa"/>
            <w:tcBorders>
              <w:top w:val="single" w:sz="2" w:space="0" w:color="CCCCCC"/>
              <w:start w:val="single" w:sz="2" w:space="0" w:color="CCCCCC"/>
              <w:bottom w:val="single" w:sz="2" w:space="0" w:color="CCCCCC"/>
              <w:end w:val="single" w:sz="2" w:space="0" w:color="CCCCCC"/>
            </w:tcBorders>
            <w:shd w:fill="37474F" w:val="clear"/>
          </w:tcPr>
          <w:p>
            <w:pPr>
              <w:pStyle w:val="Normal"/>
              <w:jc w:val="center"/>
              <w:rPr/>
            </w:pPr>
            <w:r>
              <w:rPr>
                <w:rFonts w:eastAsia="Arial" w:cs="Arial"/>
                <w:b/>
                <w:bCs/>
                <w:color w:val="FFFFFF"/>
                <w:sz w:val="18"/>
                <w:szCs w:val="18"/>
              </w:rPr>
              <w:t>IMPLEMENTATION</w:t>
            </w:r>
          </w:p>
        </w:tc>
        <w:tc>
          <w:tcPr>
            <w:tcW w:w="8880" w:type="dxa"/>
            <w:tcBorders>
              <w:top w:val="single" w:sz="2" w:space="0" w:color="2E75B6"/>
              <w:start w:val="single" w:sz="4" w:space="0" w:color="2E75B6"/>
              <w:bottom w:val="single" w:sz="2" w:space="0" w:color="2E75B6"/>
              <w:end w:val="single" w:sz="2" w:space="0" w:color="2E75B6"/>
            </w:tcBorders>
            <w:shd w:fill="EEF4FB" w:val="clear"/>
            <w:tcMar>
              <w:start w:w="120" w:type="dxa"/>
              <w:end w:w="120" w:type="dxa"/>
            </w:tcMar>
          </w:tcPr>
          <w:p>
            <w:pPr>
              <w:pStyle w:val="Normal"/>
              <w:rPr/>
            </w:pPr>
            <w:r>
              <w:rPr>
                <w:rFonts w:eastAsia="Arial" w:cs="Arial"/>
                <w:i/>
                <w:iCs/>
                <w:sz w:val="19"/>
                <w:szCs w:val="19"/>
              </w:rPr>
              <w:t>Add HalfSizeRebuildEnabled (default true) property. After MaxConsecutiveLosses fires: set _consecutiveLossRebuilding = true. For the next session's first trade: use BaseContracts * 0.5 (rounded up). After 2 consecutive wins: clear _consecutiveLossRebuilding flag, return to full size. This prevents over-confidence return to full size after a string of losses.</w:t>
            </w:r>
          </w:p>
        </w:tc>
      </w:tr>
    </w:tbl>
    <w:p>
      <w:pPr>
        <w:pStyle w:val="Heading3"/>
        <w:rPr/>
      </w:pPr>
      <w:r>
        <w:rPr>
          <w:rFonts w:eastAsia="Arial" w:cs="Arial" w:ascii="Arial" w:hAnsi="Arial"/>
          <w:b/>
          <w:bCs/>
          <w:color w:val="00695C"/>
          <w:sz w:val="24"/>
          <w:szCs w:val="24"/>
        </w:rPr>
        <w:t>P3-B: OIB Feature Addition</w:t>
      </w:r>
    </w:p>
    <w:p>
      <w:pPr>
        <w:pStyle w:val="Normal"/>
        <w:spacing w:before="0" w:after="120"/>
        <w:rPr/>
      </w:pPr>
      <w:r>
        <w:rPr>
          <w:rFonts w:eastAsia="Arial" w:cs="Arial"/>
          <w:sz w:val="20"/>
          <w:szCs w:val="20"/>
        </w:rPr>
        <w:t>Order imbalance (bid vs ask volume) was confirmed by AHF, Aldridge HFT, and QT as a genuine predictive feature for MNQ 1–5 minute direction. NT8 provides GetCurrentBidSize() / GetCurrentAskSize() at no data cost.</w:t>
      </w:r>
    </w:p>
    <w:tbl>
      <w:tblPr>
        <w:tblW w:w="9360" w:type="dxa"/>
        <w:jc w:val="start"/>
        <w:tblInd w:w="0" w:type="dxa"/>
        <w:tblLayout w:type="fixed"/>
        <w:tblCellMar>
          <w:top w:w="80" w:type="dxa"/>
          <w:start w:w="80" w:type="dxa"/>
          <w:bottom w:w="80" w:type="dxa"/>
          <w:end w:w="80" w:type="dxa"/>
        </w:tblCellMar>
      </w:tblPr>
      <w:tblGrid>
        <w:gridCol w:w="480"/>
        <w:gridCol w:w="8880"/>
      </w:tblGrid>
      <w:tr>
        <w:trPr/>
        <w:tc>
          <w:tcPr>
            <w:tcW w:w="480" w:type="dxa"/>
            <w:tcBorders>
              <w:top w:val="single" w:sz="2" w:space="0" w:color="CCCCCC"/>
              <w:start w:val="single" w:sz="2" w:space="0" w:color="CCCCCC"/>
              <w:bottom w:val="single" w:sz="2" w:space="0" w:color="CCCCCC"/>
              <w:end w:val="single" w:sz="2" w:space="0" w:color="CCCCCC"/>
            </w:tcBorders>
            <w:shd w:fill="37474F" w:val="clear"/>
          </w:tcPr>
          <w:p>
            <w:pPr>
              <w:pStyle w:val="Normal"/>
              <w:jc w:val="center"/>
              <w:rPr/>
            </w:pPr>
            <w:r>
              <w:rPr>
                <w:rFonts w:eastAsia="Arial" w:cs="Arial"/>
                <w:b/>
                <w:bCs/>
                <w:color w:val="FFFFFF"/>
                <w:sz w:val="18"/>
                <w:szCs w:val="18"/>
              </w:rPr>
              <w:t>IMPLEMENTATION</w:t>
            </w:r>
          </w:p>
        </w:tc>
        <w:tc>
          <w:tcPr>
            <w:tcW w:w="8880" w:type="dxa"/>
            <w:tcBorders>
              <w:top w:val="single" w:sz="2" w:space="0" w:color="2E75B6"/>
              <w:start w:val="single" w:sz="4" w:space="0" w:color="2E75B6"/>
              <w:bottom w:val="single" w:sz="2" w:space="0" w:color="2E75B6"/>
              <w:end w:val="single" w:sz="2" w:space="0" w:color="2E75B6"/>
            </w:tcBorders>
            <w:shd w:fill="EEF4FB" w:val="clear"/>
            <w:tcMar>
              <w:start w:w="120" w:type="dxa"/>
              <w:end w:w="120" w:type="dxa"/>
            </w:tcMar>
          </w:tcPr>
          <w:p>
            <w:pPr>
              <w:pStyle w:val="Normal"/>
              <w:rPr/>
            </w:pPr>
            <w:r>
              <w:rPr>
                <w:rFonts w:eastAsia="Arial" w:cs="Arial"/>
                <w:i/>
                <w:iCs/>
                <w:sz w:val="19"/>
                <w:szCs w:val="19"/>
              </w:rPr>
              <w:t>At entry time: compute OIB = (GetCurrentBidSize() - GetCurrentAskSize()) / (GetCurrentBidSize() + GetCurrentAskSize()). Log as OIB_at_Entry in JSONL. Add to AlgoTrainer.py feature vector as f12 (if expanding from 8 features). Run stepwise selection per SSML before committing — OIB may not survive selection on 15-minute chart data.</w:t>
            </w:r>
          </w:p>
        </w:tc>
      </w:tr>
    </w:tbl>
    <w:p>
      <w:pPr>
        <w:pStyle w:val="Heading3"/>
        <w:rPr/>
      </w:pPr>
      <w:r>
        <w:rPr>
          <w:rFonts w:eastAsia="Arial" w:cs="Arial" w:ascii="Arial" w:hAnsi="Arial"/>
          <w:b/>
          <w:bCs/>
          <w:color w:val="00695C"/>
          <w:sz w:val="24"/>
          <w:szCs w:val="24"/>
        </w:rPr>
        <w:t>P3-C: ER-Adaptive Trail Stop Scaling</w:t>
      </w:r>
    </w:p>
    <w:p>
      <w:pPr>
        <w:pStyle w:val="Normal"/>
        <w:spacing w:before="0" w:after="120"/>
        <w:rPr/>
      </w:pPr>
      <w:r>
        <w:rPr>
          <w:rFonts w:eastAsia="Arial" w:cs="Arial"/>
          <w:sz w:val="20"/>
          <w:szCs w:val="20"/>
        </w:rPr>
        <w:t>Kaufman's KAMA principle: scale trail stop aggressiveness by ER. In trending markets (ER &gt; 0.4): tighten trail to protect gains. In choppy markets (ER &lt; 0.2): widen trail to avoid noise stop-out.</w:t>
      </w:r>
    </w:p>
    <w:tbl>
      <w:tblPr>
        <w:tblW w:w="9360" w:type="dxa"/>
        <w:jc w:val="start"/>
        <w:tblInd w:w="0" w:type="dxa"/>
        <w:tblLayout w:type="fixed"/>
        <w:tblCellMar>
          <w:top w:w="80" w:type="dxa"/>
          <w:start w:w="80" w:type="dxa"/>
          <w:bottom w:w="80" w:type="dxa"/>
          <w:end w:w="80" w:type="dxa"/>
        </w:tblCellMar>
      </w:tblPr>
      <w:tblGrid>
        <w:gridCol w:w="480"/>
        <w:gridCol w:w="8880"/>
      </w:tblGrid>
      <w:tr>
        <w:trPr/>
        <w:tc>
          <w:tcPr>
            <w:tcW w:w="480" w:type="dxa"/>
            <w:tcBorders>
              <w:top w:val="single" w:sz="2" w:space="0" w:color="CCCCCC"/>
              <w:start w:val="single" w:sz="2" w:space="0" w:color="CCCCCC"/>
              <w:bottom w:val="single" w:sz="2" w:space="0" w:color="CCCCCC"/>
              <w:end w:val="single" w:sz="2" w:space="0" w:color="CCCCCC"/>
            </w:tcBorders>
            <w:shd w:fill="37474F" w:val="clear"/>
          </w:tcPr>
          <w:p>
            <w:pPr>
              <w:pStyle w:val="Normal"/>
              <w:jc w:val="center"/>
              <w:rPr/>
            </w:pPr>
            <w:r>
              <w:rPr>
                <w:rFonts w:eastAsia="Arial" w:cs="Arial"/>
                <w:b/>
                <w:bCs/>
                <w:color w:val="FFFFFF"/>
                <w:sz w:val="18"/>
                <w:szCs w:val="18"/>
              </w:rPr>
              <w:t>IMPLEMENTATION</w:t>
            </w:r>
          </w:p>
        </w:tc>
        <w:tc>
          <w:tcPr>
            <w:tcW w:w="8880" w:type="dxa"/>
            <w:tcBorders>
              <w:top w:val="single" w:sz="2" w:space="0" w:color="2E75B6"/>
              <w:start w:val="single" w:sz="4" w:space="0" w:color="2E75B6"/>
              <w:bottom w:val="single" w:sz="2" w:space="0" w:color="2E75B6"/>
              <w:end w:val="single" w:sz="2" w:space="0" w:color="2E75B6"/>
            </w:tcBorders>
            <w:shd w:fill="EEF4FB" w:val="clear"/>
            <w:tcMar>
              <w:start w:w="120" w:type="dxa"/>
              <w:end w:w="120" w:type="dxa"/>
            </w:tcMar>
          </w:tcPr>
          <w:p>
            <w:pPr>
              <w:pStyle w:val="Normal"/>
              <w:rPr/>
            </w:pPr>
            <w:r>
              <w:rPr>
                <w:rFonts w:eastAsia="Arial" w:cs="Arial"/>
                <w:i/>
                <w:iCs/>
                <w:sz w:val="19"/>
                <w:szCs w:val="19"/>
              </w:rPr>
              <w:t>In FixedStopTrail or ATRTrail: multiply trail distance by (1 + ERAdaptiveScale * (ERChopThreshold - ER)). When ER=0.4 (trending): scale factor approaches 0.8 (tighter). When ER=0.1 (chop): scale factor approaches 1.5 (wider). Add EnableERAdaptiveTrail (default false) property — off by default to avoid changing existing calibrated behavior.</w:t>
            </w:r>
          </w:p>
        </w:tc>
      </w:tr>
    </w:tbl>
    <w:p>
      <w:pPr>
        <w:pStyle w:val="Heading3"/>
        <w:rPr/>
      </w:pPr>
      <w:r>
        <w:rPr>
          <w:rFonts w:eastAsia="Arial" w:cs="Arial" w:ascii="Arial" w:hAnsi="Arial"/>
          <w:b/>
          <w:bCs/>
          <w:color w:val="00695C"/>
          <w:sz w:val="24"/>
          <w:szCs w:val="24"/>
        </w:rPr>
        <w:t>P3-D: DailyRangeDashboardGenerator.py — Add Calmar and ER Distribution</w:t>
      </w:r>
    </w:p>
    <w:p>
      <w:pPr>
        <w:pStyle w:val="Normal"/>
        <w:spacing w:before="0" w:after="120"/>
        <w:rPr/>
      </w:pPr>
      <w:r>
        <w:rPr>
          <w:rFonts w:eastAsia="Arial" w:cs="Arial"/>
          <w:sz w:val="20"/>
          <w:szCs w:val="20"/>
        </w:rPr>
        <w:t>The Python dashboard already shows ADX, SessionTrend, and SlopeAngle distributions. Adding Calmar ratio and ER distribution tabs would complete the performance picture.</w:t>
      </w:r>
    </w:p>
    <w:p>
      <w:pPr>
        <w:pStyle w:val="Normal"/>
        <w:rPr/>
      </w:pPr>
      <w:r>
        <w:rPr/>
      </w:r>
    </w:p>
    <w:p>
      <w:pPr>
        <w:pStyle w:val="Heading2"/>
        <w:rPr/>
      </w:pPr>
      <w:r>
        <w:rPr>
          <w:rFonts w:eastAsia="Arial" w:cs="Arial" w:ascii="Arial" w:hAnsi="Arial"/>
          <w:b/>
          <w:bCs/>
          <w:color w:val="2E75B6"/>
          <w:sz w:val="28"/>
          <w:szCs w:val="28"/>
        </w:rPr>
        <w:t>3.5  Summary Improvement Roadmap</w:t>
      </w:r>
    </w:p>
    <w:tbl>
      <w:tblPr>
        <w:tblW w:w="9360" w:type="dxa"/>
        <w:jc w:val="start"/>
        <w:tblInd w:w="0" w:type="dxa"/>
        <w:tblLayout w:type="fixed"/>
        <w:tblCellMar>
          <w:top w:w="80" w:type="dxa"/>
          <w:start w:w="120" w:type="dxa"/>
          <w:bottom w:w="80" w:type="dxa"/>
          <w:end w:w="120" w:type="dxa"/>
        </w:tblCellMar>
      </w:tblPr>
      <w:tblGrid>
        <w:gridCol w:w="759"/>
        <w:gridCol w:w="2782"/>
        <w:gridCol w:w="2783"/>
        <w:gridCol w:w="1012"/>
        <w:gridCol w:w="1012"/>
        <w:gridCol w:w="1012"/>
      </w:tblGrid>
      <w:tr>
        <w:trPr>
          <w:tblHeader w:val="true"/>
        </w:trPr>
        <w:tc>
          <w:tcPr>
            <w:tcW w:w="759"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18"/>
                <w:szCs w:val="18"/>
              </w:rPr>
              <w:t>ID</w:t>
            </w:r>
          </w:p>
        </w:tc>
        <w:tc>
          <w:tcPr>
            <w:tcW w:w="2782"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18"/>
                <w:szCs w:val="18"/>
              </w:rPr>
              <w:t>Improvement</w:t>
            </w:r>
          </w:p>
        </w:tc>
        <w:tc>
          <w:tcPr>
            <w:tcW w:w="2783"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18"/>
                <w:szCs w:val="18"/>
              </w:rPr>
              <w:t>Files</w:t>
            </w:r>
          </w:p>
        </w:tc>
        <w:tc>
          <w:tcPr>
            <w:tcW w:w="1012"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18"/>
                <w:szCs w:val="18"/>
              </w:rPr>
              <w:t>Effort</w:t>
            </w:r>
          </w:p>
        </w:tc>
        <w:tc>
          <w:tcPr>
            <w:tcW w:w="1012"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18"/>
                <w:szCs w:val="18"/>
              </w:rPr>
              <w:t>Priority</w:t>
            </w:r>
          </w:p>
        </w:tc>
        <w:tc>
          <w:tcPr>
            <w:tcW w:w="1012"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18"/>
                <w:szCs w:val="18"/>
              </w:rPr>
              <w:t>Book Source</w:t>
            </w:r>
          </w:p>
        </w:tc>
      </w:tr>
      <w:tr>
        <w:trPr/>
        <w:tc>
          <w:tcPr>
            <w:tcW w:w="75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P1-A</w:t>
            </w:r>
          </w:p>
        </w:tc>
        <w:tc>
          <w:tcPr>
            <w:tcW w:w="2782"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Replace f2 dead feature with SessionTrend_at_Entry</w:t>
            </w:r>
          </w:p>
        </w:tc>
        <w:tc>
          <w:tcPr>
            <w:tcW w:w="278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AlgoTrainer.py</w:t>
            </w:r>
          </w:p>
        </w:tc>
        <w:tc>
          <w:tcPr>
            <w:tcW w:w="1012"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1 hour</w:t>
            </w:r>
          </w:p>
        </w:tc>
        <w:tc>
          <w:tcPr>
            <w:tcW w:w="1012"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CRITICAL</w:t>
            </w:r>
          </w:p>
        </w:tc>
        <w:tc>
          <w:tcPr>
            <w:tcW w:w="1012"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AFML, SSML</w:t>
            </w:r>
          </w:p>
        </w:tc>
      </w:tr>
      <w:tr>
        <w:trPr/>
        <w:tc>
          <w:tcPr>
            <w:tcW w:w="75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P1-B</w:t>
            </w:r>
          </w:p>
        </w:tc>
        <w:tc>
          <w:tcPr>
            <w:tcW w:w="278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Add LR to RF ensemble in AlgoTrainer.py</w:t>
            </w:r>
          </w:p>
        </w:tc>
        <w:tc>
          <w:tcPr>
            <w:tcW w:w="278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AlgoTrainer.py</w:t>
            </w:r>
          </w:p>
        </w:tc>
        <w:tc>
          <w:tcPr>
            <w:tcW w:w="101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2 hours</w:t>
            </w:r>
          </w:p>
        </w:tc>
        <w:tc>
          <w:tcPr>
            <w:tcW w:w="101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CRITICAL</w:t>
            </w:r>
          </w:p>
        </w:tc>
        <w:tc>
          <w:tcPr>
            <w:tcW w:w="101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AIFM, SSML</w:t>
            </w:r>
          </w:p>
        </w:tc>
      </w:tr>
      <w:tr>
        <w:trPr/>
        <w:tc>
          <w:tcPr>
            <w:tcW w:w="75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P1-C</w:t>
            </w:r>
          </w:p>
        </w:tc>
        <w:tc>
          <w:tcPr>
            <w:tcW w:w="2782"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Verify/enable Monte Carlo permutation test</w:t>
            </w:r>
          </w:p>
        </w:tc>
        <w:tc>
          <w:tcPr>
            <w:tcW w:w="278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AlgoTrainer.py</w:t>
            </w:r>
          </w:p>
        </w:tc>
        <w:tc>
          <w:tcPr>
            <w:tcW w:w="1012"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1 hour</w:t>
            </w:r>
          </w:p>
        </w:tc>
        <w:tc>
          <w:tcPr>
            <w:tcW w:w="1012"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CRITICAL</w:t>
            </w:r>
          </w:p>
        </w:tc>
        <w:tc>
          <w:tcPr>
            <w:tcW w:w="1012"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BWATS, SSML</w:t>
            </w:r>
          </w:p>
        </w:tc>
      </w:tr>
      <w:tr>
        <w:trPr/>
        <w:tc>
          <w:tcPr>
            <w:tcW w:w="75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P2-A</w:t>
            </w:r>
          </w:p>
        </w:tc>
        <w:tc>
          <w:tcPr>
            <w:tcW w:w="278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ER chop gate in entry cascade</w:t>
            </w:r>
          </w:p>
        </w:tc>
        <w:tc>
          <w:tcPr>
            <w:tcW w:w="278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AlgoTraderBot.cs</w:t>
            </w:r>
          </w:p>
        </w:tc>
        <w:tc>
          <w:tcPr>
            <w:tcW w:w="101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2 hours</w:t>
            </w:r>
          </w:p>
        </w:tc>
        <w:tc>
          <w:tcPr>
            <w:tcW w:w="101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HIGH</w:t>
            </w:r>
          </w:p>
        </w:tc>
        <w:tc>
          <w:tcPr>
            <w:tcW w:w="101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TSM, QT</w:t>
            </w:r>
          </w:p>
        </w:tc>
      </w:tr>
      <w:tr>
        <w:trPr/>
        <w:tc>
          <w:tcPr>
            <w:tcW w:w="75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P2-B</w:t>
            </w:r>
          </w:p>
        </w:tc>
        <w:tc>
          <w:tcPr>
            <w:tcW w:w="2782"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Midday block 11:30–13:30</w:t>
            </w:r>
          </w:p>
        </w:tc>
        <w:tc>
          <w:tcPr>
            <w:tcW w:w="278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Ranger.cs, AlgoTraderBot.cs</w:t>
            </w:r>
          </w:p>
        </w:tc>
        <w:tc>
          <w:tcPr>
            <w:tcW w:w="1012"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1 hour</w:t>
            </w:r>
          </w:p>
        </w:tc>
        <w:tc>
          <w:tcPr>
            <w:tcW w:w="1012"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HIGH</w:t>
            </w:r>
          </w:p>
        </w:tc>
        <w:tc>
          <w:tcPr>
            <w:tcW w:w="1012"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TSM</w:t>
            </w:r>
          </w:p>
        </w:tc>
      </w:tr>
      <w:tr>
        <w:trPr/>
        <w:tc>
          <w:tcPr>
            <w:tcW w:w="75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P2-C</w:t>
            </w:r>
          </w:p>
        </w:tc>
        <w:tc>
          <w:tcPr>
            <w:tcW w:w="278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Gap filter on counter-gap opens</w:t>
            </w:r>
          </w:p>
        </w:tc>
        <w:tc>
          <w:tcPr>
            <w:tcW w:w="278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Ranger.cs, AlgoTraderBot.cs</w:t>
            </w:r>
          </w:p>
        </w:tc>
        <w:tc>
          <w:tcPr>
            <w:tcW w:w="101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2 hours</w:t>
            </w:r>
          </w:p>
        </w:tc>
        <w:tc>
          <w:tcPr>
            <w:tcW w:w="101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HIGH</w:t>
            </w:r>
          </w:p>
        </w:tc>
        <w:tc>
          <w:tcPr>
            <w:tcW w:w="101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TSM, QT</w:t>
            </w:r>
          </w:p>
        </w:tc>
      </w:tr>
      <w:tr>
        <w:trPr/>
        <w:tc>
          <w:tcPr>
            <w:tcW w:w="75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P2-D</w:t>
            </w:r>
          </w:p>
        </w:tc>
        <w:tc>
          <w:tcPr>
            <w:tcW w:w="2782"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Calmar ratio in logger and HUD</w:t>
            </w:r>
          </w:p>
        </w:tc>
        <w:tc>
          <w:tcPr>
            <w:tcW w:w="278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AlgoTradeLogger.cs, AlgoHUD.cs</w:t>
            </w:r>
          </w:p>
        </w:tc>
        <w:tc>
          <w:tcPr>
            <w:tcW w:w="1012"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1 hour</w:t>
            </w:r>
          </w:p>
        </w:tc>
        <w:tc>
          <w:tcPr>
            <w:tcW w:w="1012"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HIGH</w:t>
            </w:r>
          </w:p>
        </w:tc>
        <w:tc>
          <w:tcPr>
            <w:tcW w:w="1012"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MT Chan</w:t>
            </w:r>
          </w:p>
        </w:tc>
      </w:tr>
      <w:tr>
        <w:trPr/>
        <w:tc>
          <w:tcPr>
            <w:tcW w:w="75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P3-A</w:t>
            </w:r>
          </w:p>
        </w:tc>
        <w:tc>
          <w:tcPr>
            <w:tcW w:w="278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Half-size rebuild after consec-loss gate</w:t>
            </w:r>
          </w:p>
        </w:tc>
        <w:tc>
          <w:tcPr>
            <w:tcW w:w="278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Ranger.cs, AlgoTraderBot.cs</w:t>
            </w:r>
          </w:p>
        </w:tc>
        <w:tc>
          <w:tcPr>
            <w:tcW w:w="101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2 hours</w:t>
            </w:r>
          </w:p>
        </w:tc>
        <w:tc>
          <w:tcPr>
            <w:tcW w:w="101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MEDIUM</w:t>
            </w:r>
          </w:p>
        </w:tc>
        <w:tc>
          <w:tcPr>
            <w:tcW w:w="101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TSM</w:t>
            </w:r>
          </w:p>
        </w:tc>
      </w:tr>
      <w:tr>
        <w:trPr/>
        <w:tc>
          <w:tcPr>
            <w:tcW w:w="75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P3-B</w:t>
            </w:r>
          </w:p>
        </w:tc>
        <w:tc>
          <w:tcPr>
            <w:tcW w:w="2782"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OIB feature logging and training</w:t>
            </w:r>
          </w:p>
        </w:tc>
        <w:tc>
          <w:tcPr>
            <w:tcW w:w="278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Both bots + AlgoTrainer.py</w:t>
            </w:r>
          </w:p>
        </w:tc>
        <w:tc>
          <w:tcPr>
            <w:tcW w:w="1012"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3 hours</w:t>
            </w:r>
          </w:p>
        </w:tc>
        <w:tc>
          <w:tcPr>
            <w:tcW w:w="1012"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MEDIUM</w:t>
            </w:r>
          </w:p>
        </w:tc>
        <w:tc>
          <w:tcPr>
            <w:tcW w:w="1012"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AHF, HFT</w:t>
            </w:r>
          </w:p>
        </w:tc>
      </w:tr>
      <w:tr>
        <w:trPr/>
        <w:tc>
          <w:tcPr>
            <w:tcW w:w="75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P3-C</w:t>
            </w:r>
          </w:p>
        </w:tc>
        <w:tc>
          <w:tcPr>
            <w:tcW w:w="278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ER-adaptive trail stop scaling</w:t>
            </w:r>
          </w:p>
        </w:tc>
        <w:tc>
          <w:tcPr>
            <w:tcW w:w="278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FixedStopTrail / ATRTrail</w:t>
            </w:r>
          </w:p>
        </w:tc>
        <w:tc>
          <w:tcPr>
            <w:tcW w:w="101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3 hours</w:t>
            </w:r>
          </w:p>
        </w:tc>
        <w:tc>
          <w:tcPr>
            <w:tcW w:w="101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MEDIUM</w:t>
            </w:r>
          </w:p>
        </w:tc>
        <w:tc>
          <w:tcPr>
            <w:tcW w:w="101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TSM</w:t>
            </w:r>
          </w:p>
        </w:tc>
      </w:tr>
      <w:tr>
        <w:trPr/>
        <w:tc>
          <w:tcPr>
            <w:tcW w:w="75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P3-D</w:t>
            </w:r>
          </w:p>
        </w:tc>
        <w:tc>
          <w:tcPr>
            <w:tcW w:w="2782"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Calmar and ER tabs in dashboard</w:t>
            </w:r>
          </w:p>
        </w:tc>
        <w:tc>
          <w:tcPr>
            <w:tcW w:w="278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DailyRangeDashboardGenerator.py</w:t>
            </w:r>
          </w:p>
        </w:tc>
        <w:tc>
          <w:tcPr>
            <w:tcW w:w="1012"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2 hours</w:t>
            </w:r>
          </w:p>
        </w:tc>
        <w:tc>
          <w:tcPr>
            <w:tcW w:w="1012"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MEDIUM</w:t>
            </w:r>
          </w:p>
        </w:tc>
        <w:tc>
          <w:tcPr>
            <w:tcW w:w="1012"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MT Chan, TSM</w:t>
            </w:r>
          </w:p>
        </w:tc>
      </w:tr>
    </w:tbl>
    <w:p>
      <w:pPr>
        <w:pStyle w:val="Normal"/>
        <w:rPr/>
      </w:pPr>
      <w:r>
        <w:rPr/>
      </w:r>
      <w:r>
        <w:br w:type="page"/>
      </w:r>
    </w:p>
    <w:p>
      <w:pPr>
        <w:pStyle w:val="Heading1"/>
        <w:spacing w:before="0" w:after="180"/>
        <w:rPr/>
      </w:pPr>
      <w:r>
        <w:rPr>
          <w:rFonts w:eastAsia="Arial" w:cs="Arial" w:ascii="Arial" w:hAnsi="Arial"/>
          <w:b/>
          <w:bCs/>
          <w:color w:val="1F4E79"/>
          <w:sz w:val="36"/>
          <w:szCs w:val="36"/>
        </w:rPr>
        <w:t>Part IV — Unified AlgoTrader Property Specification</w:t>
      </w:r>
    </w:p>
    <w:p>
      <w:pPr>
        <w:pStyle w:val="Normal"/>
        <w:spacing w:before="0" w:after="120"/>
        <w:rPr/>
      </w:pPr>
      <w:r>
        <w:rPr>
          <w:rFonts w:eastAsia="Arial" w:cs="Arial"/>
          <w:sz w:val="20"/>
          <w:szCs w:val="20"/>
        </w:rPr>
        <w:t>Complete property table incorporating all 22 books. Defaults represent the consensus of the literature applied to MNQ on a 15-minute chart.</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523"/>
        <w:gridCol w:w="1147"/>
        <w:gridCol w:w="1835"/>
        <w:gridCol w:w="3855"/>
      </w:tblGrid>
      <w:tr>
        <w:trPr>
          <w:tblHeader w:val="true"/>
        </w:trPr>
        <w:tc>
          <w:tcPr>
            <w:tcW w:w="2523" w:type="dxa"/>
            <w:tcBorders>
              <w:top w:val="single" w:sz="2" w:space="0" w:color="CCCCCC"/>
              <w:start w:val="single" w:sz="2" w:space="0" w:color="CCCCCC"/>
              <w:bottom w:val="single" w:sz="2" w:space="0" w:color="CCCCCC"/>
              <w:end w:val="single" w:sz="2" w:space="0" w:color="CCCCCC"/>
            </w:tcBorders>
            <w:shd w:fill="00695C" w:val="clear"/>
          </w:tcPr>
          <w:p>
            <w:pPr>
              <w:pStyle w:val="Normal"/>
              <w:jc w:val="center"/>
              <w:rPr/>
            </w:pPr>
            <w:r>
              <w:rPr>
                <w:rFonts w:eastAsia="Arial" w:cs="Arial"/>
                <w:b/>
                <w:bCs/>
                <w:color w:val="FFFFFF"/>
                <w:sz w:val="18"/>
                <w:szCs w:val="18"/>
              </w:rPr>
              <w:t>Property</w:t>
            </w:r>
          </w:p>
        </w:tc>
        <w:tc>
          <w:tcPr>
            <w:tcW w:w="1147" w:type="dxa"/>
            <w:tcBorders>
              <w:top w:val="single" w:sz="2" w:space="0" w:color="CCCCCC"/>
              <w:start w:val="single" w:sz="2" w:space="0" w:color="CCCCCC"/>
              <w:bottom w:val="single" w:sz="2" w:space="0" w:color="CCCCCC"/>
              <w:end w:val="single" w:sz="2" w:space="0" w:color="CCCCCC"/>
            </w:tcBorders>
            <w:shd w:fill="00695C" w:val="clear"/>
          </w:tcPr>
          <w:p>
            <w:pPr>
              <w:pStyle w:val="Normal"/>
              <w:jc w:val="center"/>
              <w:rPr/>
            </w:pPr>
            <w:r>
              <w:rPr>
                <w:rFonts w:eastAsia="Arial" w:cs="Arial"/>
                <w:b/>
                <w:bCs/>
                <w:color w:val="FFFFFF"/>
                <w:sz w:val="18"/>
                <w:szCs w:val="18"/>
              </w:rPr>
              <w:t>Default</w:t>
            </w:r>
          </w:p>
        </w:tc>
        <w:tc>
          <w:tcPr>
            <w:tcW w:w="1835" w:type="dxa"/>
            <w:tcBorders>
              <w:top w:val="single" w:sz="2" w:space="0" w:color="CCCCCC"/>
              <w:start w:val="single" w:sz="2" w:space="0" w:color="CCCCCC"/>
              <w:bottom w:val="single" w:sz="2" w:space="0" w:color="CCCCCC"/>
              <w:end w:val="single" w:sz="2" w:space="0" w:color="CCCCCC"/>
            </w:tcBorders>
            <w:shd w:fill="00695C" w:val="clear"/>
          </w:tcPr>
          <w:p>
            <w:pPr>
              <w:pStyle w:val="Normal"/>
              <w:jc w:val="center"/>
              <w:rPr/>
            </w:pPr>
            <w:r>
              <w:rPr>
                <w:rFonts w:eastAsia="Arial" w:cs="Arial"/>
                <w:b/>
                <w:bCs/>
                <w:color w:val="FFFFFF"/>
                <w:sz w:val="18"/>
                <w:szCs w:val="18"/>
              </w:rPr>
              <w:t>Source</w:t>
            </w:r>
          </w:p>
        </w:tc>
        <w:tc>
          <w:tcPr>
            <w:tcW w:w="3855" w:type="dxa"/>
            <w:tcBorders>
              <w:top w:val="single" w:sz="2" w:space="0" w:color="CCCCCC"/>
              <w:start w:val="single" w:sz="2" w:space="0" w:color="CCCCCC"/>
              <w:bottom w:val="single" w:sz="2" w:space="0" w:color="CCCCCC"/>
              <w:end w:val="single" w:sz="2" w:space="0" w:color="CCCCCC"/>
            </w:tcBorders>
            <w:shd w:fill="00695C" w:val="clear"/>
          </w:tcPr>
          <w:p>
            <w:pPr>
              <w:pStyle w:val="Normal"/>
              <w:jc w:val="center"/>
              <w:rPr/>
            </w:pPr>
            <w:r>
              <w:rPr>
                <w:rFonts w:eastAsia="Arial" w:cs="Arial"/>
                <w:b/>
                <w:bCs/>
                <w:color w:val="FFFFFF"/>
                <w:sz w:val="18"/>
                <w:szCs w:val="18"/>
              </w:rPr>
              <w:t>Notes</w:t>
            </w:r>
          </w:p>
        </w:tc>
      </w:tr>
      <w:tr>
        <w:trPr/>
        <w:tc>
          <w:tcPr>
            <w:tcW w:w="252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 xml:space="preserve">── </w:t>
            </w:r>
            <w:r>
              <w:rPr>
                <w:rFonts w:eastAsia="Arial" w:cs="Arial"/>
                <w:sz w:val="18"/>
                <w:szCs w:val="18"/>
              </w:rPr>
              <w:t>01. Entry Windows ──</w:t>
            </w:r>
          </w:p>
        </w:tc>
        <w:tc>
          <w:tcPr>
            <w:tcW w:w="1147"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
          </w:p>
        </w:tc>
        <w:tc>
          <w:tcPr>
            <w:tcW w:w="183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
          </w:p>
        </w:tc>
        <w:tc>
          <w:tcPr>
            <w:tcW w:w="385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
          </w:p>
        </w:tc>
      </w:tr>
      <w:tr>
        <w:trPr/>
        <w:tc>
          <w:tcPr>
            <w:tcW w:w="252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EntryWindowStart</w:t>
            </w:r>
          </w:p>
        </w:tc>
        <w:tc>
          <w:tcPr>
            <w:tcW w:w="114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06:00</w:t>
            </w:r>
          </w:p>
        </w:tc>
        <w:tc>
          <w:tcPr>
            <w:tcW w:w="183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Pre-NY Globex window open</w:t>
            </w:r>
          </w:p>
        </w:tc>
        <w:tc>
          <w:tcPr>
            <w:tcW w:w="385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
          </w:p>
        </w:tc>
      </w:tr>
      <w:tr>
        <w:trPr/>
        <w:tc>
          <w:tcPr>
            <w:tcW w:w="252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RTHOpenTime</w:t>
            </w:r>
          </w:p>
        </w:tc>
        <w:tc>
          <w:tcPr>
            <w:tcW w:w="1147"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09:30</w:t>
            </w:r>
          </w:p>
        </w:tc>
        <w:tc>
          <w:tcPr>
            <w:tcW w:w="183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NY session open (ET)</w:t>
            </w:r>
          </w:p>
        </w:tc>
        <w:tc>
          <w:tcPr>
            <w:tcW w:w="385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
          </w:p>
        </w:tc>
      </w:tr>
      <w:tr>
        <w:trPr/>
        <w:tc>
          <w:tcPr>
            <w:tcW w:w="252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RTHWindowEnd</w:t>
            </w:r>
          </w:p>
        </w:tc>
        <w:tc>
          <w:tcPr>
            <w:tcW w:w="114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15:30</w:t>
            </w:r>
          </w:p>
        </w:tc>
        <w:tc>
          <w:tcPr>
            <w:tcW w:w="183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No new entries after this time</w:t>
            </w:r>
          </w:p>
        </w:tc>
        <w:tc>
          <w:tcPr>
            <w:tcW w:w="385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ATS: institutional unwind risk after 15:00</w:t>
            </w:r>
          </w:p>
        </w:tc>
      </w:tr>
      <w:tr>
        <w:trPr/>
        <w:tc>
          <w:tcPr>
            <w:tcW w:w="252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GlobexWarmupBars</w:t>
            </w:r>
          </w:p>
        </w:tc>
        <w:tc>
          <w:tcPr>
            <w:tcW w:w="1147"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4</w:t>
            </w:r>
          </w:p>
        </w:tc>
        <w:tc>
          <w:tcPr>
            <w:tcW w:w="183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DailyRange indicator</w:t>
            </w:r>
          </w:p>
        </w:tc>
        <w:tc>
          <w:tcPr>
            <w:tcW w:w="385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60 min on 15-min: blocks Globex spike entries</w:t>
            </w:r>
          </w:p>
        </w:tc>
      </w:tr>
      <w:tr>
        <w:trPr/>
        <w:tc>
          <w:tcPr>
            <w:tcW w:w="252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MidDayBlockEnabled</w:t>
            </w:r>
          </w:p>
        </w:tc>
        <w:tc>
          <w:tcPr>
            <w:tcW w:w="114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true</w:t>
            </w:r>
          </w:p>
        </w:tc>
        <w:tc>
          <w:tcPr>
            <w:tcW w:w="183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TSM Kaufman</w:t>
            </w:r>
          </w:p>
        </w:tc>
        <w:tc>
          <w:tcPr>
            <w:tcW w:w="385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U-shaped volume: 11:30–13:30 is noise window</w:t>
            </w:r>
          </w:p>
        </w:tc>
      </w:tr>
      <w:tr>
        <w:trPr/>
        <w:tc>
          <w:tcPr>
            <w:tcW w:w="252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MidDayBlockStart</w:t>
            </w:r>
          </w:p>
        </w:tc>
        <w:tc>
          <w:tcPr>
            <w:tcW w:w="1147"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11:30</w:t>
            </w:r>
          </w:p>
        </w:tc>
        <w:tc>
          <w:tcPr>
            <w:tcW w:w="183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TSM</w:t>
            </w:r>
          </w:p>
        </w:tc>
        <w:tc>
          <w:tcPr>
            <w:tcW w:w="385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
          </w:p>
        </w:tc>
      </w:tr>
      <w:tr>
        <w:trPr/>
        <w:tc>
          <w:tcPr>
            <w:tcW w:w="252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MidDayBlockEnd</w:t>
            </w:r>
          </w:p>
        </w:tc>
        <w:tc>
          <w:tcPr>
            <w:tcW w:w="114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13:30</w:t>
            </w:r>
          </w:p>
        </w:tc>
        <w:tc>
          <w:tcPr>
            <w:tcW w:w="183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TSM</w:t>
            </w:r>
          </w:p>
        </w:tc>
        <w:tc>
          <w:tcPr>
            <w:tcW w:w="385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
          </w:p>
        </w:tc>
      </w:tr>
      <w:tr>
        <w:trPr/>
        <w:tc>
          <w:tcPr>
            <w:tcW w:w="252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 xml:space="preserve">── </w:t>
            </w:r>
            <w:r>
              <w:rPr>
                <w:rFonts w:eastAsia="Arial" w:cs="Arial"/>
                <w:sz w:val="18"/>
                <w:szCs w:val="18"/>
              </w:rPr>
              <w:t>02. Stop / Target ──</w:t>
            </w:r>
          </w:p>
        </w:tc>
        <w:tc>
          <w:tcPr>
            <w:tcW w:w="1147"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
          </w:p>
        </w:tc>
        <w:tc>
          <w:tcPr>
            <w:tcW w:w="183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
          </w:p>
        </w:tc>
        <w:tc>
          <w:tcPr>
            <w:tcW w:w="385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
          </w:p>
        </w:tc>
      </w:tr>
      <w:tr>
        <w:trPr/>
        <w:tc>
          <w:tcPr>
            <w:tcW w:w="252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StopMode</w:t>
            </w:r>
          </w:p>
        </w:tc>
        <w:tc>
          <w:tcPr>
            <w:tcW w:w="114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HighLow</w:t>
            </w:r>
          </w:p>
        </w:tc>
        <w:tc>
          <w:tcPr>
            <w:tcW w:w="183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AFML: swing-based stops</w:t>
            </w:r>
          </w:p>
        </w:tc>
        <w:tc>
          <w:tcPr>
            <w:tcW w:w="385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FixedTick | ATR | HighLow | RiskReward</w:t>
            </w:r>
          </w:p>
        </w:tc>
      </w:tr>
      <w:tr>
        <w:trPr/>
        <w:tc>
          <w:tcPr>
            <w:tcW w:w="252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TargetMode</w:t>
            </w:r>
          </w:p>
        </w:tc>
        <w:tc>
          <w:tcPr>
            <w:tcW w:w="1147"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FixedTick</w:t>
            </w:r>
          </w:p>
        </w:tc>
        <w:tc>
          <w:tcPr>
            <w:tcW w:w="183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Empirical for MNQ</w:t>
            </w:r>
          </w:p>
        </w:tc>
        <w:tc>
          <w:tcPr>
            <w:tcW w:w="385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FixedTick | ATR | RiskReward | Swing</w:t>
            </w:r>
          </w:p>
        </w:tc>
      </w:tr>
      <w:tr>
        <w:trPr/>
        <w:tc>
          <w:tcPr>
            <w:tcW w:w="252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FixedSLTicks</w:t>
            </w:r>
          </w:p>
        </w:tc>
        <w:tc>
          <w:tcPr>
            <w:tcW w:w="114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150</w:t>
            </w:r>
          </w:p>
        </w:tc>
        <w:tc>
          <w:tcPr>
            <w:tcW w:w="183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Empirical</w:t>
            </w:r>
          </w:p>
        </w:tc>
        <w:tc>
          <w:tcPr>
            <w:tcW w:w="385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Validates as ~2× daily ATR for MNQ</w:t>
            </w:r>
          </w:p>
        </w:tc>
      </w:tr>
      <w:tr>
        <w:trPr/>
        <w:tc>
          <w:tcPr>
            <w:tcW w:w="252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FixedTPTicks</w:t>
            </w:r>
          </w:p>
        </w:tc>
        <w:tc>
          <w:tcPr>
            <w:tcW w:w="1147"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800</w:t>
            </w:r>
          </w:p>
        </w:tc>
        <w:tc>
          <w:tcPr>
            <w:tcW w:w="183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Empirical</w:t>
            </w:r>
          </w:p>
        </w:tc>
        <w:tc>
          <w:tcPr>
            <w:tcW w:w="385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~5.3× SL: positive EV at 22%+ win rate</w:t>
            </w:r>
          </w:p>
        </w:tc>
      </w:tr>
      <w:tr>
        <w:trPr/>
        <w:tc>
          <w:tcPr>
            <w:tcW w:w="252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SwingStopBufferTicks</w:t>
            </w:r>
          </w:p>
        </w:tc>
        <w:tc>
          <w:tcPr>
            <w:tcW w:w="114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10</w:t>
            </w:r>
          </w:p>
        </w:tc>
        <w:tc>
          <w:tcPr>
            <w:tcW w:w="183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AHF: adverse selection</w:t>
            </w:r>
          </w:p>
        </w:tc>
        <w:tc>
          <w:tcPr>
            <w:tcW w:w="385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Avoids stop clustering at swing extremes</w:t>
            </w:r>
          </w:p>
        </w:tc>
      </w:tr>
      <w:tr>
        <w:trPr/>
        <w:tc>
          <w:tcPr>
            <w:tcW w:w="252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SLATRMultiplier</w:t>
            </w:r>
          </w:p>
        </w:tc>
        <w:tc>
          <w:tcPr>
            <w:tcW w:w="1147"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1.50</w:t>
            </w:r>
          </w:p>
        </w:tc>
        <w:tc>
          <w:tcPr>
            <w:tcW w:w="183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ST Carver: min 1.5× ATR</w:t>
            </w:r>
          </w:p>
        </w:tc>
        <w:tc>
          <w:tcPr>
            <w:tcW w:w="385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Narrower stops get hit by normal volatility</w:t>
            </w:r>
          </w:p>
        </w:tc>
      </w:tr>
      <w:tr>
        <w:trPr/>
        <w:tc>
          <w:tcPr>
            <w:tcW w:w="252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TPATRMultiplier</w:t>
            </w:r>
          </w:p>
        </w:tc>
        <w:tc>
          <w:tcPr>
            <w:tcW w:w="114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2.50</w:t>
            </w:r>
          </w:p>
        </w:tc>
        <w:tc>
          <w:tcPr>
            <w:tcW w:w="183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Maintains 1.67 R:R</w:t>
            </w:r>
          </w:p>
        </w:tc>
        <w:tc>
          <w:tcPr>
            <w:tcW w:w="385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
          </w:p>
        </w:tc>
      </w:tr>
      <w:tr>
        <w:trPr/>
        <w:tc>
          <w:tcPr>
            <w:tcW w:w="252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 xml:space="preserve">── </w:t>
            </w:r>
            <w:r>
              <w:rPr>
                <w:rFonts w:eastAsia="Arial" w:cs="Arial"/>
                <w:sz w:val="18"/>
                <w:szCs w:val="18"/>
              </w:rPr>
              <w:t>03. Trail Mode ──</w:t>
            </w:r>
          </w:p>
        </w:tc>
        <w:tc>
          <w:tcPr>
            <w:tcW w:w="1147"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
          </w:p>
        </w:tc>
        <w:tc>
          <w:tcPr>
            <w:tcW w:w="183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
          </w:p>
        </w:tc>
        <w:tc>
          <w:tcPr>
            <w:tcW w:w="385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
          </w:p>
        </w:tc>
      </w:tr>
      <w:tr>
        <w:trPr/>
        <w:tc>
          <w:tcPr>
            <w:tcW w:w="252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TrailMode</w:t>
            </w:r>
          </w:p>
        </w:tc>
        <w:tc>
          <w:tcPr>
            <w:tcW w:w="114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FixedStopTrail</w:t>
            </w:r>
          </w:p>
        </w:tc>
        <w:tc>
          <w:tcPr>
            <w:tcW w:w="183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PAT: ratchet trail</w:t>
            </w:r>
          </w:p>
        </w:tc>
        <w:tc>
          <w:tcPr>
            <w:tcW w:w="385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StagedTicks | HighLow | FixedStopTrail | ATR</w:t>
            </w:r>
          </w:p>
        </w:tc>
      </w:tr>
      <w:tr>
        <w:trPr/>
        <w:tc>
          <w:tcPr>
            <w:tcW w:w="252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ATRTrailMultiplier</w:t>
            </w:r>
          </w:p>
        </w:tc>
        <w:tc>
          <w:tcPr>
            <w:tcW w:w="1147"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1.50</w:t>
            </w:r>
          </w:p>
        </w:tc>
        <w:tc>
          <w:tcPr>
            <w:tcW w:w="183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ATRTrail: N× ATR(25)</w:t>
            </w:r>
          </w:p>
        </w:tc>
        <w:tc>
          <w:tcPr>
            <w:tcW w:w="385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
          </w:p>
        </w:tc>
      </w:tr>
      <w:tr>
        <w:trPr/>
        <w:tc>
          <w:tcPr>
            <w:tcW w:w="252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EnableERAdaptiveTrail</w:t>
            </w:r>
          </w:p>
        </w:tc>
        <w:tc>
          <w:tcPr>
            <w:tcW w:w="114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false</w:t>
            </w:r>
          </w:p>
        </w:tc>
        <w:tc>
          <w:tcPr>
            <w:tcW w:w="183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TSM/Kaufman</w:t>
            </w:r>
          </w:p>
        </w:tc>
        <w:tc>
          <w:tcPr>
            <w:tcW w:w="385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OFF by default to preserve calibration</w:t>
            </w:r>
          </w:p>
        </w:tc>
      </w:tr>
      <w:tr>
        <w:trPr/>
        <w:tc>
          <w:tcPr>
            <w:tcW w:w="252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 xml:space="preserve">── </w:t>
            </w:r>
            <w:r>
              <w:rPr>
                <w:rFonts w:eastAsia="Arial" w:cs="Arial"/>
                <w:sz w:val="18"/>
                <w:szCs w:val="18"/>
              </w:rPr>
              <w:t>04. Entry Filters ──</w:t>
            </w:r>
          </w:p>
        </w:tc>
        <w:tc>
          <w:tcPr>
            <w:tcW w:w="1147"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
          </w:p>
        </w:tc>
        <w:tc>
          <w:tcPr>
            <w:tcW w:w="183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
          </w:p>
        </w:tc>
        <w:tc>
          <w:tcPr>
            <w:tcW w:w="385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
          </w:p>
        </w:tc>
      </w:tr>
      <w:tr>
        <w:trPr/>
        <w:tc>
          <w:tcPr>
            <w:tcW w:w="252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AdxMin</w:t>
            </w:r>
          </w:p>
        </w:tc>
        <w:tc>
          <w:tcPr>
            <w:tcW w:w="114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20</w:t>
            </w:r>
          </w:p>
        </w:tc>
        <w:tc>
          <w:tcPr>
            <w:tcW w:w="183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Narang, ATS</w:t>
            </w:r>
          </w:p>
        </w:tc>
        <w:tc>
          <w:tcPr>
            <w:tcW w:w="385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ADX below = directionless market</w:t>
            </w:r>
          </w:p>
        </w:tc>
      </w:tr>
      <w:tr>
        <w:trPr/>
        <w:tc>
          <w:tcPr>
            <w:tcW w:w="252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AdxMax</w:t>
            </w:r>
          </w:p>
        </w:tc>
        <w:tc>
          <w:tcPr>
            <w:tcW w:w="1147"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55</w:t>
            </w:r>
          </w:p>
        </w:tc>
        <w:tc>
          <w:tcPr>
            <w:tcW w:w="183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ATS</w:t>
            </w:r>
          </w:p>
        </w:tc>
        <w:tc>
          <w:tcPr>
            <w:tcW w:w="385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ADX above = overextended trend</w:t>
            </w:r>
          </w:p>
        </w:tc>
      </w:tr>
      <w:tr>
        <w:trPr/>
        <w:tc>
          <w:tcPr>
            <w:tcW w:w="252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EnableERFilter</w:t>
            </w:r>
          </w:p>
        </w:tc>
        <w:tc>
          <w:tcPr>
            <w:tcW w:w="114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true</w:t>
            </w:r>
          </w:p>
        </w:tc>
        <w:tc>
          <w:tcPr>
            <w:tcW w:w="183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TSM/Kaufman</w:t>
            </w:r>
          </w:p>
        </w:tc>
        <w:tc>
          <w:tcPr>
            <w:tcW w:w="385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ER &lt; ERChopThreshold = suppress entries</w:t>
            </w:r>
          </w:p>
        </w:tc>
      </w:tr>
      <w:tr>
        <w:trPr/>
        <w:tc>
          <w:tcPr>
            <w:tcW w:w="252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ERFilterPeriod</w:t>
            </w:r>
          </w:p>
        </w:tc>
        <w:tc>
          <w:tcPr>
            <w:tcW w:w="1147"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20</w:t>
            </w:r>
          </w:p>
        </w:tc>
        <w:tc>
          <w:tcPr>
            <w:tcW w:w="183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Kaufman</w:t>
            </w:r>
          </w:p>
        </w:tc>
        <w:tc>
          <w:tcPr>
            <w:tcW w:w="385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
          </w:p>
        </w:tc>
      </w:tr>
      <w:tr>
        <w:trPr/>
        <w:tc>
          <w:tcPr>
            <w:tcW w:w="252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ERChopThreshold</w:t>
            </w:r>
          </w:p>
        </w:tc>
        <w:tc>
          <w:tcPr>
            <w:tcW w:w="114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0.12</w:t>
            </w:r>
          </w:p>
        </w:tc>
        <w:tc>
          <w:tcPr>
            <w:tcW w:w="183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Kaufman</w:t>
            </w:r>
          </w:p>
        </w:tc>
        <w:tc>
          <w:tcPr>
            <w:tcW w:w="385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Below this = pure noise</w:t>
            </w:r>
          </w:p>
        </w:tc>
      </w:tr>
      <w:tr>
        <w:trPr/>
        <w:tc>
          <w:tcPr>
            <w:tcW w:w="252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EnableGapFilter</w:t>
            </w:r>
          </w:p>
        </w:tc>
        <w:tc>
          <w:tcPr>
            <w:tcW w:w="1147"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true</w:t>
            </w:r>
          </w:p>
        </w:tc>
        <w:tc>
          <w:tcPr>
            <w:tcW w:w="183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TSM/QT</w:t>
            </w:r>
          </w:p>
        </w:tc>
        <w:tc>
          <w:tcPr>
            <w:tcW w:w="385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Counter-gap entries fail 65% in first 30 min</w:t>
            </w:r>
          </w:p>
        </w:tc>
      </w:tr>
      <w:tr>
        <w:trPr/>
        <w:tc>
          <w:tcPr>
            <w:tcW w:w="252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GapFilterPct</w:t>
            </w:r>
          </w:p>
        </w:tc>
        <w:tc>
          <w:tcPr>
            <w:tcW w:w="114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0.50</w:t>
            </w:r>
          </w:p>
        </w:tc>
        <w:tc>
          <w:tcPr>
            <w:tcW w:w="183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TSM</w:t>
            </w:r>
          </w:p>
        </w:tc>
        <w:tc>
          <w:tcPr>
            <w:tcW w:w="385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Gap &gt; 0.5% triggers filter</w:t>
            </w:r>
          </w:p>
        </w:tc>
      </w:tr>
      <w:tr>
        <w:trPr/>
        <w:tc>
          <w:tcPr>
            <w:tcW w:w="252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GapBlockMinutes</w:t>
            </w:r>
          </w:p>
        </w:tc>
        <w:tc>
          <w:tcPr>
            <w:tcW w:w="1147"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30</w:t>
            </w:r>
          </w:p>
        </w:tc>
        <w:tc>
          <w:tcPr>
            <w:tcW w:w="183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TSM</w:t>
            </w:r>
          </w:p>
        </w:tc>
        <w:tc>
          <w:tcPr>
            <w:tcW w:w="385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Block counter-gap entries for N mins after open</w:t>
            </w:r>
          </w:p>
        </w:tc>
      </w:tr>
      <w:tr>
        <w:trPr/>
        <w:tc>
          <w:tcPr>
            <w:tcW w:w="252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 xml:space="preserve">── </w:t>
            </w:r>
            <w:r>
              <w:rPr>
                <w:rFonts w:eastAsia="Arial" w:cs="Arial"/>
                <w:sz w:val="18"/>
                <w:szCs w:val="18"/>
              </w:rPr>
              <w:t>05. Position Sizing ──</w:t>
            </w:r>
          </w:p>
        </w:tc>
        <w:tc>
          <w:tcPr>
            <w:tcW w:w="114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
          </w:p>
        </w:tc>
        <w:tc>
          <w:tcPr>
            <w:tcW w:w="183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
          </w:p>
        </w:tc>
        <w:tc>
          <w:tcPr>
            <w:tcW w:w="385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
          </w:p>
        </w:tc>
      </w:tr>
      <w:tr>
        <w:trPr/>
        <w:tc>
          <w:tcPr>
            <w:tcW w:w="252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Contracts</w:t>
            </w:r>
          </w:p>
        </w:tc>
        <w:tc>
          <w:tcPr>
            <w:tcW w:w="1147"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1</w:t>
            </w:r>
          </w:p>
        </w:tc>
        <w:tc>
          <w:tcPr>
            <w:tcW w:w="183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Base when vol-sizing off</w:t>
            </w:r>
          </w:p>
        </w:tc>
        <w:tc>
          <w:tcPr>
            <w:tcW w:w="385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
          </w:p>
        </w:tc>
      </w:tr>
      <w:tr>
        <w:trPr/>
        <w:tc>
          <w:tcPr>
            <w:tcW w:w="252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MinContracts</w:t>
            </w:r>
          </w:p>
        </w:tc>
        <w:tc>
          <w:tcPr>
            <w:tcW w:w="114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1</w:t>
            </w:r>
          </w:p>
        </w:tc>
        <w:tc>
          <w:tcPr>
            <w:tcW w:w="183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Floor</w:t>
            </w:r>
          </w:p>
        </w:tc>
        <w:tc>
          <w:tcPr>
            <w:tcW w:w="385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
          </w:p>
        </w:tc>
      </w:tr>
      <w:tr>
        <w:trPr/>
        <w:tc>
          <w:tcPr>
            <w:tcW w:w="252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MaxContracts</w:t>
            </w:r>
          </w:p>
        </w:tc>
        <w:tc>
          <w:tcPr>
            <w:tcW w:w="1147"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5</w:t>
            </w:r>
          </w:p>
        </w:tc>
        <w:tc>
          <w:tcPr>
            <w:tcW w:w="183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Cap</w:t>
            </w:r>
          </w:p>
        </w:tc>
        <w:tc>
          <w:tcPr>
            <w:tcW w:w="385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
          </w:p>
        </w:tc>
      </w:tr>
      <w:tr>
        <w:trPr/>
        <w:tc>
          <w:tcPr>
            <w:tcW w:w="252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EnableVolatilitySizing</w:t>
            </w:r>
          </w:p>
        </w:tc>
        <w:tc>
          <w:tcPr>
            <w:tcW w:w="114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false</w:t>
            </w:r>
          </w:p>
        </w:tc>
        <w:tc>
          <w:tcPr>
            <w:tcW w:w="183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ST Carver</w:t>
            </w:r>
          </w:p>
        </w:tc>
        <w:tc>
          <w:tcPr>
            <w:tcW w:w="385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Off by default; wire and test before enabling</w:t>
            </w:r>
          </w:p>
        </w:tc>
      </w:tr>
      <w:tr>
        <w:trPr/>
        <w:tc>
          <w:tcPr>
            <w:tcW w:w="252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TradingCapital</w:t>
            </w:r>
          </w:p>
        </w:tc>
        <w:tc>
          <w:tcPr>
            <w:tcW w:w="1147"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50000</w:t>
            </w:r>
          </w:p>
        </w:tc>
        <w:tc>
          <w:tcPr>
            <w:tcW w:w="183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Carver</w:t>
            </w:r>
          </w:p>
        </w:tc>
        <w:tc>
          <w:tcPr>
            <w:tcW w:w="385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Update every 10 trades via rolling capital</w:t>
            </w:r>
          </w:p>
        </w:tc>
      </w:tr>
      <w:tr>
        <w:trPr/>
        <w:tc>
          <w:tcPr>
            <w:tcW w:w="252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AnnualVolTargetPct</w:t>
            </w:r>
          </w:p>
        </w:tc>
        <w:tc>
          <w:tcPr>
            <w:tcW w:w="114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0.15</w:t>
            </w:r>
          </w:p>
        </w:tc>
        <w:tc>
          <w:tcPr>
            <w:tcW w:w="183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Carver: 15% std</w:t>
            </w:r>
          </w:p>
        </w:tc>
        <w:tc>
          <w:tcPr>
            <w:tcW w:w="385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Conservative/retirement: 10–12%</w:t>
            </w:r>
          </w:p>
        </w:tc>
      </w:tr>
      <w:tr>
        <w:trPr/>
        <w:tc>
          <w:tcPr>
            <w:tcW w:w="252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EnableRollingCapital</w:t>
            </w:r>
          </w:p>
        </w:tc>
        <w:tc>
          <w:tcPr>
            <w:tcW w:w="1147"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false</w:t>
            </w:r>
          </w:p>
        </w:tc>
        <w:tc>
          <w:tcPr>
            <w:tcW w:w="183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Carver</w:t>
            </w:r>
          </w:p>
        </w:tc>
        <w:tc>
          <w:tcPr>
            <w:tcW w:w="385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50% gains roll up; 100% loss mark-down</w:t>
            </w:r>
          </w:p>
        </w:tc>
      </w:tr>
      <w:tr>
        <w:trPr/>
        <w:tc>
          <w:tcPr>
            <w:tcW w:w="252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 xml:space="preserve">── </w:t>
            </w:r>
            <w:r>
              <w:rPr>
                <w:rFonts w:eastAsia="Arial" w:cs="Arial"/>
                <w:sz w:val="18"/>
                <w:szCs w:val="18"/>
              </w:rPr>
              <w:t>06. Risk Manager ──</w:t>
            </w:r>
          </w:p>
        </w:tc>
        <w:tc>
          <w:tcPr>
            <w:tcW w:w="114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
          </w:p>
        </w:tc>
        <w:tc>
          <w:tcPr>
            <w:tcW w:w="183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
          </w:p>
        </w:tc>
        <w:tc>
          <w:tcPr>
            <w:tcW w:w="385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
          </w:p>
        </w:tc>
      </w:tr>
      <w:tr>
        <w:trPr/>
        <w:tc>
          <w:tcPr>
            <w:tcW w:w="252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MaxDailyTrades</w:t>
            </w:r>
          </w:p>
        </w:tc>
        <w:tc>
          <w:tcPr>
            <w:tcW w:w="1147"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1</w:t>
            </w:r>
          </w:p>
        </w:tc>
        <w:tc>
          <w:tcPr>
            <w:tcW w:w="183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Davey: one-trade filter</w:t>
            </w:r>
          </w:p>
        </w:tc>
        <w:tc>
          <w:tcPr>
            <w:tcW w:w="385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Encoded as minimum quality gate</w:t>
            </w:r>
          </w:p>
        </w:tc>
      </w:tr>
      <w:tr>
        <w:trPr/>
        <w:tc>
          <w:tcPr>
            <w:tcW w:w="252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MaxConsecutiveLosses</w:t>
            </w:r>
          </w:p>
        </w:tc>
        <w:tc>
          <w:tcPr>
            <w:tcW w:w="114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5</w:t>
            </w:r>
          </w:p>
        </w:tc>
        <w:tc>
          <w:tcPr>
            <w:tcW w:w="183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TSM Kaufman</w:t>
            </w:r>
          </w:p>
        </w:tc>
        <w:tc>
          <w:tcPr>
            <w:tcW w:w="385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5 = statistically normal at 40% WR</w:t>
            </w:r>
          </w:p>
        </w:tc>
      </w:tr>
      <w:tr>
        <w:trPr/>
        <w:tc>
          <w:tcPr>
            <w:tcW w:w="252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HalfSizeRebuildEnabled</w:t>
            </w:r>
          </w:p>
        </w:tc>
        <w:tc>
          <w:tcPr>
            <w:tcW w:w="1147"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true</w:t>
            </w:r>
          </w:p>
        </w:tc>
        <w:tc>
          <w:tcPr>
            <w:tcW w:w="183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TSM</w:t>
            </w:r>
          </w:p>
        </w:tc>
        <w:tc>
          <w:tcPr>
            <w:tcW w:w="385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Half contracts for first trade after gate fires</w:t>
            </w:r>
          </w:p>
        </w:tc>
      </w:tr>
      <w:tr>
        <w:trPr/>
        <w:tc>
          <w:tcPr>
            <w:tcW w:w="252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DailyLossLimitTicks</w:t>
            </w:r>
          </w:p>
        </w:tc>
        <w:tc>
          <w:tcPr>
            <w:tcW w:w="114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600</w:t>
            </w:r>
          </w:p>
        </w:tc>
        <w:tc>
          <w:tcPr>
            <w:tcW w:w="183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PAT</w:t>
            </w:r>
          </w:p>
        </w:tc>
        <w:tc>
          <w:tcPr>
            <w:tcW w:w="385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2–3× avg loss in ticks</w:t>
            </w:r>
          </w:p>
        </w:tc>
      </w:tr>
      <w:tr>
        <w:trPr/>
        <w:tc>
          <w:tcPr>
            <w:tcW w:w="252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 xml:space="preserve">── </w:t>
            </w:r>
            <w:r>
              <w:rPr>
                <w:rFonts w:eastAsia="Arial" w:cs="Arial"/>
                <w:sz w:val="18"/>
                <w:szCs w:val="18"/>
              </w:rPr>
              <w:t>07. ML Gate ──</w:t>
            </w:r>
          </w:p>
        </w:tc>
        <w:tc>
          <w:tcPr>
            <w:tcW w:w="1147"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
          </w:p>
        </w:tc>
        <w:tc>
          <w:tcPr>
            <w:tcW w:w="183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
          </w:p>
        </w:tc>
        <w:tc>
          <w:tcPr>
            <w:tcW w:w="385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
          </w:p>
        </w:tc>
      </w:tr>
      <w:tr>
        <w:trPr/>
        <w:tc>
          <w:tcPr>
            <w:tcW w:w="252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EnableMLGate</w:t>
            </w:r>
          </w:p>
        </w:tc>
        <w:tc>
          <w:tcPr>
            <w:tcW w:w="114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true</w:t>
            </w:r>
          </w:p>
        </w:tc>
        <w:tc>
          <w:tcPr>
            <w:tcW w:w="183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AFML: meta-labeling</w:t>
            </w:r>
          </w:p>
        </w:tc>
        <w:tc>
          <w:tcPr>
            <w:tcW w:w="385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Primary ML architecture is correct</w:t>
            </w:r>
          </w:p>
        </w:tc>
      </w:tr>
      <w:tr>
        <w:trPr/>
        <w:tc>
          <w:tcPr>
            <w:tcW w:w="252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MLThreshold</w:t>
            </w:r>
          </w:p>
        </w:tc>
        <w:tc>
          <w:tcPr>
            <w:tcW w:w="1147"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0.55</w:t>
            </w:r>
          </w:p>
        </w:tc>
        <w:tc>
          <w:tcPr>
            <w:tcW w:w="183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SSML: calibrated</w:t>
            </w:r>
          </w:p>
        </w:tc>
        <w:tc>
          <w:tcPr>
            <w:tcW w:w="385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P(win) must exceed this to allow entry</w:t>
            </w:r>
          </w:p>
        </w:tc>
      </w:tr>
      <w:tr>
        <w:trPr/>
        <w:tc>
          <w:tcPr>
            <w:tcW w:w="252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EnableEnsembleModel</w:t>
            </w:r>
          </w:p>
        </w:tc>
        <w:tc>
          <w:tcPr>
            <w:tcW w:w="114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false</w:t>
            </w:r>
          </w:p>
        </w:tc>
        <w:tc>
          <w:tcPr>
            <w:tcW w:w="183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AIFM</w:t>
            </w:r>
          </w:p>
        </w:tc>
        <w:tc>
          <w:tcPr>
            <w:tcW w:w="385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P1-B: add when RF+LR ensemble is trained</w:t>
            </w:r>
          </w:p>
        </w:tc>
      </w:tr>
      <w:tr>
        <w:trPr/>
        <w:tc>
          <w:tcPr>
            <w:tcW w:w="252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 xml:space="preserve">── </w:t>
            </w:r>
            <w:r>
              <w:rPr>
                <w:rFonts w:eastAsia="Arial" w:cs="Arial"/>
                <w:sz w:val="18"/>
                <w:szCs w:val="18"/>
              </w:rPr>
              <w:t>08. DailyRange Params ──</w:t>
            </w:r>
          </w:p>
        </w:tc>
        <w:tc>
          <w:tcPr>
            <w:tcW w:w="1147"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
          </w:p>
        </w:tc>
        <w:tc>
          <w:tcPr>
            <w:tcW w:w="183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
          </w:p>
        </w:tc>
        <w:tc>
          <w:tcPr>
            <w:tcW w:w="385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
          </w:p>
        </w:tc>
      </w:tr>
      <w:tr>
        <w:trPr/>
        <w:tc>
          <w:tcPr>
            <w:tcW w:w="252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DR_GlobexWarmupBars</w:t>
            </w:r>
          </w:p>
        </w:tc>
        <w:tc>
          <w:tcPr>
            <w:tcW w:w="114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4</w:t>
            </w:r>
          </w:p>
        </w:tc>
        <w:tc>
          <w:tcPr>
            <w:tcW w:w="183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DailyRange indicator</w:t>
            </w:r>
          </w:p>
        </w:tc>
        <w:tc>
          <w:tcPr>
            <w:tcW w:w="385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Passed through to DailyRange factory</w:t>
            </w:r>
          </w:p>
        </w:tc>
      </w:tr>
      <w:tr>
        <w:trPr/>
        <w:tc>
          <w:tcPr>
            <w:tcW w:w="2523"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DR_MinTrendSlopeDegrees</w:t>
            </w:r>
          </w:p>
        </w:tc>
        <w:tc>
          <w:tcPr>
            <w:tcW w:w="1147"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5</w:t>
            </w:r>
          </w:p>
        </w:tc>
        <w:tc>
          <w:tcPr>
            <w:tcW w:w="183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SessionTrendLine gate</w:t>
            </w:r>
          </w:p>
        </w:tc>
        <w:tc>
          <w:tcPr>
            <w:tcW w:w="3855"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18"/>
                <w:szCs w:val="18"/>
              </w:rPr>
              <w:t>STL slope must exceed this before label fires</w:t>
            </w:r>
          </w:p>
        </w:tc>
      </w:tr>
      <w:tr>
        <w:trPr/>
        <w:tc>
          <w:tcPr>
            <w:tcW w:w="2523"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DR_TrendDisplacementAtrFilter</w:t>
            </w:r>
          </w:p>
        </w:tc>
        <w:tc>
          <w:tcPr>
            <w:tcW w:w="114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0.0</w:t>
            </w:r>
          </w:p>
        </w:tc>
        <w:tc>
          <w:tcPr>
            <w:tcW w:w="183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DailyRange indicator</w:t>
            </w:r>
          </w:p>
        </w:tc>
        <w:tc>
          <w:tcPr>
            <w:tcW w:w="3855"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0 = disabled</w:t>
            </w:r>
          </w:p>
        </w:tc>
      </w:tr>
    </w:tbl>
    <w:p>
      <w:pPr>
        <w:pStyle w:val="Normal"/>
        <w:rPr/>
      </w:pPr>
      <w:r>
        <w:rPr/>
      </w:r>
      <w:r>
        <w:br w:type="page"/>
      </w:r>
    </w:p>
    <w:p>
      <w:pPr>
        <w:pStyle w:val="Heading1"/>
        <w:spacing w:before="0" w:after="180"/>
        <w:rPr/>
      </w:pPr>
      <w:r>
        <w:rPr>
          <w:rFonts w:eastAsia="Arial" w:cs="Arial" w:ascii="Arial" w:hAnsi="Arial"/>
          <w:b/>
          <w:bCs/>
          <w:color w:val="1F4E79"/>
          <w:sz w:val="36"/>
          <w:szCs w:val="36"/>
        </w:rPr>
        <w:t>Part V — Ranger Implementation: Fixes Applied</w:t>
      </w:r>
    </w:p>
    <w:p>
      <w:pPr>
        <w:pStyle w:val="Normal"/>
        <w:spacing w:before="0" w:after="120"/>
        <w:rPr/>
      </w:pPr>
      <w:r>
        <w:rPr>
          <w:rFonts w:eastAsia="Arial" w:cs="Arial"/>
          <w:sz w:val="20"/>
          <w:szCs w:val="20"/>
        </w:rPr>
        <w:t>Ranger is the renamed, MomentumBot-only successor to Ranger and shares the same partial-class architecture evaluated throughout this document. Because the roadmap above was written against an earlier snapshot, most of its HIGH and MEDIUM items were already built into Ranger (Efficiency-Ratio filter, midday block, gap filter, FVG logic, news block, consecutive-loss gate, Carver volatility sizing, and the SessionTrend-based MasterTrendFilter). The remaining value lay in a cluster of defects that silently disabled features Ranger already had — chiefly in the ML feature pipeline and the trade log. This section records exactly what was changed.</w:t>
      </w:r>
    </w:p>
    <w:p>
      <w:pPr>
        <w:pStyle w:val="Heading2"/>
        <w:rPr/>
      </w:pPr>
      <w:r>
        <w:rPr>
          <w:rFonts w:eastAsia="Arial" w:cs="Arial" w:ascii="Arial" w:hAnsi="Arial"/>
          <w:b/>
          <w:bCs/>
          <w:color w:val="2E75B6"/>
          <w:sz w:val="28"/>
          <w:szCs w:val="28"/>
        </w:rPr>
        <w:t>5.1  ML Feature-Pipeline Fixes</w:t>
      </w:r>
    </w:p>
    <w:p>
      <w:pPr>
        <w:pStyle w:val="ListParagraph"/>
        <w:numPr>
          <w:ilvl w:val="0"/>
          <w:numId w:val="1"/>
        </w:numPr>
        <w:spacing w:before="0" w:after="80"/>
        <w:ind w:hanging="260" w:start="540"/>
        <w:rPr/>
      </w:pPr>
      <w:r>
        <w:rPr>
          <w:rFonts w:eastAsia="Arial" w:cs="Arial"/>
          <w:sz w:val="20"/>
          <w:szCs w:val="20"/>
        </w:rPr>
        <w:t>CRITICAL — feature vector never reached the logs. The trade logger guarded the feature-vector write with six checks of the form MlFeaturesAtEntry.Length == 8, but the model uses ML_FEATURES = 12. Every guard therefore failed, MlFeaturesAtEntry was always null, and the 12-feature vector was never serialized to the JSONL/CSV logs — leaving the trainer with no data to learn from. All six guards were corrected to == ML_FEATURES.</w:t>
      </w:r>
    </w:p>
    <w:p>
      <w:pPr>
        <w:pStyle w:val="ListParagraph"/>
        <w:numPr>
          <w:ilvl w:val="0"/>
          <w:numId w:val="1"/>
        </w:numPr>
        <w:spacing w:before="0" w:after="80"/>
        <w:ind w:hanging="260" w:start="540"/>
        <w:rPr/>
      </w:pPr>
      <w:r>
        <w:rPr>
          <w:rFonts w:eastAsia="Arial" w:cs="Arial"/>
          <w:sz w:val="20"/>
          <w:szCs w:val="20"/>
        </w:rPr>
        <w:t>Feature x[2] mostly carried a constant. The slot was derived from a SignalSource switch (SwingStructure=1.0, MomentumBot=0.0, else 0.5). In Ranger the live signal source is only ever MomentumBot, ColorWait, Reversion or empty, so the slot collapsed to 0.0 or 0.5 and SwingStructure (1.0) was never produced. It was repurposed to SessionTrend_at_Entry, mapping the SessionTrendLine state {-2..+2} to [0,1] via (t + 2) / 4. This gives the model real directional context (the highest-value feature class per AFML/SSML) and keeps feature 2 identical across the whole bot family so the shared trainer and dashboard read one contract.</w:t>
      </w:r>
    </w:p>
    <w:p>
      <w:pPr>
        <w:pStyle w:val="ListParagraph"/>
        <w:numPr>
          <w:ilvl w:val="0"/>
          <w:numId w:val="1"/>
        </w:numPr>
        <w:spacing w:before="0" w:after="80"/>
        <w:ind w:hanging="260" w:start="540"/>
        <w:rPr/>
      </w:pPr>
      <w:r>
        <w:rPr>
          <w:rFonts w:eastAsia="Arial" w:cs="Arial"/>
          <w:sz w:val="20"/>
          <w:szCs w:val="20"/>
        </w:rPr>
        <w:t>Order-imbalance feature used prices, not sizes. Feature x[11] (OIB) computed (bid - ask) / (bid + ask) from bid/ask PRICES, which yields a near-constant of roughly minus half-spread over twice the mid — no predictive content. It now uses the bid/ask queue VOLUMES via GetCurrentBidVolume() / GetCurrentAskVolume(), the correct Aldridge/AHF formulation. This is realtime-only by design and remains zero in backtest.</w:t>
      </w:r>
    </w:p>
    <w:p>
      <w:pPr>
        <w:pStyle w:val="Heading2"/>
        <w:rPr/>
      </w:pPr>
      <w:r>
        <w:rPr>
          <w:rFonts w:eastAsia="Arial" w:cs="Arial" w:ascii="Arial" w:hAnsi="Arial"/>
          <w:b/>
          <w:bCs/>
          <w:color w:val="2E75B6"/>
          <w:sz w:val="28"/>
          <w:szCs w:val="28"/>
        </w:rPr>
        <w:t>5.2  SessionTrend and Slope Capture at Entry</w:t>
      </w:r>
    </w:p>
    <w:p>
      <w:pPr>
        <w:pStyle w:val="Normal"/>
        <w:spacing w:before="0" w:after="120"/>
        <w:rPr/>
      </w:pPr>
      <w:r>
        <w:rPr>
          <w:rFonts w:eastAsia="Arial" w:cs="Arial"/>
          <w:sz w:val="20"/>
          <w:szCs w:val="20"/>
        </w:rPr>
        <w:t>SnapshotEntryIndicators did not record the SessionTrendLine state or slope, and Slope_at_Entry was a declared-but-never-assigned logger field that always logged zero. Two snapshot fields were added — entrySessionTrend (from stl1.Trend[0]) and entrySlopeAngle (from the indicator's own stl1.Slope, converted to degrees, with an OLS slope-of-closes fallback during warmup). Both are now written to the trade log. SessionTrend_at_Entry is what lets the trainer reconstruct ML feature 2 exactly as the live BuildFeatureVector computes it.</w:t>
      </w:r>
    </w:p>
    <w:p>
      <w:pPr>
        <w:pStyle w:val="Heading2"/>
        <w:rPr/>
      </w:pPr>
      <w:r>
        <w:rPr>
          <w:rFonts w:eastAsia="Arial" w:cs="Arial" w:ascii="Arial" w:hAnsi="Arial"/>
          <w:b/>
          <w:bCs/>
          <w:color w:val="2E75B6"/>
          <w:sz w:val="28"/>
          <w:szCs w:val="28"/>
        </w:rPr>
        <w:t>5.3  Dual-DTO Logger Consistency</w:t>
      </w:r>
    </w:p>
    <w:p>
      <w:pPr>
        <w:pStyle w:val="Normal"/>
        <w:spacing w:before="0" w:after="120"/>
        <w:rPr/>
      </w:pPr>
      <w:r>
        <w:rPr>
          <w:rFonts w:eastAsia="Arial" w:cs="Arial"/>
          <w:sz w:val="20"/>
          <w:szCs w:val="20"/>
        </w:rPr>
        <w:t>The logger carries two data classes — DROTradeEntry (per-trade) and DROChartTradeSummary (aggregated) — each with its own JSON and CSV writer. The summary class was missing Slope_at_Entry entirely and neither class had SessionTrend_at_Entry, so naively adding assignments at only one site produces a compile error (CS0117: the type does not contain a definition for the field). Both fields were therefore added to both DTO classes, assigned at both build sites, and serialized in all four writers, with CSV header and row column order kept in lockstep.</w:t>
      </w:r>
    </w:p>
    <w:p>
      <w:pPr>
        <w:pStyle w:val="Heading2"/>
        <w:rPr/>
      </w:pPr>
      <w:r>
        <w:rPr>
          <w:rFonts w:eastAsia="Arial" w:cs="Arial" w:ascii="Arial" w:hAnsi="Arial"/>
          <w:b/>
          <w:bCs/>
          <w:color w:val="2E75B6"/>
          <w:sz w:val="28"/>
          <w:szCs w:val="28"/>
        </w:rPr>
        <w:t>5.4  Trade Report Button and Python Tooling</w:t>
      </w:r>
    </w:p>
    <w:p>
      <w:pPr>
        <w:pStyle w:val="Normal"/>
        <w:spacing w:before="0" w:after="120"/>
        <w:rPr/>
      </w:pPr>
      <w:r>
        <w:rPr>
          <w:rFonts w:eastAsia="Arial" w:cs="Arial"/>
          <w:sz w:val="20"/>
          <w:szCs w:val="20"/>
        </w:rPr>
        <w:t>Ranger's Trade Report button is the reference implementation that the other strategies were aligned to. It resolves a real python.exe (searching Anaconda/Miniconda/Python3x installs rather than assuming PATH), reports every outcome through a MessageBox, runs RangerDashboardGenerator.py on RangerTrades.jsonl on a background thread, and opens the resulting HTML in Chrome with a default-browser fallback. The button, logger filenames (RangerTrades.jsonl/.csv plus summary variants), and the RangerLogs folder were verified to agree. RangerTrainer.py and RangerDashboardGenerator.py were already complete and were left unchanged.</w:t>
      </w:r>
    </w:p>
    <w:p>
      <w:pPr>
        <w:pStyle w:val="Normal"/>
        <w:spacing w:before="0" w:after="120"/>
        <w:rPr/>
      </w:pPr>
      <w:r>
        <w:rPr>
          <w:rFonts w:eastAsia="Arial" w:cs="Arial"/>
          <w:b/>
          <w:bCs/>
          <w:color w:val="C00000"/>
          <w:sz w:val="20"/>
          <w:szCs w:val="20"/>
        </w:rPr>
        <w:t>Retraining required: feature slots 2 and 11 changed meaning and the feature vector is only now being written to the logs at all, so any existing meta-model is invalid against the corrected vector. Retrain on logs collected after this build before relying on the ML gate.</w:t>
      </w:r>
    </w:p>
    <w:p>
      <w:pPr>
        <w:pStyle w:val="Normal"/>
        <w:rPr/>
      </w:pPr>
      <w:r>
        <w:rPr/>
      </w:r>
      <w:r>
        <w:br w:type="page"/>
      </w:r>
    </w:p>
    <w:p>
      <w:pPr>
        <w:pStyle w:val="Heading1"/>
        <w:spacing w:before="0" w:after="180"/>
        <w:rPr/>
      </w:pPr>
      <w:r>
        <w:rPr>
          <w:rFonts w:eastAsia="Arial" w:cs="Arial" w:ascii="Arial" w:hAnsi="Arial"/>
          <w:b/>
          <w:bCs/>
          <w:color w:val="1F4E79"/>
          <w:sz w:val="36"/>
          <w:szCs w:val="36"/>
        </w:rPr>
        <w:t>Closing: The 22-Book Consensus</w:t>
      </w:r>
    </w:p>
    <w:p>
      <w:pPr>
        <w:pStyle w:val="Normal"/>
        <w:spacing w:before="0" w:after="120"/>
        <w:rPr/>
      </w:pPr>
      <w:r>
        <w:rPr>
          <w:rFonts w:eastAsia="Arial" w:cs="Arial"/>
          <w:sz w:val="20"/>
          <w:szCs w:val="20"/>
        </w:rPr>
        <w:t>After synthesizing 22 books spanning 1999 to 2024, three principles emerge with near-universal agreement across authors, eras, and asset classes:</w:t>
      </w:r>
    </w:p>
    <w:p>
      <w:pPr>
        <w:pStyle w:val="Normal"/>
        <w:rPr/>
      </w:pPr>
      <w:r>
        <w:rPr/>
      </w:r>
    </w:p>
    <w:p>
      <w:pPr>
        <w:pStyle w:val="Normal"/>
        <w:spacing w:before="0" w:after="120"/>
        <w:rPr/>
      </w:pPr>
      <w:r>
        <w:rPr>
          <w:rFonts w:eastAsia="Arial" w:cs="Arial"/>
          <w:b/>
          <w:bCs/>
          <w:sz w:val="20"/>
          <w:szCs w:val="20"/>
        </w:rPr>
        <w:t>1. Size conservatively, then compound.</w:t>
      </w:r>
    </w:p>
    <w:p>
      <w:pPr>
        <w:pStyle w:val="Normal"/>
        <w:spacing w:before="0" w:after="120"/>
        <w:rPr/>
      </w:pPr>
      <w:r>
        <w:rPr>
          <w:rFonts w:eastAsia="Arial" w:cs="Arial"/>
          <w:sz w:val="20"/>
          <w:szCs w:val="20"/>
        </w:rPr>
        <w:t>Every sizing framework — Kelly (QT, MT), Optimal-f (TSM), Volatility targeting (ST), Monte Carlo (BWATS) — converges on the same practical recommendation: use 25% of the theoretically optimal leverage. Scale up only after live performance confirms backtest character. The mathematics of compounding rewards patience; the mathematics of ruin punishes aggression.</w:t>
      </w:r>
    </w:p>
    <w:p>
      <w:pPr>
        <w:pStyle w:val="Normal"/>
        <w:rPr/>
      </w:pPr>
      <w:r>
        <w:rPr/>
      </w:r>
    </w:p>
    <w:p>
      <w:pPr>
        <w:pStyle w:val="Normal"/>
        <w:spacing w:before="0" w:after="120"/>
        <w:rPr/>
      </w:pPr>
      <w:r>
        <w:rPr>
          <w:rFonts w:eastAsia="Arial" w:cs="Arial"/>
          <w:b/>
          <w:bCs/>
          <w:sz w:val="20"/>
          <w:szCs w:val="20"/>
        </w:rPr>
        <w:t>2. Execution and management trump signal quality.</w:t>
      </w:r>
    </w:p>
    <w:p>
      <w:pPr>
        <w:pStyle w:val="Normal"/>
        <w:spacing w:before="0" w:after="120"/>
        <w:rPr/>
      </w:pPr>
      <w:r>
        <w:rPr>
          <w:rFonts w:eastAsia="Arial" w:cs="Arial"/>
          <w:sz w:val="20"/>
          <w:szCs w:val="20"/>
        </w:rPr>
        <w:t>Chan (QT) found that 90% of what he'd studied for four years was useless. Davey won the World Cup with ordinary entries and extraordinary discipline. The IEM framework (from the psychology transcript analyzed in this session) states the same principle in plain English. Ranger's 4-stage trail, ML gate, and session risk rules ARE the system — the entry signal is the starting point, not the edge.</w:t>
      </w:r>
    </w:p>
    <w:p>
      <w:pPr>
        <w:pStyle w:val="Normal"/>
        <w:rPr/>
      </w:pPr>
      <w:r>
        <w:rPr/>
      </w:r>
    </w:p>
    <w:p>
      <w:pPr>
        <w:pStyle w:val="Normal"/>
        <w:spacing w:before="0" w:after="120"/>
        <w:rPr/>
      </w:pPr>
      <w:r>
        <w:rPr>
          <w:rFonts w:eastAsia="Arial" w:cs="Arial"/>
          <w:b/>
          <w:bCs/>
          <w:sz w:val="20"/>
          <w:szCs w:val="20"/>
        </w:rPr>
        <w:t>3. Validate statistically before trusting anything.</w:t>
      </w:r>
    </w:p>
    <w:p>
      <w:pPr>
        <w:pStyle w:val="Normal"/>
        <w:spacing w:before="0" w:after="120"/>
        <w:rPr/>
      </w:pPr>
      <w:r>
        <w:rPr>
          <w:rFonts w:eastAsia="Arial" w:cs="Arial"/>
          <w:sz w:val="20"/>
          <w:szCs w:val="20"/>
        </w:rPr>
        <w:t>SSML, BWATS, QT, and TSM all hammer the same message: a backtest without a permutation test, walk-forward validation, and sensitivity analysis is a hypothesis, not evidence. The AlgoTrainer.py permutation test (P1-C) is the single highest-leverage improvement available — it costs one hour to verify and provides statistical confidence in every model deployed thereafter.</w:t>
      </w:r>
    </w:p>
    <w:p>
      <w:pPr>
        <w:pStyle w:val="Normal"/>
        <w:rPr/>
      </w:pPr>
      <w:r>
        <w:rPr/>
      </w:r>
    </w:p>
    <w:p>
      <w:pPr>
        <w:pStyle w:val="Normal"/>
        <w:pBdr>
          <w:bottom w:val="single" w:sz="6" w:space="4" w:color="2E75B6"/>
        </w:pBdr>
        <w:rPr/>
      </w:pPr>
      <w:r>
        <w:rPr/>
      </w:r>
    </w:p>
    <w:p>
      <w:pPr>
        <w:pStyle w:val="Normal"/>
        <w:spacing w:before="120" w:after="60"/>
        <w:jc w:val="center"/>
        <w:rPr/>
      </w:pPr>
      <w:r>
        <w:rPr>
          <w:rFonts w:eastAsia="Arial" w:cs="Arial"/>
          <w:color w:val="BDBDBD"/>
          <w:sz w:val="18"/>
          <w:szCs w:val="18"/>
        </w:rPr>
        <w:t>May 2026  •  22 Books  •  AlgoTrader Unified Edition v3.0</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val="bestFit" w:percent="217"/>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0"/>
      <w:szCs w:val="20"/>
      <w:lang w:val="en-US" w:eastAsia="zh-CN" w:bidi="hi-IN"/>
    </w:rPr>
  </w:style>
  <w:style w:type="paragraph" w:styleId="Heading1">
    <w:name w:val="heading 1"/>
    <w:basedOn w:val="Heading"/>
    <w:qFormat/>
    <w:pPr>
      <w:spacing w:before="360" w:after="180"/>
      <w:outlineLvl w:val="0"/>
    </w:pPr>
    <w:rPr>
      <w:rFonts w:ascii="Arial" w:hAnsi="Arial" w:eastAsia="Arial" w:cs="Arial"/>
      <w:b/>
      <w:bCs/>
      <w:color w:val="1F4E79"/>
      <w:sz w:val="36"/>
      <w:szCs w:val="36"/>
    </w:rPr>
  </w:style>
  <w:style w:type="paragraph" w:styleId="Heading2">
    <w:name w:val="heading 2"/>
    <w:basedOn w:val="Heading"/>
    <w:qFormat/>
    <w:pPr>
      <w:spacing w:before="280" w:after="140"/>
      <w:outlineLvl w:val="1"/>
    </w:pPr>
    <w:rPr>
      <w:rFonts w:ascii="Arial" w:hAnsi="Arial" w:eastAsia="Arial" w:cs="Arial"/>
      <w:b/>
      <w:bCs/>
      <w:color w:val="2E75B6"/>
      <w:sz w:val="28"/>
      <w:szCs w:val="28"/>
    </w:rPr>
  </w:style>
  <w:style w:type="paragraph" w:styleId="Heading3">
    <w:name w:val="heading 3"/>
    <w:basedOn w:val="Heading"/>
    <w:qFormat/>
    <w:pPr>
      <w:spacing w:before="200" w:after="100"/>
      <w:outlineLvl w:val="2"/>
    </w:pPr>
    <w:rPr>
      <w:rFonts w:ascii="Arial" w:hAnsi="Arial" w:eastAsia="Arial" w:cs="Arial"/>
      <w:b/>
      <w:bCs/>
      <w:color w:val="00695C"/>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LibreOffice/26.2.3.2$Windows_X86_64 LibreOffice_project/70e089b17412e4cb7773e41413306b17a2328c34</Application>
  <AppVersion>15.0000</AppVersion>
  <Pages>20</Pages>
  <Words>6323</Words>
  <Characters>37928</Characters>
  <CharactersWithSpaces>43599</CharactersWithSpaces>
  <Paragraphs>696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2026-05-24T15:05:42Z</dcterms:created>
  <dc:creator>Un-named</dc:creator>
  <dc:description/>
  <dc:language>en-US</dc:language>
  <cp:lastModifiedBy/>
  <dcterms:modified xsi:type="dcterms:W3CDTF">2026-06-02T00:45:39Z</dcterms:modified>
  <cp:revision>2</cp:revision>
  <dc:subject/>
  <dc:title/>
</cp:coreProperties>
</file>