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2E74B5"/>
          <w:sz w:val="18"/>
        </w:rPr>
        <w:t>БОНУС К КОМПАКТНОЙ РЕДАКЦИИ</w:t>
      </w:r>
    </w:p>
    <w:p>
      <w:pPr>
        <w:spacing w:before="0" w:after="100" w:line="300" w:lineRule="auto"/>
      </w:pPr>
      <w:r>
        <w:rPr>
          <w:rFonts w:ascii="Calibri" w:hAnsi="Calibri"/>
          <w:b/>
          <w:i w:val="0"/>
          <w:color w:val="1F4D78"/>
          <w:sz w:val="48"/>
        </w:rPr>
        <w:t>Карта бренд-проекта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666666"/>
          <w:sz w:val="23"/>
        </w:rPr>
        <w:t>Одна страница решений до исследования и первого эскиза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333333"/>
          <w:sz w:val="21"/>
        </w:rPr>
        <w:t>Используйте карту после разговора с клиентом. Заполняйте только то, что известно; если данных нет, так и напишите. Карта фиксирует рамки решения, а не заменяет исследование или заключение профильного специалиста.</w:t>
      </w:r>
    </w:p>
    <w:p>
      <w:pPr>
        <w:pStyle w:val="Heading2"/>
      </w:pPr>
      <w:r>
        <w:t>1. Контекст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Проект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Название бренда, дата, версия и этап.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Участники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Кто участвует и кто принимает итоговое решение.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Причина старта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Почему проект возник именно сейчас.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2. Рабочая задача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Текущее положение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 происходит сейчас и какие наблюдения это подтверждают.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Проблема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Какую деловую или коммуникационную проблему должен решить дизайн.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Желаемое изменение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 должно измениться после запуска и как это можно проверить.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ind w:left="160" w:right="160"/>
        <w:shd w:fill="F2F4F7"/>
      </w:pPr>
      <w:r>
        <w:rPr>
          <w:rFonts w:ascii="Calibri" w:hAnsi="Calibri"/>
          <w:b w:val="0"/>
          <w:i/>
          <w:color w:val="444444"/>
          <w:sz w:val="19"/>
        </w:rPr>
        <w:t>Формулировка вроде «сделать современно» описывает предпочтение, а не рабочую проблему.</w:t>
      </w:r>
    </w:p>
    <w:p>
      <w:pPr>
        <w:pStyle w:val="Heading2"/>
      </w:pPr>
      <w:r>
        <w:t>3. Аудитория и ситуация выбора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Кто выбирает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Человек или группа, принимающая решение о покупке или выборе.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Контекст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Где, когда и рядом с чем человек встречает бренд.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Данные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 известно об аудитории и каких сведений пока не хватает.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4. Альтернативы и конкуренты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Сравнение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С какими брендами и альтернативами продукт реально сравнивают.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Факты и гипотезы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Какие выводы подтверждены наблюдениями, а какие ещё нужно проверить.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5. Ограничения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Нельзя менять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Наследие бренда, обязательные элементы и договорённости.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Носители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Ключевые форматы, технические и производственные условия.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Отдельная экспертиза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Право, производство, доступность и другие вопросы вне компетенции команды.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Ресурсы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Срок, бюджет внедрения и зависимости от других участников.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6. Критерии решения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Выбор концепции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По каким признакам команда сравнит варианты.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Проверка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Что, на ком и в каком контексте проверяем до запуска.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Стоп-критерий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При каком результате работу нужно остановить или вернуть на предыдущий этап.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7. Итоговая формулировка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Задача одним предложением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 проектируем, для кого, какую проблему решаем и при каких ограничениях.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Перед первым эскизом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8860"/>
      </w:tblGrid>
      <w:tr>
        <w:trPr>
          <w:tblHeader w:val="true"/>
        </w:trP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Отметка</w:t>
            </w:r>
          </w:p>
        </w:tc>
        <w:tc>
          <w:tcPr>
            <w:tcW w:type="dxa" w:w="8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Проверка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Задача описывает проблему, а не желаемый стиль.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Факты, выводы и гипотезы отделены друг от друга.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Понятно, кто принимает решение и по каким критериям.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Критические ограничения вынесены в отдельную проверку.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Неизвестные данные записаны, а не заполнены догадками.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/>
        <w:b w:val="0"/>
        <w:i w:val="0"/>
        <w:color w:val="666666"/>
        <w:sz w:val="17"/>
      </w:rPr>
      <w:t>Владислав Владимирович Попов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Calibri" w:hAnsi="Calibri"/>
        <w:b/>
        <w:i w:val="0"/>
        <w:color w:val="666666"/>
        <w:sz w:val="17"/>
      </w:rPr>
      <w:t>ПРОФЕССИОНАЛЬНЫЙ СПРАВОЧНИК БРЕНД-ДИЗАЙНЕРА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