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41BE" w14:textId="3537D4D0" w:rsidR="003C5761" w:rsidRPr="003B61D7" w:rsidRDefault="003C5761" w:rsidP="003C5761">
      <w:pPr>
        <w:ind w:left="360" w:hanging="360"/>
        <w:rPr>
          <w:rFonts w:ascii="Times New Roman" w:hAnsi="Times New Roman" w:cs="Times New Roman"/>
          <w:b/>
          <w:bCs/>
          <w:sz w:val="48"/>
          <w:szCs w:val="48"/>
        </w:rPr>
      </w:pPr>
      <w:r w:rsidRPr="003B61D7">
        <w:rPr>
          <w:rFonts w:ascii="Times New Roman" w:hAnsi="Times New Roman" w:cs="Times New Roman"/>
          <w:b/>
          <w:bCs/>
          <w:sz w:val="48"/>
          <w:szCs w:val="48"/>
        </w:rPr>
        <w:t xml:space="preserve">Risk Management – </w:t>
      </w:r>
      <w:proofErr w:type="spellStart"/>
      <w:r w:rsidRPr="003B61D7">
        <w:rPr>
          <w:rFonts w:ascii="Times New Roman" w:hAnsi="Times New Roman" w:cs="Times New Roman"/>
          <w:b/>
          <w:bCs/>
          <w:sz w:val="48"/>
          <w:szCs w:val="48"/>
        </w:rPr>
        <w:t>Quản</w:t>
      </w:r>
      <w:proofErr w:type="spellEnd"/>
      <w:r w:rsidRPr="003B61D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B61D7">
        <w:rPr>
          <w:rFonts w:ascii="Times New Roman" w:hAnsi="Times New Roman" w:cs="Times New Roman"/>
          <w:b/>
          <w:bCs/>
          <w:sz w:val="48"/>
          <w:szCs w:val="48"/>
        </w:rPr>
        <w:t>lý</w:t>
      </w:r>
      <w:proofErr w:type="spellEnd"/>
      <w:r w:rsidRPr="003B61D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3B61D7">
        <w:rPr>
          <w:rFonts w:ascii="Times New Roman" w:hAnsi="Times New Roman" w:cs="Times New Roman"/>
          <w:b/>
          <w:bCs/>
          <w:sz w:val="48"/>
          <w:szCs w:val="48"/>
        </w:rPr>
        <w:t>rủi</w:t>
      </w:r>
      <w:proofErr w:type="spellEnd"/>
      <w:r w:rsidRPr="003B61D7">
        <w:rPr>
          <w:rFonts w:ascii="Times New Roman" w:hAnsi="Times New Roman" w:cs="Times New Roman"/>
          <w:b/>
          <w:bCs/>
          <w:sz w:val="48"/>
          <w:szCs w:val="48"/>
        </w:rPr>
        <w:t xml:space="preserve"> do</w:t>
      </w:r>
    </w:p>
    <w:p w14:paraId="534DE9F2" w14:textId="75CDAAAD" w:rsidR="00396C6E" w:rsidRPr="001D2E45" w:rsidRDefault="003C5761" w:rsidP="001D2E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D2E45">
        <w:rPr>
          <w:rFonts w:ascii="Times New Roman" w:hAnsi="Times New Roman" w:cs="Times New Roman"/>
          <w:b/>
          <w:bCs/>
          <w:sz w:val="36"/>
          <w:szCs w:val="36"/>
        </w:rPr>
        <w:t>Giới</w:t>
      </w:r>
      <w:proofErr w:type="spellEnd"/>
      <w:r w:rsidRPr="001D2E4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2E45">
        <w:rPr>
          <w:rFonts w:ascii="Times New Roman" w:hAnsi="Times New Roman" w:cs="Times New Roman"/>
          <w:b/>
          <w:bCs/>
          <w:sz w:val="36"/>
          <w:szCs w:val="36"/>
        </w:rPr>
        <w:t>thiệu</w:t>
      </w:r>
      <w:proofErr w:type="spellEnd"/>
    </w:p>
    <w:p w14:paraId="0DEDD271" w14:textId="38B29AB4" w:rsidR="003C5761" w:rsidRDefault="003C5761" w:rsidP="001D2E45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00937B" w14:textId="77777777" w:rsidR="003C5761" w:rsidRDefault="003C5761" w:rsidP="001D2E45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996BB30" w14:textId="77777777" w:rsidR="003B61D7" w:rsidRDefault="003C5761" w:rsidP="001D2E45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1D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3B61D7">
        <w:rPr>
          <w:rFonts w:ascii="Times New Roman" w:hAnsi="Times New Roman" w:cs="Times New Roman"/>
          <w:sz w:val="26"/>
          <w:szCs w:val="26"/>
        </w:rPr>
        <w:t>.</w:t>
      </w:r>
    </w:p>
    <w:p w14:paraId="681A265B" w14:textId="2FCF209B" w:rsidR="003B61D7" w:rsidRDefault="003B61D7" w:rsidP="001D2E45">
      <w:pPr>
        <w:ind w:left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D89E865" w14:textId="37AD483C" w:rsidR="003B61D7" w:rsidRDefault="003B61D7" w:rsidP="001D2E45">
      <w:pPr>
        <w:pStyle w:val="ListParagraph"/>
        <w:numPr>
          <w:ilvl w:val="0"/>
          <w:numId w:val="12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</w:p>
    <w:p w14:paraId="57D5AD1F" w14:textId="64ECF9AB" w:rsidR="003B61D7" w:rsidRDefault="003B61D7" w:rsidP="001D2E45">
      <w:pPr>
        <w:pStyle w:val="ListParagraph"/>
        <w:numPr>
          <w:ilvl w:val="0"/>
          <w:numId w:val="12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</w:p>
    <w:p w14:paraId="7232F686" w14:textId="5A9A3BFB" w:rsidR="003B61D7" w:rsidRDefault="003B61D7" w:rsidP="001D2E45">
      <w:pPr>
        <w:pStyle w:val="ListParagraph"/>
        <w:numPr>
          <w:ilvl w:val="0"/>
          <w:numId w:val="12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</w:p>
    <w:p w14:paraId="69FBF6F4" w14:textId="0F4557FE" w:rsidR="003B61D7" w:rsidRDefault="001D2E45" w:rsidP="001D2E45">
      <w:pPr>
        <w:pStyle w:val="ListParagraph"/>
        <w:numPr>
          <w:ilvl w:val="0"/>
          <w:numId w:val="12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</w:p>
    <w:p w14:paraId="724D620B" w14:textId="0CE5C65F" w:rsidR="001D2E45" w:rsidRDefault="001D2E45" w:rsidP="001D2E45">
      <w:pPr>
        <w:pStyle w:val="ListParagraph"/>
        <w:numPr>
          <w:ilvl w:val="0"/>
          <w:numId w:val="12"/>
        </w:numPr>
        <w:ind w:left="212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</w:p>
    <w:p w14:paraId="65F7D5D1" w14:textId="77777777" w:rsidR="001D2E45" w:rsidRDefault="001D2E45" w:rsidP="001D2E45">
      <w:pPr>
        <w:pStyle w:val="ListParagraph"/>
        <w:ind w:left="2127"/>
        <w:rPr>
          <w:rFonts w:ascii="Times New Roman" w:hAnsi="Times New Roman" w:cs="Times New Roman"/>
          <w:sz w:val="26"/>
          <w:szCs w:val="26"/>
        </w:rPr>
      </w:pPr>
    </w:p>
    <w:p w14:paraId="58808FE4" w14:textId="73B28FD8" w:rsidR="001D2E45" w:rsidRDefault="001D2E45" w:rsidP="001D2E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Nhận</w:t>
      </w:r>
      <w:proofErr w:type="spellEnd"/>
      <w:r w:rsidRPr="001D2E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dạng</w:t>
      </w:r>
      <w:proofErr w:type="spellEnd"/>
      <w:r w:rsidRPr="001D2E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rủi</w:t>
      </w:r>
      <w:proofErr w:type="spellEnd"/>
      <w:r w:rsidRPr="001D2E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ro</w:t>
      </w:r>
      <w:proofErr w:type="spellEnd"/>
    </w:p>
    <w:p w14:paraId="244554D2" w14:textId="6071E833" w:rsidR="001D2E45" w:rsidRPr="001D2E45" w:rsidRDefault="001D2E45" w:rsidP="001D2E45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3EF3A" w14:textId="063FDDFD" w:rsidR="001D2E45" w:rsidRDefault="001D2E45" w:rsidP="001D2E4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suốt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</w:t>
      </w:r>
    </w:p>
    <w:p w14:paraId="5B33DD51" w14:textId="6FBE6548" w:rsidR="001D2E45" w:rsidRDefault="001D2E45" w:rsidP="001D2E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B3A5CC1" w14:textId="067E4521" w:rsidR="001D2E45" w:rsidRDefault="001D2E45" w:rsidP="001D2E4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52EC30E" w14:textId="0FCD7AF9" w:rsidR="001D2E45" w:rsidRDefault="001D2E45" w:rsidP="001D2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14:paraId="58F36DE9" w14:textId="4A712DBD" w:rsidR="001D2E45" w:rsidRDefault="001D2E45" w:rsidP="001D2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Meeting</w:t>
      </w:r>
    </w:p>
    <w:p w14:paraId="72F48DAA" w14:textId="227BA435" w:rsidR="001D2E45" w:rsidRDefault="001D2E45" w:rsidP="001D2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Branstrorming</w:t>
      </w:r>
      <w:proofErr w:type="spellEnd"/>
    </w:p>
    <w:p w14:paraId="7C574B4F" w14:textId="571036CD" w:rsidR="001D2E45" w:rsidRDefault="001D2E45" w:rsidP="001D2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24134645" w14:textId="6651B00D" w:rsidR="001D2E45" w:rsidRDefault="001D2E45" w:rsidP="001D2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66DBBD62" w14:textId="18DE0D37" w:rsidR="001D2E45" w:rsidRDefault="001D2E45" w:rsidP="001D2E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</w:p>
    <w:p w14:paraId="19ADAA9C" w14:textId="093A3DFC" w:rsidR="001D2E45" w:rsidRDefault="001D2E45" w:rsidP="001D2E45">
      <w:pPr>
        <w:ind w:left="1800"/>
        <w:rPr>
          <w:rFonts w:ascii="Times New Roman" w:hAnsi="Times New Roman" w:cs="Times New Roman"/>
          <w:sz w:val="26"/>
          <w:szCs w:val="26"/>
        </w:rPr>
      </w:pPr>
    </w:p>
    <w:p w14:paraId="1A689DDA" w14:textId="282FABBA" w:rsidR="001D2E45" w:rsidRPr="001D2E45" w:rsidRDefault="001D2E45" w:rsidP="001D2E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Ngân</w:t>
      </w:r>
      <w:proofErr w:type="spellEnd"/>
      <w:r w:rsidRPr="001D2E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 w:rsidRPr="001D2E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1D2E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1D2E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rủi</w:t>
      </w:r>
      <w:proofErr w:type="spellEnd"/>
      <w:r w:rsidRPr="001D2E4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2E45">
        <w:rPr>
          <w:rFonts w:ascii="Times New Roman" w:hAnsi="Times New Roman" w:cs="Times New Roman"/>
          <w:b/>
          <w:bCs/>
          <w:sz w:val="32"/>
          <w:szCs w:val="32"/>
        </w:rPr>
        <w:t>ro</w:t>
      </w:r>
      <w:proofErr w:type="spellEnd"/>
    </w:p>
    <w:p w14:paraId="47DBBE69" w14:textId="73806A53" w:rsidR="001D2E45" w:rsidRDefault="001D2E45" w:rsidP="001D2E4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7BDAC1" w14:textId="4A83E778" w:rsidR="001D2E45" w:rsidRDefault="001D2E45" w:rsidP="001D2E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53B9C4" w14:textId="567BD344" w:rsidR="001D2E45" w:rsidRDefault="001D2E45" w:rsidP="001D2E45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15% </w:t>
      </w:r>
      <w:proofErr w:type="spellStart"/>
      <w:r>
        <w:rPr>
          <w:rFonts w:ascii="Times New Roman" w:hAnsi="Times New Roman" w:cs="Times New Roman"/>
          <w:sz w:val="26"/>
          <w:szCs w:val="26"/>
        </w:rPr>
        <w:t>ngân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764ABFF" w14:textId="6FD2B2AD" w:rsidR="001D2E45" w:rsidRDefault="001D2E45" w:rsidP="001D2E45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ra.</w:t>
      </w:r>
    </w:p>
    <w:p w14:paraId="011D8B71" w14:textId="77777777" w:rsidR="001D2E45" w:rsidRPr="001D2E45" w:rsidRDefault="001D2E45" w:rsidP="001D2E4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6DB7DE" w14:textId="1A60B311" w:rsidR="003C5761" w:rsidRPr="003B61D7" w:rsidRDefault="00396C6E" w:rsidP="001D2E45">
      <w:pPr>
        <w:pStyle w:val="ListParagraph"/>
        <w:numPr>
          <w:ilvl w:val="0"/>
          <w:numId w:val="5"/>
        </w:numPr>
        <w:ind w:left="284" w:firstLine="142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B61D7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3B61D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61D7"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3B61D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61D7">
        <w:rPr>
          <w:rFonts w:ascii="Times New Roman" w:hAnsi="Times New Roman" w:cs="Times New Roman"/>
          <w:b/>
          <w:bCs/>
          <w:sz w:val="36"/>
          <w:szCs w:val="36"/>
        </w:rPr>
        <w:t>rủi</w:t>
      </w:r>
      <w:proofErr w:type="spellEnd"/>
      <w:r w:rsidRPr="003B61D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B61D7">
        <w:rPr>
          <w:rFonts w:ascii="Times New Roman" w:hAnsi="Times New Roman" w:cs="Times New Roman"/>
          <w:b/>
          <w:bCs/>
          <w:sz w:val="36"/>
          <w:szCs w:val="36"/>
        </w:rPr>
        <w:t>r</w:t>
      </w:r>
      <w:r w:rsidR="003C5761" w:rsidRPr="003B61D7">
        <w:rPr>
          <w:rFonts w:ascii="Times New Roman" w:hAnsi="Times New Roman" w:cs="Times New Roman"/>
          <w:b/>
          <w:bCs/>
          <w:sz w:val="36"/>
          <w:szCs w:val="36"/>
        </w:rPr>
        <w:t>o</w:t>
      </w:r>
      <w:proofErr w:type="spellEnd"/>
      <w:r w:rsidR="003B61D7" w:rsidRPr="003B61D7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B48ADCD" w14:textId="77777777" w:rsidR="000E4712" w:rsidRPr="001B0F45" w:rsidRDefault="000E4712" w:rsidP="000E4712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3379"/>
        <w:gridCol w:w="1098"/>
        <w:gridCol w:w="1159"/>
        <w:gridCol w:w="1098"/>
        <w:gridCol w:w="3346"/>
      </w:tblGrid>
      <w:tr w:rsidR="00303ED4" w:rsidRPr="001B0F45" w14:paraId="4A9CB4A9" w14:textId="77777777" w:rsidTr="00A43125">
        <w:trPr>
          <w:trHeight w:val="680"/>
        </w:trPr>
        <w:tc>
          <w:tcPr>
            <w:tcW w:w="3379" w:type="dxa"/>
          </w:tcPr>
          <w:p w14:paraId="796CB154" w14:textId="49382C81" w:rsidR="004A24C9" w:rsidRPr="001B0F45" w:rsidRDefault="004A24C9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098" w:type="dxa"/>
          </w:tcPr>
          <w:p w14:paraId="6060622F" w14:textId="09BEE4A7" w:rsidR="004A24C9" w:rsidRPr="001B0F45" w:rsidRDefault="004A24C9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suất</w:t>
            </w:r>
            <w:proofErr w:type="spellEnd"/>
          </w:p>
        </w:tc>
        <w:tc>
          <w:tcPr>
            <w:tcW w:w="1159" w:type="dxa"/>
          </w:tcPr>
          <w:p w14:paraId="6CA38308" w14:textId="065648B3" w:rsidR="004A24C9" w:rsidRPr="001B0F45" w:rsidRDefault="004A24C9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</w:p>
        </w:tc>
        <w:tc>
          <w:tcPr>
            <w:tcW w:w="1098" w:type="dxa"/>
          </w:tcPr>
          <w:p w14:paraId="47DF142A" w14:textId="763EC86C" w:rsidR="004A24C9" w:rsidRPr="001B0F45" w:rsidRDefault="004A24C9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3346" w:type="dxa"/>
          </w:tcPr>
          <w:p w14:paraId="57E6C191" w14:textId="1CF39670" w:rsidR="004A24C9" w:rsidRPr="001B0F45" w:rsidRDefault="004A24C9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</w:tr>
      <w:tr w:rsidR="003B61D7" w:rsidRPr="001B0F45" w14:paraId="0E27F47D" w14:textId="77777777" w:rsidTr="00A43125">
        <w:trPr>
          <w:trHeight w:val="326"/>
        </w:trPr>
        <w:tc>
          <w:tcPr>
            <w:tcW w:w="3379" w:type="dxa"/>
          </w:tcPr>
          <w:p w14:paraId="2C0271EB" w14:textId="6949EBAE" w:rsidR="003B61D7" w:rsidRPr="001B0F45" w:rsidRDefault="003B61D7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098" w:type="dxa"/>
          </w:tcPr>
          <w:p w14:paraId="74D90DA7" w14:textId="786FCD98" w:rsidR="003B61D7" w:rsidRPr="001B0F45" w:rsidRDefault="001D2E45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159" w:type="dxa"/>
          </w:tcPr>
          <w:p w14:paraId="45EDA2DF" w14:textId="70072B2F" w:rsidR="003B61D7" w:rsidRPr="001B0F45" w:rsidRDefault="001D2E45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098" w:type="dxa"/>
          </w:tcPr>
          <w:p w14:paraId="488E31BC" w14:textId="75CC63F3" w:rsidR="003B61D7" w:rsidRPr="001B0F45" w:rsidRDefault="001D2E45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3346" w:type="dxa"/>
          </w:tcPr>
          <w:p w14:paraId="1216C248" w14:textId="48356492" w:rsidR="003B61D7" w:rsidRPr="001B0F45" w:rsidRDefault="001D2E45" w:rsidP="00396C6E">
            <w:pPr>
              <w:pStyle w:val="ListParagraph"/>
              <w:ind w:left="0"/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ngay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luồng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03ED4" w:rsidRPr="001B0F45" w14:paraId="63A374E6" w14:textId="77777777" w:rsidTr="00A43125">
        <w:trPr>
          <w:trHeight w:val="326"/>
        </w:trPr>
        <w:tc>
          <w:tcPr>
            <w:tcW w:w="3379" w:type="dxa"/>
          </w:tcPr>
          <w:p w14:paraId="78CBA131" w14:textId="28FE75E5" w:rsidR="004A24C9" w:rsidRPr="001B0F45" w:rsidRDefault="007B3EEF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="00CC5E8C"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5E8C" w:rsidRPr="001B0F4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="00CC5E8C"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5E8C" w:rsidRPr="001B0F45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98" w:type="dxa"/>
          </w:tcPr>
          <w:p w14:paraId="403CFBC5" w14:textId="01AEDC23" w:rsidR="004A24C9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159" w:type="dxa"/>
          </w:tcPr>
          <w:p w14:paraId="7E938CD4" w14:textId="6E621311" w:rsidR="004A24C9" w:rsidRPr="001B0F45" w:rsidRDefault="00303ED4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098" w:type="dxa"/>
          </w:tcPr>
          <w:p w14:paraId="535F81E9" w14:textId="4D5554BD" w:rsidR="004A24C9" w:rsidRPr="001B0F45" w:rsidRDefault="00303ED4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3346" w:type="dxa"/>
          </w:tcPr>
          <w:p w14:paraId="7D8EA02A" w14:textId="3511DBB0" w:rsidR="004A24C9" w:rsidRPr="001B0F45" w:rsidRDefault="008D2B1A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Bên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nghị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lại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sản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rõ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ràng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PM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phê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duyệt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Nâng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mức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phỏng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đoán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rủi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cho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đánh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giá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rủi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khoản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chi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phí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lớn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1B0F45"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bao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giờ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kết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thúc</w:t>
            </w:r>
            <w:proofErr w:type="spellEnd"/>
            <w:r w:rsidR="00303ED4"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03ED4" w:rsidRPr="001B0F45" w14:paraId="5549A707" w14:textId="77777777" w:rsidTr="00A43125">
        <w:trPr>
          <w:trHeight w:val="340"/>
        </w:trPr>
        <w:tc>
          <w:tcPr>
            <w:tcW w:w="3379" w:type="dxa"/>
          </w:tcPr>
          <w:p w14:paraId="10C88F52" w14:textId="33E3CECA" w:rsidR="004A24C9" w:rsidRPr="001B0F45" w:rsidRDefault="007B3EEF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</w:p>
        </w:tc>
        <w:tc>
          <w:tcPr>
            <w:tcW w:w="1098" w:type="dxa"/>
          </w:tcPr>
          <w:p w14:paraId="1C6A6859" w14:textId="697E2F84" w:rsidR="004A24C9" w:rsidRPr="001B0F45" w:rsidRDefault="00303ED4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159" w:type="dxa"/>
          </w:tcPr>
          <w:p w14:paraId="3931D4CE" w14:textId="7E6E2FA9" w:rsidR="004A24C9" w:rsidRPr="001B0F45" w:rsidRDefault="00303ED4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098" w:type="dxa"/>
          </w:tcPr>
          <w:p w14:paraId="4A495E07" w14:textId="73E07D5B" w:rsidR="004A24C9" w:rsidRPr="001B0F45" w:rsidRDefault="00303ED4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3346" w:type="dxa"/>
          </w:tcPr>
          <w:p w14:paraId="47BDBEB3" w14:textId="078083E5" w:rsidR="004A24C9" w:rsidRPr="001B0F45" w:rsidRDefault="008D2B1A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phạm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vi chi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qua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hội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thảo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thiết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từ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="00A43125"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BA</w:t>
            </w:r>
            <w:proofErr w:type="gram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chuyên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về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nắm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vững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những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nội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dung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chủ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Giả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tài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liệu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rủi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="001B0F45"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03ED4" w:rsidRPr="001B0F45" w14:paraId="1C6E1B74" w14:textId="77777777" w:rsidTr="00A43125">
        <w:trPr>
          <w:trHeight w:val="340"/>
        </w:trPr>
        <w:tc>
          <w:tcPr>
            <w:tcW w:w="3379" w:type="dxa"/>
          </w:tcPr>
          <w:p w14:paraId="4E5C77EE" w14:textId="77777777" w:rsidR="008D2B1A" w:rsidRPr="008D2B1A" w:rsidRDefault="008D2B1A" w:rsidP="008D2B1A">
            <w:pPr>
              <w:shd w:val="clear" w:color="auto" w:fill="FFFFFF"/>
              <w:spacing w:before="360" w:after="144"/>
              <w:outlineLvl w:val="2"/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</w:pP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Tiến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độ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dự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án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không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được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xác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định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hoặc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không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được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hiểu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rõ</w:t>
            </w:r>
            <w:proofErr w:type="spellEnd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8D2B1A">
              <w:rPr>
                <w:rFonts w:ascii="Times New Roman" w:eastAsia="Times New Roman" w:hAnsi="Times New Roman" w:cs="Times New Roman"/>
                <w:color w:val="292B2C"/>
                <w:sz w:val="26"/>
                <w:szCs w:val="26"/>
              </w:rPr>
              <w:t>ràng</w:t>
            </w:r>
            <w:proofErr w:type="spellEnd"/>
          </w:p>
          <w:p w14:paraId="059994C2" w14:textId="77777777" w:rsidR="004A24C9" w:rsidRPr="001B0F45" w:rsidRDefault="004A24C9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8" w:type="dxa"/>
          </w:tcPr>
          <w:p w14:paraId="603BA9E6" w14:textId="0CD58598" w:rsidR="004A24C9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159" w:type="dxa"/>
          </w:tcPr>
          <w:p w14:paraId="6BF1BBC9" w14:textId="3896170E" w:rsidR="004A24C9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098" w:type="dxa"/>
          </w:tcPr>
          <w:p w14:paraId="20CE0BF2" w14:textId="782AC697" w:rsidR="004A24C9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3346" w:type="dxa"/>
          </w:tcPr>
          <w:p w14:paraId="33BE090E" w14:textId="62DA7B17" w:rsidR="004A24C9" w:rsidRPr="001B0F45" w:rsidRDefault="008D2B1A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Tổ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chức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cuộc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hội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thảo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lập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với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nhóm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để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hiểu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khả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năng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nhiệm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vụ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bị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bỏ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lỡ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sẽ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giảm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. Chia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sẻ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cùng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nhiệm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vụ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sắp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tới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tại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mỗi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cuộc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họp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tiến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độ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tuần</w:t>
            </w:r>
            <w:proofErr w:type="spellEnd"/>
            <w:r w:rsidR="001B0F45"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303ED4" w:rsidRPr="001B0F45" w14:paraId="53B70413" w14:textId="77777777" w:rsidTr="00A43125">
        <w:trPr>
          <w:trHeight w:val="2141"/>
        </w:trPr>
        <w:tc>
          <w:tcPr>
            <w:tcW w:w="3379" w:type="dxa"/>
          </w:tcPr>
          <w:p w14:paraId="65B64534" w14:textId="5DF8B49D" w:rsidR="00303ED4" w:rsidRPr="001B0F45" w:rsidRDefault="00303ED4" w:rsidP="008D2B1A">
            <w:pPr>
              <w:pStyle w:val="Heading3"/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bCs w:val="0"/>
                <w:color w:val="292B2C"/>
                <w:sz w:val="26"/>
                <w:szCs w:val="26"/>
              </w:rPr>
            </w:pP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lastRenderedPageBreak/>
              <w:t>Bị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lấy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cắp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vật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liệu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,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sở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hữu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trí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tuệ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hoặc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thiết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098" w:type="dxa"/>
          </w:tcPr>
          <w:p w14:paraId="1C89D3C7" w14:textId="4358A8DA" w:rsidR="00303ED4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1159" w:type="dxa"/>
          </w:tcPr>
          <w:p w14:paraId="6E8E44BE" w14:textId="6848454B" w:rsidR="00303ED4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098" w:type="dxa"/>
          </w:tcPr>
          <w:p w14:paraId="62F029DA" w14:textId="068ACA1D" w:rsidR="00303ED4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3346" w:type="dxa"/>
          </w:tcPr>
          <w:p w14:paraId="328281B6" w14:textId="507C5871" w:rsidR="00303ED4" w:rsidRPr="001B0F45" w:rsidRDefault="00303ED4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trình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mật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="00F77632"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</w:t>
            </w:r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hỏa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thuận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không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tiết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lộ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chứng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nhận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tuân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thủ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đưa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ra.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minh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biện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pháp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an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ninh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vật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tại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chỗ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hiểm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mật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tin</w:t>
            </w:r>
          </w:p>
        </w:tc>
      </w:tr>
      <w:tr w:rsidR="001D2E45" w:rsidRPr="001B0F45" w14:paraId="5314C6CB" w14:textId="77777777" w:rsidTr="00A43125">
        <w:trPr>
          <w:trHeight w:val="2141"/>
        </w:trPr>
        <w:tc>
          <w:tcPr>
            <w:tcW w:w="3379" w:type="dxa"/>
          </w:tcPr>
          <w:p w14:paraId="70A61D0D" w14:textId="0A22E8DE" w:rsidR="001D2E45" w:rsidRPr="001B0F45" w:rsidRDefault="00AD30E8" w:rsidP="008D2B1A">
            <w:pPr>
              <w:pStyle w:val="Heading3"/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bCs w:val="0"/>
                <w:color w:val="292B2C"/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Các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thành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viên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tham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gia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dự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án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từ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đầu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rời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color w:val="292B2C"/>
                <w:sz w:val="26"/>
                <w:szCs w:val="26"/>
              </w:rPr>
              <w:t>khỏi</w:t>
            </w:r>
            <w:proofErr w:type="spellEnd"/>
            <w:r>
              <w:rPr>
                <w:b w:val="0"/>
                <w:bCs w:val="0"/>
                <w:color w:val="292B2C"/>
                <w:sz w:val="26"/>
                <w:szCs w:val="26"/>
              </w:rPr>
              <w:t xml:space="preserve"> team</w:t>
            </w:r>
          </w:p>
        </w:tc>
        <w:tc>
          <w:tcPr>
            <w:tcW w:w="1098" w:type="dxa"/>
          </w:tcPr>
          <w:p w14:paraId="2FB55F3B" w14:textId="7C0EB740" w:rsidR="001D2E45" w:rsidRPr="001B0F45" w:rsidRDefault="00AD30E8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159" w:type="dxa"/>
          </w:tcPr>
          <w:p w14:paraId="5C1324B0" w14:textId="61A37D14" w:rsidR="001D2E45" w:rsidRPr="001B0F45" w:rsidRDefault="00AD30E8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098" w:type="dxa"/>
          </w:tcPr>
          <w:p w14:paraId="65734E00" w14:textId="0DD48A96" w:rsidR="001D2E45" w:rsidRPr="001B0F45" w:rsidRDefault="00AD30E8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3346" w:type="dxa"/>
          </w:tcPr>
          <w:p w14:paraId="13843C94" w14:textId="0B321556" w:rsidR="001D2E45" w:rsidRPr="001B0F45" w:rsidRDefault="00AD30E8" w:rsidP="00396C6E">
            <w:pPr>
              <w:pStyle w:val="ListParagraph"/>
              <w:ind w:left="0"/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task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B528E" w:rsidRPr="001B0F45" w14:paraId="2BB78FF2" w14:textId="77777777" w:rsidTr="00A43125">
        <w:trPr>
          <w:trHeight w:val="326"/>
        </w:trPr>
        <w:tc>
          <w:tcPr>
            <w:tcW w:w="3379" w:type="dxa"/>
          </w:tcPr>
          <w:p w14:paraId="54273E14" w14:textId="77777777" w:rsidR="006B528E" w:rsidRPr="001B0F45" w:rsidRDefault="006B528E" w:rsidP="006B528E">
            <w:pPr>
              <w:pStyle w:val="Heading3"/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bCs w:val="0"/>
                <w:color w:val="292B2C"/>
                <w:sz w:val="26"/>
                <w:szCs w:val="26"/>
              </w:rPr>
            </w:pPr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 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Thiếu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giao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tiếp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,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gây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ra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sự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thiếu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rõ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ràng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và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nhầm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lẫn</w:t>
            </w:r>
            <w:proofErr w:type="spellEnd"/>
          </w:p>
          <w:p w14:paraId="67931ED7" w14:textId="77777777" w:rsidR="006B528E" w:rsidRPr="001B0F45" w:rsidRDefault="006B528E" w:rsidP="008D2B1A">
            <w:pPr>
              <w:pStyle w:val="Heading3"/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bCs w:val="0"/>
                <w:color w:val="292B2C"/>
                <w:sz w:val="26"/>
                <w:szCs w:val="26"/>
              </w:rPr>
            </w:pPr>
          </w:p>
        </w:tc>
        <w:tc>
          <w:tcPr>
            <w:tcW w:w="1098" w:type="dxa"/>
          </w:tcPr>
          <w:p w14:paraId="121300A4" w14:textId="62C72431" w:rsidR="006B528E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159" w:type="dxa"/>
          </w:tcPr>
          <w:p w14:paraId="7E0C4195" w14:textId="61AD6510" w:rsidR="006B528E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1098" w:type="dxa"/>
          </w:tcPr>
          <w:p w14:paraId="373CDF33" w14:textId="161833F2" w:rsidR="006B528E" w:rsidRPr="001B0F45" w:rsidRDefault="00CC5E8C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3346" w:type="dxa"/>
          </w:tcPr>
          <w:p w14:paraId="354B7AEC" w14:textId="5DA868FE" w:rsidR="006B528E" w:rsidRPr="001B0F45" w:rsidRDefault="006B528E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Viết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truyền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bao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gồm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tần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suất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mục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tiêu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đối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tượng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mỗi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cần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giao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tiếp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sớm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bên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quan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rằng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họ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coi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truyền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thông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0E4712" w:rsidRPr="001B0F45" w14:paraId="1086C154" w14:textId="77777777" w:rsidTr="00A43125">
        <w:trPr>
          <w:trHeight w:val="326"/>
        </w:trPr>
        <w:tc>
          <w:tcPr>
            <w:tcW w:w="3379" w:type="dxa"/>
          </w:tcPr>
          <w:p w14:paraId="7C86276E" w14:textId="77777777" w:rsidR="000E4712" w:rsidRPr="001B0F45" w:rsidRDefault="000E4712" w:rsidP="000E4712">
            <w:pPr>
              <w:pStyle w:val="Heading3"/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bCs w:val="0"/>
                <w:color w:val="292B2C"/>
                <w:sz w:val="26"/>
                <w:szCs w:val="26"/>
              </w:rPr>
            </w:pP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Hành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động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pháp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lý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trì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hoãn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hoặc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tạm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dừng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dự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án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.</w:t>
            </w:r>
          </w:p>
          <w:p w14:paraId="22F3FCB8" w14:textId="77777777" w:rsidR="000E4712" w:rsidRPr="001B0F45" w:rsidRDefault="000E4712" w:rsidP="006B528E">
            <w:pPr>
              <w:pStyle w:val="Heading3"/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bCs w:val="0"/>
                <w:color w:val="292B2C"/>
                <w:sz w:val="26"/>
                <w:szCs w:val="26"/>
              </w:rPr>
            </w:pPr>
          </w:p>
        </w:tc>
        <w:tc>
          <w:tcPr>
            <w:tcW w:w="1098" w:type="dxa"/>
          </w:tcPr>
          <w:p w14:paraId="0532DFA9" w14:textId="32CC1407" w:rsidR="000E4712" w:rsidRPr="001B0F45" w:rsidRDefault="00F77632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1159" w:type="dxa"/>
          </w:tcPr>
          <w:p w14:paraId="0BBB0E72" w14:textId="4631874B" w:rsidR="000E4712" w:rsidRPr="001B0F45" w:rsidRDefault="00F77632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098" w:type="dxa"/>
          </w:tcPr>
          <w:p w14:paraId="2225D9CC" w14:textId="1E129DF4" w:rsidR="000E4712" w:rsidRPr="001B0F45" w:rsidRDefault="00F77632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3346" w:type="dxa"/>
          </w:tcPr>
          <w:p w14:paraId="21212B4C" w14:textId="1F532DB0" w:rsidR="000E4712" w:rsidRPr="001B0F45" w:rsidRDefault="000E4712" w:rsidP="00396C6E">
            <w:pPr>
              <w:pStyle w:val="ListParagraph"/>
              <w:ind w:left="0"/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</w:pP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hợp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đồng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đã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ký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trước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bắt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Thực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hiện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theo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tất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cả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yêu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cầu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quy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hoàn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thành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kế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hoạch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quản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lý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bên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liên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quan</w:t>
            </w:r>
            <w:proofErr w:type="spellEnd"/>
          </w:p>
        </w:tc>
      </w:tr>
      <w:tr w:rsidR="00F77632" w:rsidRPr="001B0F45" w14:paraId="6969DC58" w14:textId="77777777" w:rsidTr="00F77632">
        <w:trPr>
          <w:trHeight w:val="2600"/>
        </w:trPr>
        <w:tc>
          <w:tcPr>
            <w:tcW w:w="3379" w:type="dxa"/>
          </w:tcPr>
          <w:p w14:paraId="488E9A0D" w14:textId="45BE7641" w:rsidR="00F77632" w:rsidRPr="001B0F45" w:rsidRDefault="00F77632" w:rsidP="00F77632">
            <w:pPr>
              <w:pStyle w:val="Heading3"/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bCs w:val="0"/>
                <w:color w:val="292B2C"/>
                <w:sz w:val="26"/>
                <w:szCs w:val="26"/>
              </w:rPr>
            </w:pP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Khách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hàng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từ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chối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phê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duyệt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các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cột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mốc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hoặc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trì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hoãn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phê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duyệt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,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gây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áp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lực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lên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người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quản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lý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dự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án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để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'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dự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án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ngừng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tiếp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 xml:space="preserve"> </w:t>
            </w:r>
            <w:proofErr w:type="spellStart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tục</w:t>
            </w:r>
            <w:proofErr w:type="spellEnd"/>
            <w:r w:rsidRPr="001B0F45">
              <w:rPr>
                <w:b w:val="0"/>
                <w:bCs w:val="0"/>
                <w:color w:val="292B2C"/>
                <w:sz w:val="26"/>
                <w:szCs w:val="26"/>
              </w:rPr>
              <w:t>'.</w:t>
            </w:r>
          </w:p>
          <w:p w14:paraId="3109BAFC" w14:textId="77777777" w:rsidR="00F77632" w:rsidRPr="001B0F45" w:rsidRDefault="00F77632" w:rsidP="000E4712">
            <w:pPr>
              <w:pStyle w:val="Heading3"/>
              <w:shd w:val="clear" w:color="auto" w:fill="FFFFFF"/>
              <w:spacing w:before="360" w:beforeAutospacing="0" w:after="144" w:afterAutospacing="0"/>
              <w:outlineLvl w:val="2"/>
              <w:rPr>
                <w:b w:val="0"/>
                <w:bCs w:val="0"/>
                <w:color w:val="292B2C"/>
                <w:sz w:val="26"/>
                <w:szCs w:val="26"/>
              </w:rPr>
            </w:pPr>
          </w:p>
        </w:tc>
        <w:tc>
          <w:tcPr>
            <w:tcW w:w="1098" w:type="dxa"/>
          </w:tcPr>
          <w:p w14:paraId="5D573408" w14:textId="13B8097D" w:rsidR="00F77632" w:rsidRPr="001B0F45" w:rsidRDefault="00F77632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  <w:tc>
          <w:tcPr>
            <w:tcW w:w="1159" w:type="dxa"/>
          </w:tcPr>
          <w:p w14:paraId="7573F29E" w14:textId="0EB793D4" w:rsidR="00F77632" w:rsidRPr="001B0F45" w:rsidRDefault="00F77632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098" w:type="dxa"/>
          </w:tcPr>
          <w:p w14:paraId="7C2F7DD2" w14:textId="12415E07" w:rsidR="00F77632" w:rsidRPr="001B0F45" w:rsidRDefault="00F77632" w:rsidP="00396C6E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B0F45">
              <w:rPr>
                <w:rFonts w:ascii="Times New Roman" w:hAnsi="Times New Roman" w:cs="Times New Roman"/>
                <w:sz w:val="26"/>
                <w:szCs w:val="26"/>
              </w:rPr>
              <w:t>Medium</w:t>
            </w:r>
          </w:p>
        </w:tc>
        <w:tc>
          <w:tcPr>
            <w:tcW w:w="3346" w:type="dxa"/>
          </w:tcPr>
          <w:p w14:paraId="44FAED2E" w14:textId="6FF9F590" w:rsidR="00F77632" w:rsidRPr="001B0F45" w:rsidRDefault="00F77632" w:rsidP="00396C6E">
            <w:pPr>
              <w:pStyle w:val="ListParagraph"/>
              <w:ind w:left="0"/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</w:pP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Đảm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bảo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người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ra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quyết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hàng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có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thẩm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quyền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ngân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sách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được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xác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trước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khi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bắt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một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phần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của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Ban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.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Báo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cáo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lên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Ban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và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đề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xuất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hành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ví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dụ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: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dừng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dự</w:t>
            </w:r>
            <w:proofErr w:type="spellEnd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1B0F45">
              <w:rPr>
                <w:rFonts w:ascii="Times New Roman" w:hAnsi="Times New Roman" w:cs="Times New Roman"/>
                <w:color w:val="1B1B1B"/>
                <w:spacing w:val="-1"/>
                <w:sz w:val="26"/>
                <w:szCs w:val="26"/>
                <w:shd w:val="clear" w:color="auto" w:fill="FFFFFF"/>
              </w:rPr>
              <w:t>án</w:t>
            </w:r>
            <w:proofErr w:type="spellEnd"/>
          </w:p>
        </w:tc>
      </w:tr>
    </w:tbl>
    <w:p w14:paraId="0C7AB268" w14:textId="77777777" w:rsidR="00396C6E" w:rsidRPr="001B0F45" w:rsidRDefault="00396C6E" w:rsidP="00396C6E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</w:p>
    <w:p w14:paraId="36D6B661" w14:textId="7D430CE2" w:rsidR="00396C6E" w:rsidRPr="00DB34FC" w:rsidRDefault="00396C6E" w:rsidP="00DB34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B34FC">
        <w:rPr>
          <w:rFonts w:ascii="Times New Roman" w:hAnsi="Times New Roman" w:cs="Times New Roman"/>
          <w:b/>
          <w:bCs/>
          <w:sz w:val="32"/>
          <w:szCs w:val="32"/>
        </w:rPr>
        <w:t>Kiểm</w:t>
      </w:r>
      <w:proofErr w:type="spellEnd"/>
      <w:r w:rsidRPr="00DB34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34FC">
        <w:rPr>
          <w:rFonts w:ascii="Times New Roman" w:hAnsi="Times New Roman" w:cs="Times New Roman"/>
          <w:b/>
          <w:bCs/>
          <w:sz w:val="32"/>
          <w:szCs w:val="32"/>
        </w:rPr>
        <w:t>soát</w:t>
      </w:r>
      <w:proofErr w:type="spellEnd"/>
      <w:r w:rsidRPr="00DB34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34FC">
        <w:rPr>
          <w:rFonts w:ascii="Times New Roman" w:hAnsi="Times New Roman" w:cs="Times New Roman"/>
          <w:b/>
          <w:bCs/>
          <w:sz w:val="32"/>
          <w:szCs w:val="32"/>
        </w:rPr>
        <w:t>rủi</w:t>
      </w:r>
      <w:proofErr w:type="spellEnd"/>
      <w:r w:rsidRPr="00DB34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34FC">
        <w:rPr>
          <w:rFonts w:ascii="Times New Roman" w:hAnsi="Times New Roman" w:cs="Times New Roman"/>
          <w:b/>
          <w:bCs/>
          <w:sz w:val="32"/>
          <w:szCs w:val="32"/>
        </w:rPr>
        <w:t>ro</w:t>
      </w:r>
      <w:proofErr w:type="spellEnd"/>
    </w:p>
    <w:p w14:paraId="10523CA1" w14:textId="77777777" w:rsidR="00DB34FC" w:rsidRPr="001B0F45" w:rsidRDefault="00DB34FC" w:rsidP="00DB34F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A530A9" w14:textId="77777777" w:rsidR="001919E9" w:rsidRPr="001B0F45" w:rsidRDefault="001919E9" w:rsidP="00A43125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 w:rsidRPr="001B0F45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8930D27" w14:textId="2D736834" w:rsidR="001919E9" w:rsidRPr="001B0F45" w:rsidRDefault="001919E9" w:rsidP="001919E9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1B0F45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né</w:t>
      </w:r>
      <w:r w:rsidR="001B0F45" w:rsidRPr="001B0F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Thay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đổi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phương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pháp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công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cụ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thực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thay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đổi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con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người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;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Thương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lượng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khách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hàng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(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hoặc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nội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bộ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)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thay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đổi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mục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tiêu</w:t>
      </w:r>
      <w:proofErr w:type="spellEnd"/>
      <w:r w:rsidR="001B0F45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58D29D11" w14:textId="1C679D9D" w:rsidR="00A43125" w:rsidRPr="001B0F45" w:rsidRDefault="001919E9" w:rsidP="001919E9">
      <w:pPr>
        <w:pStyle w:val="ListParagraph"/>
        <w:ind w:firstLine="720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B0F45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rủi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0F45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1B0F45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Báo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cáo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ban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lãnh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đạo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chấp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nhận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tác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chi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phí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đối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phó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rủi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ro</w:t>
      </w:r>
      <w:r w:rsidR="000E4712"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7F502CB3" w14:textId="0EE00D54" w:rsidR="001919E9" w:rsidRDefault="001919E9" w:rsidP="001919E9">
      <w:pPr>
        <w:pStyle w:val="ListParagraph"/>
        <w:ind w:firstLine="720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+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Giảm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nhẹ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Cảnh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báo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triệt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tiêu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yếu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tố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làm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rủi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ro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xuất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;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Điều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chỉnh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yếu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tố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liên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quan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theo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dây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chuyền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rủi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ro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xảy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ra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ít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tác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động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br/>
      </w:r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ab/>
        <w:t xml:space="preserve">+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Chấp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nhận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: Thu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thập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hoặc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mua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hoạch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kiểm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soát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tốt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hơn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;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Lập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hoạch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khắc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phục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tác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hại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khi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rủi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ro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xảy</w:t>
      </w:r>
      <w:proofErr w:type="spellEnd"/>
      <w:r w:rsidRPr="001B0F45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ra.</w:t>
      </w:r>
    </w:p>
    <w:p w14:paraId="446BF92D" w14:textId="77777777" w:rsidR="00DB34FC" w:rsidRPr="001B0F45" w:rsidRDefault="00DB34FC" w:rsidP="001919E9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14:paraId="48EEF1BD" w14:textId="5238496E" w:rsidR="00396C6E" w:rsidRDefault="00396C6E" w:rsidP="00DB34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B34FC">
        <w:rPr>
          <w:rFonts w:ascii="Times New Roman" w:hAnsi="Times New Roman" w:cs="Times New Roman"/>
          <w:b/>
          <w:bCs/>
          <w:sz w:val="32"/>
          <w:szCs w:val="32"/>
        </w:rPr>
        <w:t>Giám</w:t>
      </w:r>
      <w:proofErr w:type="spellEnd"/>
      <w:r w:rsidRPr="00DB34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34FC">
        <w:rPr>
          <w:rFonts w:ascii="Times New Roman" w:hAnsi="Times New Roman" w:cs="Times New Roman"/>
          <w:b/>
          <w:bCs/>
          <w:sz w:val="32"/>
          <w:szCs w:val="32"/>
        </w:rPr>
        <w:t>sát</w:t>
      </w:r>
      <w:proofErr w:type="spellEnd"/>
      <w:r w:rsidRPr="00DB34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34FC">
        <w:rPr>
          <w:rFonts w:ascii="Times New Roman" w:hAnsi="Times New Roman" w:cs="Times New Roman"/>
          <w:b/>
          <w:bCs/>
          <w:sz w:val="32"/>
          <w:szCs w:val="32"/>
        </w:rPr>
        <w:t>rủi</w:t>
      </w:r>
      <w:proofErr w:type="spellEnd"/>
      <w:r w:rsidRPr="00DB34F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B34FC">
        <w:rPr>
          <w:rFonts w:ascii="Times New Roman" w:hAnsi="Times New Roman" w:cs="Times New Roman"/>
          <w:b/>
          <w:bCs/>
          <w:sz w:val="32"/>
          <w:szCs w:val="32"/>
        </w:rPr>
        <w:t>ro</w:t>
      </w:r>
      <w:proofErr w:type="spellEnd"/>
    </w:p>
    <w:p w14:paraId="5465E5E3" w14:textId="615ABCE4" w:rsidR="00DB34FC" w:rsidRDefault="00DB34FC" w:rsidP="00DB34F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10D6605" w14:textId="3374A616" w:rsidR="00DB34FC" w:rsidRPr="00DB34FC" w:rsidRDefault="00DB34FC" w:rsidP="00DB34FC">
      <w:pPr>
        <w:pStyle w:val="ListParagraph"/>
        <w:ind w:left="284" w:firstLine="43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rủi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5150488" w14:textId="160408FA" w:rsidR="001919E9" w:rsidRPr="001B0F45" w:rsidRDefault="001919E9" w:rsidP="00DB34FC">
      <w:pPr>
        <w:pStyle w:val="NormalWeb"/>
        <w:shd w:val="clear" w:color="auto" w:fill="FFFFFF"/>
        <w:spacing w:before="120" w:beforeAutospacing="0" w:after="0" w:afterAutospacing="0"/>
        <w:ind w:left="284" w:firstLine="360"/>
        <w:rPr>
          <w:color w:val="1B1B1B"/>
          <w:spacing w:val="-1"/>
          <w:sz w:val="26"/>
          <w:szCs w:val="26"/>
        </w:rPr>
      </w:pPr>
      <w:proofErr w:type="spellStart"/>
      <w:r w:rsidRPr="001B0F45">
        <w:rPr>
          <w:color w:val="1B1B1B"/>
          <w:spacing w:val="-1"/>
          <w:sz w:val="26"/>
          <w:szCs w:val="26"/>
        </w:rPr>
        <w:t>Rủi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ro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một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khi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đã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xảy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ra </w:t>
      </w:r>
      <w:proofErr w:type="spellStart"/>
      <w:r w:rsidRPr="001B0F45">
        <w:rPr>
          <w:color w:val="1B1B1B"/>
          <w:spacing w:val="-1"/>
          <w:sz w:val="26"/>
          <w:szCs w:val="26"/>
        </w:rPr>
        <w:t>thường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không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chỉ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một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lần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1B0F45">
        <w:rPr>
          <w:color w:val="1B1B1B"/>
          <w:spacing w:val="-1"/>
          <w:sz w:val="26"/>
          <w:szCs w:val="26"/>
        </w:rPr>
        <w:t>quá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trình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giám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sát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rủi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ro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cần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được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chú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trọng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1B0F45">
        <w:rPr>
          <w:color w:val="1B1B1B"/>
          <w:spacing w:val="-1"/>
          <w:sz w:val="26"/>
          <w:szCs w:val="26"/>
        </w:rPr>
        <w:t>mỗi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khi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rủi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ro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được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xác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định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1B0F45">
        <w:rPr>
          <w:color w:val="1B1B1B"/>
          <w:spacing w:val="-1"/>
          <w:sz w:val="26"/>
          <w:szCs w:val="26"/>
        </w:rPr>
        <w:t>phân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tích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và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kiểm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soát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thành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công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1B0F45">
        <w:rPr>
          <w:color w:val="1B1B1B"/>
          <w:spacing w:val="-1"/>
          <w:sz w:val="26"/>
          <w:szCs w:val="26"/>
        </w:rPr>
        <w:t>phải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đưa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ra </w:t>
      </w:r>
      <w:proofErr w:type="spellStart"/>
      <w:r w:rsidRPr="001B0F45">
        <w:rPr>
          <w:color w:val="1B1B1B"/>
          <w:spacing w:val="-1"/>
          <w:sz w:val="26"/>
          <w:szCs w:val="26"/>
        </w:rPr>
        <w:t>trước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dự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án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để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các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thành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viên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trong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nhóm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nắm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được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và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tránh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tái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mắc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lặp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lại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các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lỗi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trước</w:t>
      </w:r>
      <w:proofErr w:type="spellEnd"/>
      <w:r w:rsidR="00AF041B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AF041B" w:rsidRPr="001B0F45">
        <w:rPr>
          <w:color w:val="1B1B1B"/>
          <w:spacing w:val="-1"/>
          <w:sz w:val="26"/>
          <w:szCs w:val="26"/>
        </w:rPr>
        <w:t>đó</w:t>
      </w:r>
      <w:proofErr w:type="spellEnd"/>
      <w:r w:rsidRPr="001B0F45">
        <w:rPr>
          <w:color w:val="1B1B1B"/>
          <w:spacing w:val="-1"/>
          <w:sz w:val="26"/>
          <w:szCs w:val="26"/>
        </w:rPr>
        <w:t>.</w:t>
      </w:r>
    </w:p>
    <w:p w14:paraId="3C2CABED" w14:textId="303C6AE5" w:rsidR="00471E2D" w:rsidRPr="001B0F45" w:rsidRDefault="001919E9" w:rsidP="00AF041B">
      <w:pPr>
        <w:pStyle w:val="NormalWeb"/>
        <w:shd w:val="clear" w:color="auto" w:fill="FFFFFF"/>
        <w:spacing w:before="360" w:beforeAutospacing="0" w:after="0" w:afterAutospacing="0"/>
        <w:ind w:left="360" w:firstLine="360"/>
        <w:rPr>
          <w:color w:val="1B1B1B"/>
          <w:spacing w:val="-1"/>
          <w:sz w:val="26"/>
          <w:szCs w:val="26"/>
        </w:rPr>
      </w:pPr>
      <w:proofErr w:type="spellStart"/>
      <w:r w:rsidRPr="001B0F45">
        <w:rPr>
          <w:color w:val="1B1B1B"/>
          <w:spacing w:val="-1"/>
          <w:sz w:val="26"/>
          <w:szCs w:val="26"/>
        </w:rPr>
        <w:t>Để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đạt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được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hiệu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quả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tốt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nhất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1B0F45">
        <w:rPr>
          <w:color w:val="1B1B1B"/>
          <w:spacing w:val="-1"/>
          <w:sz w:val="26"/>
          <w:szCs w:val="26"/>
        </w:rPr>
        <w:t>những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rủi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ro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đã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được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phân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tích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hoặc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đang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trong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quá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trình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kiểm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soát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cần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được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đề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ra </w:t>
      </w:r>
      <w:proofErr w:type="spellStart"/>
      <w:r w:rsidRPr="001B0F45">
        <w:rPr>
          <w:color w:val="1B1B1B"/>
          <w:spacing w:val="-1"/>
          <w:sz w:val="26"/>
          <w:szCs w:val="26"/>
        </w:rPr>
        <w:t>trong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các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cuộc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họp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tiến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độ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dự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án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định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kỳ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. Trong </w:t>
      </w:r>
      <w:proofErr w:type="spellStart"/>
      <w:r w:rsidRPr="001B0F45">
        <w:rPr>
          <w:color w:val="1B1B1B"/>
          <w:spacing w:val="-1"/>
          <w:sz w:val="26"/>
          <w:szCs w:val="26"/>
        </w:rPr>
        <w:t>cuộc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họp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cần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chỉ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rõ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tường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tận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các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rủi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ro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, </w:t>
      </w:r>
      <w:proofErr w:type="spellStart"/>
      <w:r w:rsidRPr="001B0F45">
        <w:rPr>
          <w:color w:val="1B1B1B"/>
          <w:spacing w:val="-1"/>
          <w:sz w:val="26"/>
          <w:szCs w:val="26"/>
        </w:rPr>
        <w:t>đặc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biệt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là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các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rủi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ro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có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tính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chất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nghiêm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trọng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. </w:t>
      </w:r>
      <w:proofErr w:type="spellStart"/>
      <w:r w:rsidRPr="001B0F45">
        <w:rPr>
          <w:color w:val="1B1B1B"/>
          <w:spacing w:val="-1"/>
          <w:sz w:val="26"/>
          <w:szCs w:val="26"/>
        </w:rPr>
        <w:t>Việc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hiểu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rõ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ràng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và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tường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tận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rủi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ro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giúp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tránh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gặp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phải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những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Pr="001B0F45">
        <w:rPr>
          <w:color w:val="1B1B1B"/>
          <w:spacing w:val="-1"/>
          <w:sz w:val="26"/>
          <w:szCs w:val="26"/>
        </w:rPr>
        <w:t>rủi</w:t>
      </w:r>
      <w:proofErr w:type="spellEnd"/>
      <w:r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E4712" w:rsidRPr="001B0F45">
        <w:rPr>
          <w:color w:val="1B1B1B"/>
          <w:spacing w:val="-1"/>
          <w:sz w:val="26"/>
          <w:szCs w:val="26"/>
        </w:rPr>
        <w:t>tương</w:t>
      </w:r>
      <w:proofErr w:type="spellEnd"/>
      <w:r w:rsidR="000E4712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E4712" w:rsidRPr="001B0F45">
        <w:rPr>
          <w:color w:val="1B1B1B"/>
          <w:spacing w:val="-1"/>
          <w:sz w:val="26"/>
          <w:szCs w:val="26"/>
        </w:rPr>
        <w:t>tự</w:t>
      </w:r>
      <w:proofErr w:type="spellEnd"/>
      <w:r w:rsidR="000E4712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E4712" w:rsidRPr="001B0F45">
        <w:rPr>
          <w:color w:val="1B1B1B"/>
          <w:spacing w:val="-1"/>
          <w:sz w:val="26"/>
          <w:szCs w:val="26"/>
        </w:rPr>
        <w:t>trong</w:t>
      </w:r>
      <w:proofErr w:type="spellEnd"/>
      <w:r w:rsidR="000E4712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E4712" w:rsidRPr="001B0F45">
        <w:rPr>
          <w:color w:val="1B1B1B"/>
          <w:spacing w:val="-1"/>
          <w:sz w:val="26"/>
          <w:szCs w:val="26"/>
        </w:rPr>
        <w:t>tương</w:t>
      </w:r>
      <w:proofErr w:type="spellEnd"/>
      <w:r w:rsidR="000E4712" w:rsidRPr="001B0F45">
        <w:rPr>
          <w:color w:val="1B1B1B"/>
          <w:spacing w:val="-1"/>
          <w:sz w:val="26"/>
          <w:szCs w:val="26"/>
        </w:rPr>
        <w:t xml:space="preserve"> </w:t>
      </w:r>
      <w:proofErr w:type="spellStart"/>
      <w:r w:rsidR="000E4712" w:rsidRPr="001B0F45">
        <w:rPr>
          <w:color w:val="1B1B1B"/>
          <w:spacing w:val="-1"/>
          <w:sz w:val="26"/>
          <w:szCs w:val="26"/>
        </w:rPr>
        <w:t>lai</w:t>
      </w:r>
      <w:proofErr w:type="spellEnd"/>
      <w:r w:rsidR="000E4712" w:rsidRPr="001B0F45">
        <w:rPr>
          <w:color w:val="1B1B1B"/>
          <w:spacing w:val="-1"/>
          <w:sz w:val="26"/>
          <w:szCs w:val="26"/>
        </w:rPr>
        <w:t>.</w:t>
      </w:r>
    </w:p>
    <w:p w14:paraId="56733146" w14:textId="4F90114D" w:rsidR="00C32963" w:rsidRPr="001B0F45" w:rsidRDefault="00C32963" w:rsidP="006E6DF3">
      <w:pPr>
        <w:rPr>
          <w:rFonts w:ascii="Times New Roman" w:hAnsi="Times New Roman" w:cs="Times New Roman"/>
          <w:sz w:val="26"/>
          <w:szCs w:val="26"/>
        </w:rPr>
      </w:pPr>
    </w:p>
    <w:p w14:paraId="6AC403AF" w14:textId="77777777" w:rsidR="00006272" w:rsidRPr="001B0F45" w:rsidRDefault="00006272" w:rsidP="006E6DF3">
      <w:pPr>
        <w:rPr>
          <w:rFonts w:ascii="Times New Roman" w:hAnsi="Times New Roman" w:cs="Times New Roman"/>
          <w:sz w:val="26"/>
          <w:szCs w:val="26"/>
        </w:rPr>
      </w:pPr>
    </w:p>
    <w:sectPr w:rsidR="00006272" w:rsidRPr="001B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2D8"/>
    <w:multiLevelType w:val="hybridMultilevel"/>
    <w:tmpl w:val="EA16E25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7E51020"/>
    <w:multiLevelType w:val="multilevel"/>
    <w:tmpl w:val="C92AFB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C25D24"/>
    <w:multiLevelType w:val="hybridMultilevel"/>
    <w:tmpl w:val="C2BE8E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C577E"/>
    <w:multiLevelType w:val="multilevel"/>
    <w:tmpl w:val="D0C224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BA7D23"/>
    <w:multiLevelType w:val="hybridMultilevel"/>
    <w:tmpl w:val="1980C7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F7858"/>
    <w:multiLevelType w:val="hybridMultilevel"/>
    <w:tmpl w:val="584E1D1E"/>
    <w:lvl w:ilvl="0" w:tplc="0276A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A171BB"/>
    <w:multiLevelType w:val="hybridMultilevel"/>
    <w:tmpl w:val="A72E0E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3F49EE"/>
    <w:multiLevelType w:val="hybridMultilevel"/>
    <w:tmpl w:val="03CA9BDC"/>
    <w:lvl w:ilvl="0" w:tplc="04090011">
      <w:start w:val="1"/>
      <w:numFmt w:val="decimal"/>
      <w:lvlText w:val="%1)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8" w15:restartNumberingAfterBreak="0">
    <w:nsid w:val="4FA116C4"/>
    <w:multiLevelType w:val="hybridMultilevel"/>
    <w:tmpl w:val="29D2B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9A03E9"/>
    <w:multiLevelType w:val="hybridMultilevel"/>
    <w:tmpl w:val="482670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86A3A"/>
    <w:multiLevelType w:val="hybridMultilevel"/>
    <w:tmpl w:val="35C4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65A38"/>
    <w:multiLevelType w:val="hybridMultilevel"/>
    <w:tmpl w:val="9F7A9B7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2" w15:restartNumberingAfterBreak="0">
    <w:nsid w:val="7D1F69C1"/>
    <w:multiLevelType w:val="hybridMultilevel"/>
    <w:tmpl w:val="668A225A"/>
    <w:lvl w:ilvl="0" w:tplc="1040D93C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60"/>
    <w:rsid w:val="00006272"/>
    <w:rsid w:val="000E4712"/>
    <w:rsid w:val="001919E9"/>
    <w:rsid w:val="001B0F45"/>
    <w:rsid w:val="001D2E45"/>
    <w:rsid w:val="00303ED4"/>
    <w:rsid w:val="00356660"/>
    <w:rsid w:val="00396C6E"/>
    <w:rsid w:val="003B61D7"/>
    <w:rsid w:val="003C5761"/>
    <w:rsid w:val="00471E2D"/>
    <w:rsid w:val="004A24C9"/>
    <w:rsid w:val="006B528E"/>
    <w:rsid w:val="006E6DF3"/>
    <w:rsid w:val="00781B8F"/>
    <w:rsid w:val="007B3EEF"/>
    <w:rsid w:val="008D2B1A"/>
    <w:rsid w:val="00A43125"/>
    <w:rsid w:val="00AD30E8"/>
    <w:rsid w:val="00AF041B"/>
    <w:rsid w:val="00B770C4"/>
    <w:rsid w:val="00C32963"/>
    <w:rsid w:val="00CC5E8C"/>
    <w:rsid w:val="00DB34FC"/>
    <w:rsid w:val="00EC4089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36E6"/>
  <w15:chartTrackingRefBased/>
  <w15:docId w15:val="{E93F43E3-16B7-48C1-AA64-2B26DFFE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2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2D"/>
    <w:pPr>
      <w:ind w:left="720"/>
      <w:contextualSpacing/>
    </w:pPr>
  </w:style>
  <w:style w:type="table" w:styleId="TableGrid">
    <w:name w:val="Table Grid"/>
    <w:basedOn w:val="TableNormal"/>
    <w:uiPriority w:val="39"/>
    <w:rsid w:val="0039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2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91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62D18-83E0-4950-8833-BBCC723B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Quan 20173313</dc:creator>
  <cp:keywords/>
  <dc:description/>
  <cp:lastModifiedBy>Hoang Trong Minh 20173259</cp:lastModifiedBy>
  <cp:revision>6</cp:revision>
  <dcterms:created xsi:type="dcterms:W3CDTF">2021-06-08T05:17:00Z</dcterms:created>
  <dcterms:modified xsi:type="dcterms:W3CDTF">2021-06-10T18:30:00Z</dcterms:modified>
</cp:coreProperties>
</file>