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6D6D" w14:textId="77777777" w:rsidR="00582B87" w:rsidRPr="00582B87" w:rsidRDefault="00582B87" w:rsidP="00582B87">
      <w:pPr>
        <w:rPr>
          <w:b/>
          <w:bCs/>
        </w:rPr>
      </w:pPr>
      <w:r w:rsidRPr="00582B87">
        <w:rPr>
          <w:b/>
          <w:bCs/>
        </w:rPr>
        <w:t>HSC403 – An Introduction to Healthcare Policy</w:t>
      </w:r>
    </w:p>
    <w:p w14:paraId="10E0A081" w14:textId="77777777" w:rsidR="00582B87" w:rsidRPr="00582B87" w:rsidRDefault="00582B87" w:rsidP="00582B87">
      <w:r w:rsidRPr="00582B87">
        <w:pict w14:anchorId="7564897B">
          <v:rect id="_x0000_i1049" style="width:0;height:1.5pt" o:hralign="center" o:hrstd="t" o:hr="t" fillcolor="#a0a0a0" stroked="f"/>
        </w:pict>
      </w:r>
    </w:p>
    <w:p w14:paraId="147A274B" w14:textId="77777777" w:rsidR="00582B87" w:rsidRPr="00582B87" w:rsidRDefault="00582B87" w:rsidP="00582B87">
      <w:pPr>
        <w:rPr>
          <w:b/>
          <w:bCs/>
        </w:rPr>
      </w:pPr>
      <w:r w:rsidRPr="00582B87">
        <w:rPr>
          <w:b/>
          <w:bCs/>
        </w:rPr>
        <w:t>Task 1: Significant Historical and Contemporary Landmarks in UK Healthcare Provision</w:t>
      </w:r>
    </w:p>
    <w:p w14:paraId="2D422517" w14:textId="77777777" w:rsidR="00582B87" w:rsidRPr="00582B87" w:rsidRDefault="00582B87" w:rsidP="00582B87">
      <w:pPr>
        <w:rPr>
          <w:b/>
          <w:bCs/>
        </w:rPr>
      </w:pPr>
      <w:r w:rsidRPr="00582B87">
        <w:rPr>
          <w:b/>
          <w:bCs/>
        </w:rPr>
        <w:t>1.1 Labour Government Healthcare Policy Reforms (1997–2010)</w:t>
      </w:r>
    </w:p>
    <w:p w14:paraId="5D95A9B6" w14:textId="77777777" w:rsidR="00582B87" w:rsidRPr="00582B87" w:rsidRDefault="00582B87" w:rsidP="00582B87">
      <w:r w:rsidRPr="00582B87">
        <w:t xml:space="preserve">When Labour came to power in 1997 under Tony Blair, the National Health Service was widely regarded as underfunded, fragmented, and strained under the quasi-market structures introduced by the preceding Conservative administration. The government's first major policy document, </w:t>
      </w:r>
      <w:r w:rsidRPr="00582B87">
        <w:rPr>
          <w:i/>
          <w:iCs/>
        </w:rPr>
        <w:t>The New NHS: Modern, Dependable</w:t>
      </w:r>
      <w:r w:rsidRPr="00582B87">
        <w:t xml:space="preserve"> (Department of Health, 1997), signalled a clear departure from market ideology, replacing GP fundholding with a system of Primary Care Groups and, subsequently, Primary Care Trusts. Ham (2009) described this shift as an attempt to restore collaborative planning within the NHS whilst retaining select elements of the purchaser–provider split that had developed under the internal market.</w:t>
      </w:r>
    </w:p>
    <w:p w14:paraId="519C9A76" w14:textId="77777777" w:rsidR="00582B87" w:rsidRPr="00582B87" w:rsidRDefault="00582B87" w:rsidP="00582B87">
      <w:r w:rsidRPr="00582B87">
        <w:t>The early years of Labour's tenure were defined by substantial increases in public expenditure on health. Wanless (2002) demonstrated that NHS spending as a proportion of GDP would need to rise considerably over the following 2 decades to meet projected demand — a finding that directly shaped Labour's commitment to raising health spending from approximately 6.8% of GDP in 1997 to over 8% by 2007. This resource injection enabled a dramatic reduction in waiting times; by 2004, the maximum wait for outpatient appointments had fallen to 13 weeks, and by 2008 the target of an 18-week referral-to-treatment pathway was largely achieved (Greener, 2009).</w:t>
      </w:r>
    </w:p>
    <w:p w14:paraId="7FDE778E" w14:textId="77777777" w:rsidR="00582B87" w:rsidRPr="00582B87" w:rsidRDefault="00582B87" w:rsidP="00582B87">
      <w:r w:rsidRPr="00582B87">
        <w:t>That said, Labour did not abandon market mechanisms entirely. From around 2002 onwards, the government introduced what Baggott (2004) called a "reformed quasi-market" — one characterised by patient choice, payment by results, and the expansion of independent sector treatment centres. Klein (2013) argued that this represented a notable ideological retreat, as Labour increasingly embraced competition as a driver of efficiency despite having campaigned against it. The introduction of foundation trusts under the Health and Social Care (Community Health and Standards) Act 2003 further embedded financial autonomy within NHS organisations — a move that critics such as Pollock (2004) contended accelerated the creeping privatisation of public health services.</w:t>
      </w:r>
    </w:p>
    <w:p w14:paraId="149D88DC" w14:textId="77777777" w:rsidR="00582B87" w:rsidRPr="00582B87" w:rsidRDefault="00582B87" w:rsidP="00582B87">
      <w:pPr>
        <w:rPr>
          <w:b/>
          <w:bCs/>
        </w:rPr>
      </w:pPr>
      <w:r w:rsidRPr="00582B87">
        <w:rPr>
          <w:b/>
          <w:bCs/>
        </w:rPr>
        <w:t>1.2 The Conservative/Liberal Democrat Coalition Health Agenda (2010–2015)</w:t>
      </w:r>
    </w:p>
    <w:p w14:paraId="7A982693" w14:textId="77777777" w:rsidR="00582B87" w:rsidRPr="00582B87" w:rsidRDefault="00582B87" w:rsidP="00582B87">
      <w:r w:rsidRPr="00582B87">
        <w:t xml:space="preserve">The Coalition government elected in May 2010 inherited an NHS that, by most clinical measures, was performing better than at any prior point in its history. Yet the new administration moved swiftly to introduce what became one of the most contested pieces of health legislation in post-war British history. The White Paper </w:t>
      </w:r>
      <w:r w:rsidRPr="00582B87">
        <w:rPr>
          <w:i/>
          <w:iCs/>
        </w:rPr>
        <w:t xml:space="preserve">Equity and Excellence: Liberating </w:t>
      </w:r>
      <w:r w:rsidRPr="00582B87">
        <w:rPr>
          <w:i/>
          <w:iCs/>
        </w:rPr>
        <w:lastRenderedPageBreak/>
        <w:t>the NHS</w:t>
      </w:r>
      <w:r w:rsidRPr="00582B87">
        <w:t xml:space="preserve"> (Department of Health, 2010) set out a vision of GP-led commissioning, the abolition of Primary Care Trusts and Strategic Health Authorities, and the creation of an independent NHS Commissioning Board. Timmins (2012) characterised the subsequent Health and Social Care Act 2012 as a structural upheaval of extraordinary scale — one for which, as he observed, there was no clear electoral mandate and which generated fierce opposition from clinical bodies, trade unions, and patient advocates alike.</w:t>
      </w:r>
    </w:p>
    <w:p w14:paraId="3A0CE09F" w14:textId="77777777" w:rsidR="00582B87" w:rsidRPr="00582B87" w:rsidRDefault="00582B87" w:rsidP="00582B87">
      <w:r w:rsidRPr="00582B87">
        <w:t>The central mechanism of the Act was the establishment of Clinical Commissioning Groups (CCGs), through which GPs assumed responsibility for commissioning most hospital and community services. Dixon and Ham (2010) had earlier questioned whether clinicians possessed the managerial capacity or inclination to take on such functions, and subsequent evaluations suggested that the transition was both disruptive and costly. Paton (2014) estimated that the reorganisation cost in excess of £3 billion — resources that critics argued could have been deployed directly in patient care. The Act also introduced Section 75 regulations requiring commissioners to put services out to competitive tender, a development that Hunter (2008) had anticipated would deepen the commercialisation of NHS provision.</w:t>
      </w:r>
    </w:p>
    <w:p w14:paraId="1B11FA1F" w14:textId="77777777" w:rsidR="00582B87" w:rsidRPr="00582B87" w:rsidRDefault="00582B87" w:rsidP="00582B87">
      <w:r w:rsidRPr="00582B87">
        <w:t>Austerity defined the fiscal backdrop to this period. The NHS budget was effectively frozen in real terms, with efficiency savings of £20 billion demanded through the Nicholson Challenge by 2015 (NHS England, 2014). Marmot (2010) had warned that cuts to public services disproportionately harm those in lower socioeconomic groups — a prediction borne out in evidence showing that health inequalities between the most and least deprived communities widened between 2010 and 2015.</w:t>
      </w:r>
    </w:p>
    <w:p w14:paraId="1BB5403F" w14:textId="77777777" w:rsidR="00582B87" w:rsidRPr="00582B87" w:rsidRDefault="00582B87" w:rsidP="00582B87">
      <w:pPr>
        <w:rPr>
          <w:b/>
          <w:bCs/>
        </w:rPr>
      </w:pPr>
      <w:r w:rsidRPr="00582B87">
        <w:rPr>
          <w:b/>
          <w:bCs/>
        </w:rPr>
        <w:t>1.3 Recent Proposals in Healthcare Policy and Their Potential Impact on Service Users</w:t>
      </w:r>
    </w:p>
    <w:p w14:paraId="136E6138" w14:textId="77777777" w:rsidR="00582B87" w:rsidRPr="00582B87" w:rsidRDefault="00582B87" w:rsidP="00582B87">
      <w:r w:rsidRPr="00582B87">
        <w:t xml:space="preserve">The publication of </w:t>
      </w:r>
      <w:r w:rsidRPr="00582B87">
        <w:rPr>
          <w:i/>
          <w:iCs/>
        </w:rPr>
        <w:t>NHS England's Five Year Forward View</w:t>
      </w:r>
      <w:r w:rsidRPr="00582B87">
        <w:t xml:space="preserve"> (NHS England, 2014) marked a decisive shift in policy emphasis — away from structural reorganisation and towards integrated models of care. The document envisaged new care models such as Multispecialty Community Providers and Primary and Acute Care Systems, designed to dissolve the traditional boundaries between primary, secondary, and social care. Greener (2009) had long argued that genuine integration demanded not merely structural alignment but a fundamental reorientation of professional cultures and incentive systems — a challenge that remains largely unresolved.</w:t>
      </w:r>
    </w:p>
    <w:p w14:paraId="0C945AE4" w14:textId="77777777" w:rsidR="00582B87" w:rsidRPr="00582B87" w:rsidRDefault="00582B87" w:rsidP="00582B87">
      <w:r w:rsidRPr="00582B87">
        <w:t xml:space="preserve">The NHS Long Term Plan (NHS England, 2019) subsequently committed to expanded primary care networks and accelerated investment in mental health, cancer, and cardiovascular services. For service users, these proposals carried real promise: the plan pledged that by 2023/24, 380,000 more people would receive timely access to mental health services. Yet Fotaki (2014) cautioned that policy ambitions consistently outpace delivery, particularly when structural barriers such as workforce shortages and underfunded social care constrain what services can </w:t>
      </w:r>
      <w:r w:rsidRPr="00582B87">
        <w:lastRenderedPageBreak/>
        <w:t>realistically offer. The COVID-19 pandemic exposed profound vulnerabilities in NHS capacity, with waiting lists for elective treatment exceeding 7.6 million by 2023 — the largest backlog in the service's recorded history (NHS England, 2023). The practical consequences for service users have been severe: delayed diagnoses, deteriorating mental health, and widening health inequalities that fall heaviest on older adults, ethnic minority communities, and those living in the most deprived areas.</w:t>
      </w:r>
    </w:p>
    <w:p w14:paraId="326FA37D" w14:textId="77777777" w:rsidR="00582B87" w:rsidRPr="00582B87" w:rsidRDefault="00582B87" w:rsidP="00582B87">
      <w:r w:rsidRPr="00582B87">
        <w:pict w14:anchorId="2CFB20DB">
          <v:rect id="_x0000_i1050" style="width:0;height:1.5pt" o:hralign="center" o:hrstd="t" o:hr="t" fillcolor="#a0a0a0" stroked="f"/>
        </w:pict>
      </w:r>
    </w:p>
    <w:p w14:paraId="7FDFB0E6" w14:textId="77777777" w:rsidR="00582B87" w:rsidRPr="00582B87" w:rsidRDefault="00582B87" w:rsidP="00582B87">
      <w:pPr>
        <w:rPr>
          <w:b/>
          <w:bCs/>
        </w:rPr>
      </w:pPr>
      <w:r w:rsidRPr="00582B87">
        <w:rPr>
          <w:b/>
          <w:bCs/>
        </w:rPr>
        <w:t>Task 2: Theoretical Frameworks, Concepts and Models in Developing Policy</w:t>
      </w:r>
    </w:p>
    <w:p w14:paraId="43925420" w14:textId="77777777" w:rsidR="00582B87" w:rsidRPr="00582B87" w:rsidRDefault="00582B87" w:rsidP="00582B87">
      <w:pPr>
        <w:rPr>
          <w:b/>
          <w:bCs/>
        </w:rPr>
      </w:pPr>
      <w:r w:rsidRPr="00582B87">
        <w:rPr>
          <w:b/>
          <w:bCs/>
        </w:rPr>
        <w:t>2.1 Ideological Backgrounds Influencing Healthcare Policy Development</w:t>
      </w:r>
    </w:p>
    <w:p w14:paraId="5FB2311B" w14:textId="77777777" w:rsidR="00582B87" w:rsidRPr="00582B87" w:rsidRDefault="00582B87" w:rsidP="00582B87">
      <w:r w:rsidRPr="00582B87">
        <w:t>Healthcare policy does not emerge in a vacuum. It is shaped, often profoundly, by the prevailing ideological commitments of those who govern — and understanding those commitments is essential to making sense of why particular reforms take the forms they do. Alford (1975) offered an influential structural analysis, identifying 3 competing healthcare interests: dominant professional monopolisers (primarily doctors), challenging corporate rationalisers (managers and planners), and the repressed community population (patients and the public). Though developed in the American context, this framework retains considerable analytical purchase in Britain, where the medical profession has historically exercised significant authority over the direction of health policy.</w:t>
      </w:r>
    </w:p>
    <w:p w14:paraId="5212BEB6" w14:textId="77777777" w:rsidR="00582B87" w:rsidRPr="00582B87" w:rsidRDefault="00582B87" w:rsidP="00582B87">
      <w:r w:rsidRPr="00582B87">
        <w:t>The Labour governments of 1997 to 2010 operated within what might broadly be called a social democratic ideological frame — one that affirmed the state's duty to guarantee equitable access to healthcare whilst incrementally adopting market-liberal instruments such as choice and competition. Powell (1997) argued that New Labour's "third way" ideology was, in practice, an unstable hybrid, grafting market mechanisms onto a universalist welfare structure in ways that created internal contradictions. The tension between the egalitarian impulse of the NHS founding settlement and the competitive logic of payment by results was never satisfactorily resolved.</w:t>
      </w:r>
    </w:p>
    <w:p w14:paraId="342B2728" w14:textId="77777777" w:rsidR="00582B87" w:rsidRPr="00582B87" w:rsidRDefault="00582B87" w:rsidP="00582B87">
      <w:r w:rsidRPr="00582B87">
        <w:t>The Coalition government drew more explicitly on neo-liberal assumptions — the belief, as Hunter (2008) characterised it, that competition improves quality, that consumer choice is a more reliable allocative mechanism than professional planning, and that the state should act as a commissioner rather than a direct provider. These assumptions shaped the Health and Social Care Act 2012 in fundamental ways, extending the role of the market and reducing democratic accountability over health commissioning. Paton (2014) questioned the empirical basis for these assumptions, noting that the evidence for competition improving outcomes in healthcare is considerably weaker than its proponents tend to acknowledge.</w:t>
      </w:r>
    </w:p>
    <w:p w14:paraId="7689F79B" w14:textId="77777777" w:rsidR="00582B87" w:rsidRPr="00582B87" w:rsidRDefault="00582B87" w:rsidP="00582B87">
      <w:pPr>
        <w:rPr>
          <w:b/>
          <w:bCs/>
        </w:rPr>
      </w:pPr>
      <w:r w:rsidRPr="00582B87">
        <w:rPr>
          <w:b/>
          <w:bCs/>
        </w:rPr>
        <w:t>2.2 How Stakeholders Can Influence Policy Development</w:t>
      </w:r>
    </w:p>
    <w:p w14:paraId="25ECD97D" w14:textId="77777777" w:rsidR="00582B87" w:rsidRPr="00582B87" w:rsidRDefault="00582B87" w:rsidP="00582B87">
      <w:r w:rsidRPr="00582B87">
        <w:lastRenderedPageBreak/>
        <w:t>The development of healthcare policy is rarely a tidy, top-down process. Multiple actors — from royal colleges and trade unions to patient advocacy groups and pharmaceutical companies — seek to shape policy in ways that reflect their interests, values, and expertise. Alford (1975) maintained that these competing groups do not exercise equal influence; structural position, access to political elites, and the capacity to command media attention all determine whose voice gets heard.</w:t>
      </w:r>
    </w:p>
    <w:p w14:paraId="0A6064B5" w14:textId="77777777" w:rsidR="00582B87" w:rsidRPr="00582B87" w:rsidRDefault="00582B87" w:rsidP="00582B87">
      <w:r w:rsidRPr="00582B87">
        <w:t>Professional bodies such as the British Medical Association have historically wielded considerable power. The NHS itself was only established in 1948 after Aneurin Bevan famously "stuffed the doctors' mouths with gold" — conceding on merit pay and the continuation of private practice to secure medical cooperation (Klein, 2013). The pattern recurred with the 2012 Act: sustained opposition from the Royal College of Nursing and the British Medical Association forced substantial amendments to the legislation during its parliamentary passage. Timmins (2012) documented how the government's announced "pause" in April 2011 reflected its recognition that professional dissent had the capacity to derail its flagship reform entirely.</w:t>
      </w:r>
    </w:p>
    <w:p w14:paraId="2F04347E" w14:textId="77777777" w:rsidR="00582B87" w:rsidRPr="00582B87" w:rsidRDefault="00582B87" w:rsidP="00582B87">
      <w:r w:rsidRPr="00582B87">
        <w:t>Patient and voluntary sector organisations have gained increasing salience as policy actors since the 1990s. Fotaki (2014) argued that patient involvement in commissioning decisions, as envisaged under CCGs, represented a meaningful if imperfect step towards democratising health governance. That said, Lupton, Peckham and Taylor (1998) demonstrated that lay participation in NHS decision-making frequently remains tokenistic, with real power concentrated among clinical and managerial professionals. The pharmaceutical industry, too, exerts considerable behind-the-scenes influence through lobbying, research funding, and participation in National Institute for Health and Care Excellence appraisal processes — a dynamic that Baggott (2004) argued demands greater transparency and public scrutiny.</w:t>
      </w:r>
    </w:p>
    <w:p w14:paraId="4F5E9D37" w14:textId="77777777" w:rsidR="00582B87" w:rsidRPr="00582B87" w:rsidRDefault="00582B87" w:rsidP="00582B87">
      <w:r w:rsidRPr="00582B87">
        <w:pict w14:anchorId="39283E10">
          <v:rect id="_x0000_i1051" style="width:0;height:1.5pt" o:hralign="center" o:hrstd="t" o:hr="t" fillcolor="#a0a0a0" stroked="f"/>
        </w:pict>
      </w:r>
    </w:p>
    <w:p w14:paraId="7BC21FD8" w14:textId="77777777" w:rsidR="00582B87" w:rsidRPr="00582B87" w:rsidRDefault="00582B87" w:rsidP="00582B87">
      <w:pPr>
        <w:rPr>
          <w:b/>
          <w:bCs/>
        </w:rPr>
      </w:pPr>
      <w:r w:rsidRPr="00582B87">
        <w:rPr>
          <w:b/>
          <w:bCs/>
        </w:rPr>
        <w:t>Task 3: The Impact of Previous and Current Healthcare Policy on Service User Groups</w:t>
      </w:r>
    </w:p>
    <w:p w14:paraId="614C8BA4" w14:textId="77777777" w:rsidR="00582B87" w:rsidRPr="00582B87" w:rsidRDefault="00582B87" w:rsidP="00582B87">
      <w:pPr>
        <w:rPr>
          <w:b/>
          <w:bCs/>
        </w:rPr>
      </w:pPr>
      <w:r w:rsidRPr="00582B87">
        <w:rPr>
          <w:b/>
          <w:bCs/>
        </w:rPr>
        <w:t>3.1 A Policy Developed During the Coalition Government and Its Impact on Service Users</w:t>
      </w:r>
    </w:p>
    <w:p w14:paraId="5095FB41" w14:textId="77777777" w:rsidR="00582B87" w:rsidRPr="00582B87" w:rsidRDefault="00582B87" w:rsidP="00582B87">
      <w:r w:rsidRPr="00582B87">
        <w:t>Among the most consequential policies introduced under the Coalition was the Health and Social Care Act 2012, which restructured NHS commissioning and extended competitive tendering across a broad range of services. For service users, the effects were varied and, in several respects, deeply troubling. The transition from Primary Care Trusts to Clinical Commissioning Groups was accompanied by significant institutional disruption; Timmins (2012) observed that the reorganisation created a period of management uncertainty during which existing relationships between commissioners and providers were severed, often with little discernible benefit to patients. The estimated £3 billion cost of the transition represented a direct diversion of resources away from frontline care.</w:t>
      </w:r>
    </w:p>
    <w:p w14:paraId="24D4BCF0" w14:textId="77777777" w:rsidR="00582B87" w:rsidRPr="00582B87" w:rsidRDefault="00582B87" w:rsidP="00582B87">
      <w:r w:rsidRPr="00582B87">
        <w:lastRenderedPageBreak/>
        <w:t>The Act's marketisation provisions proved particularly contentious in relation to vulnerable service user groups. Paton (2014) revealed how the introduction of competitive tendering in community health services led, in several localities, to fragmentation of care pathways — a development that disadvantaged those with complex or multiple needs, including older adults and individuals with learning disabilities. Advocacy organisations documented instances where service users with intellectual disabilities lost access to familiar support workers following contract changes driven by competitive procurement, with measurable adverse effects on wellbeing and continuity of care.</w:t>
      </w:r>
    </w:p>
    <w:p w14:paraId="1061123D" w14:textId="77777777" w:rsidR="00582B87" w:rsidRPr="00582B87" w:rsidRDefault="00582B87" w:rsidP="00582B87">
      <w:pPr>
        <w:rPr>
          <w:b/>
          <w:bCs/>
        </w:rPr>
      </w:pPr>
      <w:r w:rsidRPr="00582B87">
        <w:rPr>
          <w:b/>
          <w:bCs/>
        </w:rPr>
        <w:t>3.2 The Government's Policy on Supporting Service Users with Long-Term Conditions</w:t>
      </w:r>
    </w:p>
    <w:p w14:paraId="770579D6" w14:textId="77777777" w:rsidR="00582B87" w:rsidRPr="00582B87" w:rsidRDefault="00582B87" w:rsidP="00582B87">
      <w:r w:rsidRPr="00582B87">
        <w:t>Long-term conditions — defined by the Department of Health (2012) as those that cannot currently be cured but can be managed through medication and other therapies — represent one of the most pressing challenges facing the NHS. Approximately 15 million people in England live with at least 1 long-term condition, and this group accounts for around 70% of total NHS and social care expenditure (Department of Health, 2012). The scale of this challenge has prompted successive governments to develop policy frameworks aimed at shifting care towards community-based and self-management models.</w:t>
      </w:r>
    </w:p>
    <w:p w14:paraId="281FF21E" w14:textId="77777777" w:rsidR="00582B87" w:rsidRPr="00582B87" w:rsidRDefault="00582B87" w:rsidP="00582B87">
      <w:r w:rsidRPr="00582B87">
        <w:t>The Coalition government built upon Labour-era frameworks such as the Expert Patient Programme, emphasising personalisation and patient activation as organising principles. The introduction of personal health budgets — piloted from 2009 and extended more broadly from 2014 — gave certain service users greater autonomy over how their care was configured and delivered. Ham (2009) welcomed this as a meaningful step towards genuinely person-centred care, though he cautioned that the effectiveness of personal budgets depended heavily on the quality of support planning available to individuals, which varied considerably across localities.</w:t>
      </w:r>
    </w:p>
    <w:p w14:paraId="6C98279C" w14:textId="77777777" w:rsidR="00582B87" w:rsidRPr="00582B87" w:rsidRDefault="00582B87" w:rsidP="00582B87">
      <w:r w:rsidRPr="00582B87">
        <w:t>Marmot (2010) made clear that long-term conditions are not distributed randomly across the population; they cluster in areas of socioeconomic deprivation, where people develop conditions earlier and experience poorer outcomes. Policy frameworks that focus on individual behaviour change without addressing the underlying social determinants — poor housing, insecure employment, food poverty — risk placing unrealistic burdens on service users whose health is, in large measure, a product of structural disadvantage. The NHS Long Term Plan (NHS England, 2019) acknowledged this concern to a degree, pledging action on social prescribing and prevention, though critics noted that these ambitions were materially undercut by sustained cuts to local authority public health budgets that had persisted since 2013.</w:t>
      </w:r>
    </w:p>
    <w:p w14:paraId="24348D26" w14:textId="77777777" w:rsidR="00582B87" w:rsidRPr="00582B87" w:rsidRDefault="00582B87" w:rsidP="00582B87">
      <w:r w:rsidRPr="00582B87">
        <w:pict w14:anchorId="57E1B0BF">
          <v:rect id="_x0000_i1052" style="width:0;height:1.5pt" o:hralign="center" o:hrstd="t" o:hr="t" fillcolor="#a0a0a0" stroked="f"/>
        </w:pict>
      </w:r>
    </w:p>
    <w:p w14:paraId="0F17BFDA" w14:textId="77777777" w:rsidR="00582B87" w:rsidRPr="00582B87" w:rsidRDefault="00582B87" w:rsidP="00582B87">
      <w:pPr>
        <w:rPr>
          <w:b/>
          <w:bCs/>
        </w:rPr>
      </w:pPr>
      <w:r w:rsidRPr="00582B87">
        <w:rPr>
          <w:b/>
          <w:bCs/>
        </w:rPr>
        <w:t>References</w:t>
      </w:r>
    </w:p>
    <w:p w14:paraId="1D27C7E4" w14:textId="77777777" w:rsidR="00582B87" w:rsidRPr="00582B87" w:rsidRDefault="00582B87" w:rsidP="00582B87">
      <w:r w:rsidRPr="00582B87">
        <w:lastRenderedPageBreak/>
        <w:t xml:space="preserve">Alford, R.R. (1975) </w:t>
      </w:r>
      <w:r w:rsidRPr="00582B87">
        <w:rPr>
          <w:i/>
          <w:iCs/>
        </w:rPr>
        <w:t>Health Care Politics: Ideological and Interest Group Barriers to Reform</w:t>
      </w:r>
      <w:r w:rsidRPr="00582B87">
        <w:t>. University of Chicago Press.</w:t>
      </w:r>
    </w:p>
    <w:p w14:paraId="1A2C4A6D" w14:textId="77777777" w:rsidR="00582B87" w:rsidRPr="00582B87" w:rsidRDefault="00582B87" w:rsidP="00582B87">
      <w:r w:rsidRPr="00582B87">
        <w:t xml:space="preserve">Baggott, R. (2004) </w:t>
      </w:r>
      <w:r w:rsidRPr="00582B87">
        <w:rPr>
          <w:i/>
          <w:iCs/>
        </w:rPr>
        <w:t>Health and Health Care in Britain</w:t>
      </w:r>
      <w:r w:rsidRPr="00582B87">
        <w:t>. 3rd edn. Palgrave Macmillan.</w:t>
      </w:r>
    </w:p>
    <w:p w14:paraId="302FEDD9" w14:textId="77777777" w:rsidR="00582B87" w:rsidRPr="00582B87" w:rsidRDefault="00582B87" w:rsidP="00582B87">
      <w:r w:rsidRPr="00582B87">
        <w:t xml:space="preserve">Department of Health (1997) </w:t>
      </w:r>
      <w:r w:rsidRPr="00582B87">
        <w:rPr>
          <w:i/>
          <w:iCs/>
        </w:rPr>
        <w:t>The New NHS: Modern, Dependable</w:t>
      </w:r>
      <w:r w:rsidRPr="00582B87">
        <w:t>. London: HMSO.</w:t>
      </w:r>
    </w:p>
    <w:p w14:paraId="39C464CA" w14:textId="77777777" w:rsidR="00582B87" w:rsidRPr="00582B87" w:rsidRDefault="00582B87" w:rsidP="00582B87">
      <w:r w:rsidRPr="00582B87">
        <w:t xml:space="preserve">Department of Health (2010) </w:t>
      </w:r>
      <w:r w:rsidRPr="00582B87">
        <w:rPr>
          <w:i/>
          <w:iCs/>
        </w:rPr>
        <w:t>Equity and Excellence: Liberating the NHS</w:t>
      </w:r>
      <w:r w:rsidRPr="00582B87">
        <w:t>. London: HMSO.</w:t>
      </w:r>
    </w:p>
    <w:p w14:paraId="3E5B73BF" w14:textId="77777777" w:rsidR="00582B87" w:rsidRPr="00582B87" w:rsidRDefault="00582B87" w:rsidP="00582B87">
      <w:r w:rsidRPr="00582B87">
        <w:t xml:space="preserve">Department of Health (2012) </w:t>
      </w:r>
      <w:r w:rsidRPr="00582B87">
        <w:rPr>
          <w:i/>
          <w:iCs/>
        </w:rPr>
        <w:t>Long Term Conditions Compendium of Information</w:t>
      </w:r>
      <w:r w:rsidRPr="00582B87">
        <w:t>. 3rd edn. London: Department of Health.</w:t>
      </w:r>
    </w:p>
    <w:p w14:paraId="55744279" w14:textId="77777777" w:rsidR="00582B87" w:rsidRPr="00582B87" w:rsidRDefault="00582B87" w:rsidP="00582B87">
      <w:r w:rsidRPr="00582B87">
        <w:t xml:space="preserve">Dixon, A. and Ham, C. (2010) </w:t>
      </w:r>
      <w:r w:rsidRPr="00582B87">
        <w:rPr>
          <w:i/>
          <w:iCs/>
        </w:rPr>
        <w:t>Liberating the NHS: Source Material for the White Paper</w:t>
      </w:r>
      <w:r w:rsidRPr="00582B87">
        <w:t>. London: King's Fund.</w:t>
      </w:r>
    </w:p>
    <w:p w14:paraId="6826FEDC" w14:textId="77777777" w:rsidR="00582B87" w:rsidRPr="00582B87" w:rsidRDefault="00582B87" w:rsidP="00582B87">
      <w:r w:rsidRPr="00582B87">
        <w:t xml:space="preserve">Fotaki, M. (2014) 'Can consumer choice replace trust in the National Health Service in England? Towards developing an affective psychosocial conception of trust in health care', </w:t>
      </w:r>
      <w:r w:rsidRPr="00582B87">
        <w:rPr>
          <w:i/>
          <w:iCs/>
        </w:rPr>
        <w:t>Sociology of Health and Illness</w:t>
      </w:r>
      <w:r w:rsidRPr="00582B87">
        <w:t>, 36(8), pp. 1276–1294.</w:t>
      </w:r>
    </w:p>
    <w:p w14:paraId="3B0C3522" w14:textId="77777777" w:rsidR="00582B87" w:rsidRPr="00582B87" w:rsidRDefault="00582B87" w:rsidP="00582B87">
      <w:r w:rsidRPr="00582B87">
        <w:t xml:space="preserve">Greener, I. (2009) </w:t>
      </w:r>
      <w:r w:rsidRPr="00582B87">
        <w:rPr>
          <w:i/>
          <w:iCs/>
        </w:rPr>
        <w:t>Healthcare in the UK: Understanding Continuity and Change</w:t>
      </w:r>
      <w:r w:rsidRPr="00582B87">
        <w:t>. Policy Press.</w:t>
      </w:r>
    </w:p>
    <w:p w14:paraId="5E5F32D0" w14:textId="77777777" w:rsidR="00582B87" w:rsidRPr="00582B87" w:rsidRDefault="00582B87" w:rsidP="00582B87">
      <w:r w:rsidRPr="00582B87">
        <w:t xml:space="preserve">Ham, C. (2009) </w:t>
      </w:r>
      <w:r w:rsidRPr="00582B87">
        <w:rPr>
          <w:i/>
          <w:iCs/>
        </w:rPr>
        <w:t>Health Policy in Britain</w:t>
      </w:r>
      <w:r w:rsidRPr="00582B87">
        <w:t>. 6th edn. Palgrave Macmillan.</w:t>
      </w:r>
    </w:p>
    <w:p w14:paraId="052D5120" w14:textId="77777777" w:rsidR="00582B87" w:rsidRPr="00582B87" w:rsidRDefault="00582B87" w:rsidP="00582B87">
      <w:r w:rsidRPr="00582B87">
        <w:t xml:space="preserve">Hunter, D.J. (2008) </w:t>
      </w:r>
      <w:r w:rsidRPr="00582B87">
        <w:rPr>
          <w:i/>
          <w:iCs/>
        </w:rPr>
        <w:t>The Health Debate</w:t>
      </w:r>
      <w:r w:rsidRPr="00582B87">
        <w:t>. Policy Press.</w:t>
      </w:r>
    </w:p>
    <w:p w14:paraId="368DD9E5" w14:textId="77777777" w:rsidR="00582B87" w:rsidRPr="00582B87" w:rsidRDefault="00582B87" w:rsidP="00582B87">
      <w:r w:rsidRPr="00582B87">
        <w:t xml:space="preserve">Klein, R. (2013) </w:t>
      </w:r>
      <w:r w:rsidRPr="00582B87">
        <w:rPr>
          <w:i/>
          <w:iCs/>
        </w:rPr>
        <w:t>The New Politics of the NHS: From Creation to Reinvention</w:t>
      </w:r>
      <w:r w:rsidRPr="00582B87">
        <w:t>. 7th edn. Radcliffe Publishing.</w:t>
      </w:r>
    </w:p>
    <w:p w14:paraId="7AECF28A" w14:textId="77777777" w:rsidR="00582B87" w:rsidRPr="00582B87" w:rsidRDefault="00582B87" w:rsidP="00582B87">
      <w:r w:rsidRPr="00582B87">
        <w:t xml:space="preserve">Lupton, C., Peckham, S. and Taylor, P. (1998) </w:t>
      </w:r>
      <w:r w:rsidRPr="00582B87">
        <w:rPr>
          <w:i/>
          <w:iCs/>
        </w:rPr>
        <w:t>Managing Public Involvement in Healthcare Purchasing</w:t>
      </w:r>
      <w:r w:rsidRPr="00582B87">
        <w:t>. Open University Press.</w:t>
      </w:r>
    </w:p>
    <w:p w14:paraId="6F219BDB" w14:textId="77777777" w:rsidR="00582B87" w:rsidRPr="00582B87" w:rsidRDefault="00582B87" w:rsidP="00582B87">
      <w:r w:rsidRPr="00582B87">
        <w:t xml:space="preserve">Marmot, M. (2010) </w:t>
      </w:r>
      <w:r w:rsidRPr="00582B87">
        <w:rPr>
          <w:i/>
          <w:iCs/>
        </w:rPr>
        <w:t>Fair Society, Healthy Lives: The Marmot Review</w:t>
      </w:r>
      <w:r w:rsidRPr="00582B87">
        <w:t>. London: UCL Institute of Health Equity.</w:t>
      </w:r>
    </w:p>
    <w:p w14:paraId="776506FC" w14:textId="77777777" w:rsidR="00582B87" w:rsidRPr="00582B87" w:rsidRDefault="00582B87" w:rsidP="00582B87">
      <w:r w:rsidRPr="00582B87">
        <w:t xml:space="preserve">NHS England (2014) </w:t>
      </w:r>
      <w:r w:rsidRPr="00582B87">
        <w:rPr>
          <w:i/>
          <w:iCs/>
        </w:rPr>
        <w:t>Five Year Forward View</w:t>
      </w:r>
      <w:r w:rsidRPr="00582B87">
        <w:t>. London: NHS England.</w:t>
      </w:r>
    </w:p>
    <w:p w14:paraId="79C9D712" w14:textId="77777777" w:rsidR="00582B87" w:rsidRPr="00582B87" w:rsidRDefault="00582B87" w:rsidP="00582B87">
      <w:r w:rsidRPr="00582B87">
        <w:t xml:space="preserve">NHS England (2019) </w:t>
      </w:r>
      <w:r w:rsidRPr="00582B87">
        <w:rPr>
          <w:i/>
          <w:iCs/>
        </w:rPr>
        <w:t>The NHS Long Term Plan</w:t>
      </w:r>
      <w:r w:rsidRPr="00582B87">
        <w:t>. London: NHS England.</w:t>
      </w:r>
    </w:p>
    <w:p w14:paraId="4F4CD289" w14:textId="77777777" w:rsidR="00582B87" w:rsidRPr="00582B87" w:rsidRDefault="00582B87" w:rsidP="00582B87">
      <w:r w:rsidRPr="00582B87">
        <w:t xml:space="preserve">NHS England (2023) </w:t>
      </w:r>
      <w:r w:rsidRPr="00582B87">
        <w:rPr>
          <w:i/>
          <w:iCs/>
        </w:rPr>
        <w:t>Referral to Treatment Waiting Times Statistics</w:t>
      </w:r>
      <w:r w:rsidRPr="00582B87">
        <w:t>. London: NHS England.</w:t>
      </w:r>
    </w:p>
    <w:p w14:paraId="5135BB7E" w14:textId="77777777" w:rsidR="00582B87" w:rsidRPr="00582B87" w:rsidRDefault="00582B87" w:rsidP="00582B87">
      <w:r w:rsidRPr="00582B87">
        <w:t xml:space="preserve">Paton, C. (2014) </w:t>
      </w:r>
      <w:r w:rsidRPr="00582B87">
        <w:rPr>
          <w:i/>
          <w:iCs/>
        </w:rPr>
        <w:t>At What Cost? Paying the Price for the Market in the English NHS</w:t>
      </w:r>
      <w:r w:rsidRPr="00582B87">
        <w:t>. London: Centre for Health and the Public Interest.</w:t>
      </w:r>
    </w:p>
    <w:p w14:paraId="1566B5EE" w14:textId="77777777" w:rsidR="00582B87" w:rsidRPr="00582B87" w:rsidRDefault="00582B87" w:rsidP="00582B87">
      <w:r w:rsidRPr="00582B87">
        <w:t xml:space="preserve">Pollock, A.M. (2004) </w:t>
      </w:r>
      <w:r w:rsidRPr="00582B87">
        <w:rPr>
          <w:i/>
          <w:iCs/>
        </w:rPr>
        <w:t>NHS plc: The Privatisation of Our Health Care</w:t>
      </w:r>
      <w:r w:rsidRPr="00582B87">
        <w:t>. London: Verso.</w:t>
      </w:r>
    </w:p>
    <w:p w14:paraId="205E272E" w14:textId="77777777" w:rsidR="00582B87" w:rsidRPr="00582B87" w:rsidRDefault="00582B87" w:rsidP="00582B87">
      <w:r w:rsidRPr="00582B87">
        <w:t xml:space="preserve">Powell, M. (1997) </w:t>
      </w:r>
      <w:r w:rsidRPr="00582B87">
        <w:rPr>
          <w:i/>
          <w:iCs/>
        </w:rPr>
        <w:t>Evaluating the National Health Service</w:t>
      </w:r>
      <w:r w:rsidRPr="00582B87">
        <w:t>. Open University Press.</w:t>
      </w:r>
    </w:p>
    <w:p w14:paraId="5711E0A2" w14:textId="77777777" w:rsidR="00582B87" w:rsidRPr="00582B87" w:rsidRDefault="00582B87" w:rsidP="00582B87">
      <w:r w:rsidRPr="00582B87">
        <w:lastRenderedPageBreak/>
        <w:t xml:space="preserve">Timmins, N. (2012) </w:t>
      </w:r>
      <w:r w:rsidRPr="00582B87">
        <w:rPr>
          <w:i/>
          <w:iCs/>
        </w:rPr>
        <w:t>Never Again? The Story of the Health and Social Care Act 2012</w:t>
      </w:r>
      <w:r w:rsidRPr="00582B87">
        <w:t>. London: King's Fund and Institute for Government.</w:t>
      </w:r>
    </w:p>
    <w:p w14:paraId="63E38748" w14:textId="77777777" w:rsidR="00582B87" w:rsidRPr="00582B87" w:rsidRDefault="00582B87" w:rsidP="00582B87">
      <w:r w:rsidRPr="00582B87">
        <w:t xml:space="preserve">Wanless, D. (2002) </w:t>
      </w:r>
      <w:r w:rsidRPr="00582B87">
        <w:rPr>
          <w:i/>
          <w:iCs/>
        </w:rPr>
        <w:t>Securing Our Future Health: Taking a Long-Term View</w:t>
      </w:r>
      <w:r w:rsidRPr="00582B87">
        <w:t>. London: HM Treasury.</w:t>
      </w:r>
    </w:p>
    <w:p w14:paraId="714CBBF3" w14:textId="77777777" w:rsidR="00F93FB6" w:rsidRDefault="00F93FB6"/>
    <w:sectPr w:rsidR="00F93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E2D"/>
    <w:rsid w:val="00407FB7"/>
    <w:rsid w:val="00441DC4"/>
    <w:rsid w:val="00582B87"/>
    <w:rsid w:val="00873998"/>
    <w:rsid w:val="00D26E2D"/>
    <w:rsid w:val="00F93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930AB6-940D-4185-AB94-27BC27318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E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6E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6E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E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E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E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6E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6E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E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E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E2D"/>
    <w:rPr>
      <w:rFonts w:eastAsiaTheme="majorEastAsia" w:cstheme="majorBidi"/>
      <w:color w:val="272727" w:themeColor="text1" w:themeTint="D8"/>
    </w:rPr>
  </w:style>
  <w:style w:type="paragraph" w:styleId="Title">
    <w:name w:val="Title"/>
    <w:basedOn w:val="Normal"/>
    <w:next w:val="Normal"/>
    <w:link w:val="TitleChar"/>
    <w:uiPriority w:val="10"/>
    <w:qFormat/>
    <w:rsid w:val="00D26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E2D"/>
    <w:pPr>
      <w:spacing w:before="160"/>
      <w:jc w:val="center"/>
    </w:pPr>
    <w:rPr>
      <w:i/>
      <w:iCs/>
      <w:color w:val="404040" w:themeColor="text1" w:themeTint="BF"/>
    </w:rPr>
  </w:style>
  <w:style w:type="character" w:customStyle="1" w:styleId="QuoteChar">
    <w:name w:val="Quote Char"/>
    <w:basedOn w:val="DefaultParagraphFont"/>
    <w:link w:val="Quote"/>
    <w:uiPriority w:val="29"/>
    <w:rsid w:val="00D26E2D"/>
    <w:rPr>
      <w:i/>
      <w:iCs/>
      <w:color w:val="404040" w:themeColor="text1" w:themeTint="BF"/>
    </w:rPr>
  </w:style>
  <w:style w:type="paragraph" w:styleId="ListParagraph">
    <w:name w:val="List Paragraph"/>
    <w:basedOn w:val="Normal"/>
    <w:uiPriority w:val="34"/>
    <w:qFormat/>
    <w:rsid w:val="00D26E2D"/>
    <w:pPr>
      <w:ind w:left="720"/>
      <w:contextualSpacing/>
    </w:pPr>
  </w:style>
  <w:style w:type="character" w:styleId="IntenseEmphasis">
    <w:name w:val="Intense Emphasis"/>
    <w:basedOn w:val="DefaultParagraphFont"/>
    <w:uiPriority w:val="21"/>
    <w:qFormat/>
    <w:rsid w:val="00D26E2D"/>
    <w:rPr>
      <w:i/>
      <w:iCs/>
      <w:color w:val="2F5496" w:themeColor="accent1" w:themeShade="BF"/>
    </w:rPr>
  </w:style>
  <w:style w:type="paragraph" w:styleId="IntenseQuote">
    <w:name w:val="Intense Quote"/>
    <w:basedOn w:val="Normal"/>
    <w:next w:val="Normal"/>
    <w:link w:val="IntenseQuoteChar"/>
    <w:uiPriority w:val="30"/>
    <w:qFormat/>
    <w:rsid w:val="00D26E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E2D"/>
    <w:rPr>
      <w:i/>
      <w:iCs/>
      <w:color w:val="2F5496" w:themeColor="accent1" w:themeShade="BF"/>
    </w:rPr>
  </w:style>
  <w:style w:type="character" w:styleId="IntenseReference">
    <w:name w:val="Intense Reference"/>
    <w:basedOn w:val="DefaultParagraphFont"/>
    <w:uiPriority w:val="32"/>
    <w:qFormat/>
    <w:rsid w:val="00D26E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2464</Words>
  <Characters>14050</Characters>
  <Application>Microsoft Office Word</Application>
  <DocSecurity>0</DocSecurity>
  <Lines>117</Lines>
  <Paragraphs>32</Paragraphs>
  <ScaleCrop>false</ScaleCrop>
  <Company/>
  <LinksUpToDate>false</LinksUpToDate>
  <CharactersWithSpaces>16482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2</cp:revision>
  <dcterms:created xsi:type="dcterms:W3CDTF">2026-05-18T13:20:00Z</dcterms:created>
  <dcterms:modified xsi:type="dcterms:W3CDTF">2026-05-18T13:20:00Z</dcterms:modified>
</cp:coreProperties>
</file>