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070" w:rsidRDefault="008C4B2B">
      <w:pPr>
        <w:spacing w:after="0" w:line="480" w:lineRule="auto"/>
        <w:contextualSpacing/>
        <w:rPr>
          <w:rFonts w:ascii="Times New Roman" w:hAnsi="Times New Roman"/>
          <w:sz w:val="24"/>
          <w:szCs w:val="24"/>
        </w:rPr>
      </w:pPr>
      <w:r>
        <w:rPr>
          <w:rFonts w:ascii="Times New Roman" w:hAnsi="Times New Roman"/>
          <w:sz w:val="24"/>
          <w:szCs w:val="24"/>
        </w:rPr>
        <w:t>Student’s Name</w:t>
      </w:r>
    </w:p>
    <w:p w:rsidR="00692070" w:rsidRDefault="008C4B2B">
      <w:pPr>
        <w:spacing w:after="0" w:line="480" w:lineRule="auto"/>
        <w:contextualSpacing/>
        <w:rPr>
          <w:rFonts w:ascii="Times New Roman" w:hAnsi="Times New Roman"/>
          <w:sz w:val="24"/>
          <w:szCs w:val="24"/>
        </w:rPr>
      </w:pPr>
      <w:r>
        <w:rPr>
          <w:rFonts w:ascii="Times New Roman" w:hAnsi="Times New Roman"/>
          <w:sz w:val="24"/>
          <w:szCs w:val="24"/>
        </w:rPr>
        <w:t>Professor’s Name</w:t>
      </w:r>
    </w:p>
    <w:p w:rsidR="00692070" w:rsidRDefault="008C4B2B">
      <w:pPr>
        <w:spacing w:after="0" w:line="480" w:lineRule="auto"/>
        <w:contextualSpacing/>
        <w:rPr>
          <w:rFonts w:ascii="Times New Roman" w:eastAsia="Times New Roman" w:hAnsi="Times New Roman"/>
          <w:sz w:val="24"/>
          <w:szCs w:val="24"/>
        </w:rPr>
      </w:pPr>
      <w:r>
        <w:rPr>
          <w:rFonts w:ascii="Times New Roman" w:eastAsia="Times New Roman" w:hAnsi="Times New Roman"/>
          <w:sz w:val="24"/>
          <w:szCs w:val="24"/>
        </w:rPr>
        <w:t>Course Number</w:t>
      </w:r>
    </w:p>
    <w:p w:rsidR="00692070" w:rsidRDefault="008C4B2B">
      <w:pPr>
        <w:spacing w:after="0" w:line="480" w:lineRule="auto"/>
        <w:contextualSpacing/>
        <w:rPr>
          <w:rFonts w:ascii="Times New Roman" w:eastAsia="Times New Roman" w:hAnsi="Times New Roman"/>
          <w:sz w:val="24"/>
          <w:szCs w:val="24"/>
        </w:rPr>
      </w:pPr>
      <w:r>
        <w:rPr>
          <w:rFonts w:ascii="Times New Roman" w:eastAsia="Times New Roman" w:hAnsi="Times New Roman"/>
          <w:sz w:val="24"/>
          <w:szCs w:val="24"/>
        </w:rPr>
        <w:t xml:space="preserve">Date </w:t>
      </w:r>
    </w:p>
    <w:p w:rsidR="00692070" w:rsidRPr="00505321" w:rsidRDefault="00840E1B" w:rsidP="00505321">
      <w:pPr>
        <w:spacing w:after="0" w:line="480" w:lineRule="auto"/>
        <w:contextualSpacing/>
        <w:jc w:val="center"/>
      </w:pPr>
      <w:r>
        <w:rPr>
          <w:rFonts w:ascii="Times New Roman" w:eastAsia="Times New Roman" w:hAnsi="Times New Roman"/>
          <w:sz w:val="24"/>
          <w:szCs w:val="24"/>
        </w:rPr>
        <w:t xml:space="preserve">The </w:t>
      </w:r>
      <w:r w:rsidR="00505321" w:rsidRPr="00505321">
        <w:rPr>
          <w:rFonts w:ascii="Times New Roman" w:eastAsia="Times New Roman" w:hAnsi="Times New Roman"/>
          <w:sz w:val="24"/>
          <w:szCs w:val="24"/>
        </w:rPr>
        <w:t>Approp</w:t>
      </w:r>
      <w:r>
        <w:rPr>
          <w:rFonts w:ascii="Times New Roman" w:eastAsia="Times New Roman" w:hAnsi="Times New Roman"/>
          <w:sz w:val="24"/>
          <w:szCs w:val="24"/>
        </w:rPr>
        <w:t>riate Age for Social Media Use</w:t>
      </w:r>
      <w:bookmarkStart w:id="0" w:name="_GoBack"/>
      <w:bookmarkEnd w:id="0"/>
    </w:p>
    <w:p w:rsidR="003E1BE4" w:rsidRPr="003E1BE4" w:rsidRDefault="003E1BE4" w:rsidP="003E1BE4">
      <w:pPr>
        <w:spacing w:after="0" w:line="480" w:lineRule="auto"/>
        <w:ind w:firstLine="720"/>
        <w:contextualSpacing/>
        <w:rPr>
          <w:rFonts w:ascii="Times New Roman" w:eastAsia="Times New Roman" w:hAnsi="Times New Roman"/>
          <w:sz w:val="24"/>
          <w:szCs w:val="24"/>
        </w:rPr>
      </w:pPr>
      <w:r w:rsidRPr="003E1BE4">
        <w:rPr>
          <w:rFonts w:ascii="Times New Roman" w:eastAsia="Times New Roman" w:hAnsi="Times New Roman"/>
          <w:sz w:val="24"/>
          <w:szCs w:val="24"/>
        </w:rPr>
        <w:t>There is a fierce debate over the appropriate age for children to use social media. While some argue that early exposure fosters critical skills, others warn of risks. This essay contends that age 16 is the most suitable, as it balances independence with protection. The argument centers on psychological effects, cognitive dev</w:t>
      </w:r>
      <w:r>
        <w:rPr>
          <w:rFonts w:ascii="Times New Roman" w:eastAsia="Times New Roman" w:hAnsi="Times New Roman"/>
          <w:sz w:val="24"/>
          <w:szCs w:val="24"/>
        </w:rPr>
        <w:t>elopment, and privacy concerns.</w:t>
      </w:r>
    </w:p>
    <w:p w:rsidR="003E1BE4" w:rsidRPr="003E1BE4" w:rsidRDefault="003E1BE4" w:rsidP="003E1BE4">
      <w:pPr>
        <w:spacing w:after="0" w:line="480" w:lineRule="auto"/>
        <w:ind w:firstLine="720"/>
        <w:contextualSpacing/>
        <w:rPr>
          <w:rFonts w:ascii="Times New Roman" w:eastAsia="Times New Roman" w:hAnsi="Times New Roman"/>
          <w:sz w:val="24"/>
          <w:szCs w:val="24"/>
        </w:rPr>
      </w:pPr>
      <w:r w:rsidRPr="003E1BE4">
        <w:rPr>
          <w:rFonts w:ascii="Times New Roman" w:eastAsia="Times New Roman" w:hAnsi="Times New Roman"/>
          <w:sz w:val="24"/>
          <w:szCs w:val="24"/>
        </w:rPr>
        <w:t>First, the age of 16 aligns with crucial cognitive milestones. According to Piaget’s theory, most teens reach the formal operational stage at this age, where abstract thinking, self-regulation, and consequence comprehension are refined (Santrock 35). This development enables them to understand risks and navigate social media more responsibly, promoting independ</w:t>
      </w:r>
      <w:r>
        <w:rPr>
          <w:rFonts w:ascii="Times New Roman" w:eastAsia="Times New Roman" w:hAnsi="Times New Roman"/>
          <w:sz w:val="24"/>
          <w:szCs w:val="24"/>
        </w:rPr>
        <w:t>ence while minimizing exposure.</w:t>
      </w:r>
    </w:p>
    <w:p w:rsidR="003E1BE4" w:rsidRPr="003E1BE4" w:rsidRDefault="003E1BE4" w:rsidP="003E1BE4">
      <w:pPr>
        <w:spacing w:after="0" w:line="480" w:lineRule="auto"/>
        <w:ind w:firstLine="720"/>
        <w:contextualSpacing/>
        <w:rPr>
          <w:rFonts w:ascii="Times New Roman" w:eastAsia="Times New Roman" w:hAnsi="Times New Roman"/>
          <w:sz w:val="24"/>
          <w:szCs w:val="24"/>
        </w:rPr>
      </w:pPr>
      <w:r>
        <w:rPr>
          <w:rFonts w:ascii="Times New Roman" w:eastAsia="Times New Roman" w:hAnsi="Times New Roman"/>
          <w:sz w:val="24"/>
          <w:szCs w:val="24"/>
        </w:rPr>
        <w:t>Secondly</w:t>
      </w:r>
      <w:r w:rsidRPr="003E1BE4">
        <w:rPr>
          <w:rFonts w:ascii="Times New Roman" w:eastAsia="Times New Roman" w:hAnsi="Times New Roman"/>
          <w:sz w:val="24"/>
          <w:szCs w:val="24"/>
        </w:rPr>
        <w:t>, younger children are particularly vulnerable to adverse psychological impacts. A study showed that frequent social media users aged 12 to 15 experienced higher anxiety and depression levels than older teens (Twenge and Campbell 10). The pressure of online validation can harm self-esteem and mental health, especially for those still emotionally developing</w:t>
      </w:r>
      <w:r>
        <w:rPr>
          <w:rFonts w:ascii="Times New Roman" w:eastAsia="Times New Roman" w:hAnsi="Times New Roman"/>
          <w:sz w:val="24"/>
          <w:szCs w:val="24"/>
        </w:rPr>
        <w:t xml:space="preserve"> </w:t>
      </w:r>
      <w:r w:rsidRPr="003E1BE4">
        <w:rPr>
          <w:rFonts w:ascii="Times New Roman" w:eastAsia="Times New Roman" w:hAnsi="Times New Roman"/>
          <w:sz w:val="24"/>
          <w:szCs w:val="24"/>
        </w:rPr>
        <w:t>(Twenge and Campbell 10). By permitting access at 16, these risks are reduced, as older teens are more equipped to hand</w:t>
      </w:r>
      <w:r>
        <w:rPr>
          <w:rFonts w:ascii="Times New Roman" w:eastAsia="Times New Roman" w:hAnsi="Times New Roman"/>
          <w:sz w:val="24"/>
          <w:szCs w:val="24"/>
        </w:rPr>
        <w:t>le social media’s complexities.</w:t>
      </w:r>
    </w:p>
    <w:p w:rsidR="003E1BE4" w:rsidRPr="003E1BE4" w:rsidRDefault="003E1BE4" w:rsidP="003E1BE4">
      <w:pPr>
        <w:spacing w:after="0" w:line="480" w:lineRule="auto"/>
        <w:ind w:firstLine="720"/>
        <w:contextualSpacing/>
        <w:rPr>
          <w:rFonts w:ascii="Times New Roman" w:eastAsia="Times New Roman" w:hAnsi="Times New Roman"/>
          <w:sz w:val="24"/>
          <w:szCs w:val="24"/>
        </w:rPr>
      </w:pPr>
      <w:r w:rsidRPr="003E1BE4">
        <w:rPr>
          <w:rFonts w:ascii="Times New Roman" w:eastAsia="Times New Roman" w:hAnsi="Times New Roman"/>
          <w:sz w:val="24"/>
          <w:szCs w:val="24"/>
        </w:rPr>
        <w:t xml:space="preserve">Lastly, online safety and privacy remain significant issues for younger users. Social media platforms often lack strict verification, exposing children to inappropriate content and predators. By setting the age limit at 16, parents can monitor and teach responsible online </w:t>
      </w:r>
      <w:r w:rsidRPr="003E1BE4">
        <w:rPr>
          <w:rFonts w:ascii="Times New Roman" w:eastAsia="Times New Roman" w:hAnsi="Times New Roman"/>
          <w:sz w:val="24"/>
          <w:szCs w:val="24"/>
        </w:rPr>
        <w:lastRenderedPageBreak/>
        <w:t>behavior during formative years. The American Academy of Pediatrics (AAP) suggests waiting until children are older to help them develop a stronger understanding of privacy and the consequences of sharing personal information (AAP</w:t>
      </w:r>
      <w:r>
        <w:rPr>
          <w:rFonts w:ascii="Times New Roman" w:eastAsia="Times New Roman" w:hAnsi="Times New Roman"/>
          <w:sz w:val="24"/>
          <w:szCs w:val="24"/>
        </w:rPr>
        <w:t xml:space="preserve"> 3).</w:t>
      </w:r>
    </w:p>
    <w:p w:rsidR="003E1BE4" w:rsidRPr="003E1BE4" w:rsidRDefault="003E1BE4" w:rsidP="003E1BE4">
      <w:pPr>
        <w:spacing w:after="0" w:line="480" w:lineRule="auto"/>
        <w:ind w:firstLine="720"/>
        <w:contextualSpacing/>
        <w:rPr>
          <w:rFonts w:ascii="Times New Roman" w:eastAsia="Times New Roman" w:hAnsi="Times New Roman"/>
          <w:sz w:val="24"/>
          <w:szCs w:val="24"/>
        </w:rPr>
      </w:pPr>
      <w:r w:rsidRPr="003E1BE4">
        <w:rPr>
          <w:rFonts w:ascii="Times New Roman" w:eastAsia="Times New Roman" w:hAnsi="Times New Roman"/>
          <w:sz w:val="24"/>
          <w:szCs w:val="24"/>
        </w:rPr>
        <w:t>Critics may contend that prenatal exposure facilitates the development of digital literacy and social connections in children. Nevertheless, these abilities can be developed through the use of monitored and moderated online activities, as opposed to unrestricted social media use. Additionally, digital literacy programs in schools can equip children with the requisite skills without prematurely exposing them to the dangers of social media.</w:t>
      </w:r>
    </w:p>
    <w:p w:rsidR="00692070" w:rsidRDefault="003E1BE4" w:rsidP="003E1BE4">
      <w:pPr>
        <w:spacing w:after="0" w:line="480" w:lineRule="auto"/>
        <w:ind w:firstLine="720"/>
        <w:contextualSpacing/>
        <w:rPr>
          <w:rFonts w:ascii="Times New Roman" w:eastAsia="Times New Roman" w:hAnsi="Times New Roman"/>
          <w:sz w:val="24"/>
          <w:szCs w:val="24"/>
        </w:rPr>
      </w:pPr>
      <w:r w:rsidRPr="003E1BE4">
        <w:rPr>
          <w:rFonts w:ascii="Times New Roman" w:eastAsia="Times New Roman" w:hAnsi="Times New Roman"/>
          <w:sz w:val="24"/>
          <w:szCs w:val="24"/>
        </w:rPr>
        <w:t xml:space="preserve">In conclusion, allowing children to use social media at 16 is a balanced approach that prioritizes psychological well-being, safety, and cognitive readiness. Digital literacy should not come at the cost of a child’s well-being. Social media platforms can wait until </w:t>
      </w:r>
      <w:r>
        <w:rPr>
          <w:rFonts w:ascii="Times New Roman" w:eastAsia="Times New Roman" w:hAnsi="Times New Roman"/>
          <w:sz w:val="24"/>
          <w:szCs w:val="24"/>
        </w:rPr>
        <w:t>the child or young adults is</w:t>
      </w:r>
      <w:r w:rsidRPr="003E1BE4">
        <w:rPr>
          <w:rFonts w:ascii="Times New Roman" w:eastAsia="Times New Roman" w:hAnsi="Times New Roman"/>
          <w:sz w:val="24"/>
          <w:szCs w:val="24"/>
        </w:rPr>
        <w:t xml:space="preserve"> prepared to </w:t>
      </w:r>
      <w:r>
        <w:rPr>
          <w:rFonts w:ascii="Times New Roman" w:eastAsia="Times New Roman" w:hAnsi="Times New Roman"/>
          <w:sz w:val="24"/>
          <w:szCs w:val="24"/>
        </w:rPr>
        <w:t xml:space="preserve">responsibly </w:t>
      </w:r>
      <w:r w:rsidRPr="003E1BE4">
        <w:rPr>
          <w:rFonts w:ascii="Times New Roman" w:eastAsia="Times New Roman" w:hAnsi="Times New Roman"/>
          <w:sz w:val="24"/>
          <w:szCs w:val="24"/>
        </w:rPr>
        <w:t>navigate the virtual wo</w:t>
      </w:r>
      <w:r>
        <w:rPr>
          <w:rFonts w:ascii="Times New Roman" w:eastAsia="Times New Roman" w:hAnsi="Times New Roman"/>
          <w:sz w:val="24"/>
          <w:szCs w:val="24"/>
        </w:rPr>
        <w:t>rld</w:t>
      </w:r>
      <w:r w:rsidRPr="003E1BE4">
        <w:rPr>
          <w:rFonts w:ascii="Times New Roman" w:eastAsia="Times New Roman" w:hAnsi="Times New Roman"/>
          <w:sz w:val="24"/>
          <w:szCs w:val="24"/>
        </w:rPr>
        <w:t>.</w:t>
      </w:r>
    </w:p>
    <w:p w:rsidR="00692070" w:rsidRDefault="00692070">
      <w:pPr>
        <w:spacing w:after="0" w:line="480" w:lineRule="auto"/>
        <w:ind w:firstLine="720"/>
        <w:contextualSpacing/>
        <w:rPr>
          <w:rFonts w:ascii="Times New Roman" w:eastAsia="Times New Roman" w:hAnsi="Times New Roman"/>
          <w:b/>
          <w:sz w:val="24"/>
          <w:szCs w:val="24"/>
        </w:rPr>
      </w:pPr>
    </w:p>
    <w:p w:rsidR="00505321" w:rsidRDefault="00505321">
      <w:pPr>
        <w:spacing w:after="0" w:line="480" w:lineRule="auto"/>
        <w:ind w:firstLine="720"/>
        <w:contextualSpacing/>
        <w:rPr>
          <w:rFonts w:ascii="Times New Roman" w:eastAsia="Times New Roman" w:hAnsi="Times New Roman"/>
          <w:b/>
          <w:sz w:val="24"/>
          <w:szCs w:val="24"/>
        </w:rPr>
      </w:pPr>
    </w:p>
    <w:p w:rsidR="00505321" w:rsidRDefault="00505321">
      <w:pPr>
        <w:spacing w:after="0" w:line="480" w:lineRule="auto"/>
        <w:ind w:firstLine="720"/>
        <w:contextualSpacing/>
      </w:pPr>
    </w:p>
    <w:p w:rsidR="00505321" w:rsidRDefault="00505321">
      <w:pPr>
        <w:spacing w:after="0" w:line="480" w:lineRule="auto"/>
        <w:contextualSpacing/>
        <w:jc w:val="center"/>
        <w:rPr>
          <w:rFonts w:ascii="Times New Roman" w:hAnsi="Times New Roman"/>
          <w:sz w:val="24"/>
          <w:szCs w:val="24"/>
        </w:rPr>
      </w:pPr>
    </w:p>
    <w:p w:rsidR="00C6128F" w:rsidRDefault="00C6128F">
      <w:pPr>
        <w:spacing w:after="0" w:line="480" w:lineRule="auto"/>
        <w:contextualSpacing/>
        <w:jc w:val="center"/>
        <w:rPr>
          <w:rFonts w:ascii="Times New Roman" w:hAnsi="Times New Roman"/>
          <w:sz w:val="24"/>
          <w:szCs w:val="24"/>
        </w:rPr>
        <w:sectPr w:rsidR="00C6128F">
          <w:headerReference w:type="default" r:id="rId6"/>
          <w:pgSz w:w="12240" w:h="15840"/>
          <w:pgMar w:top="1440" w:right="1440" w:bottom="1440" w:left="1440" w:header="720" w:footer="0" w:gutter="0"/>
          <w:cols w:space="720"/>
          <w:formProt w:val="0"/>
          <w:docGrid w:linePitch="360"/>
        </w:sectPr>
      </w:pPr>
    </w:p>
    <w:p w:rsidR="00692070" w:rsidRDefault="008C4B2B" w:rsidP="00C6128F">
      <w:pPr>
        <w:spacing w:after="0" w:line="480" w:lineRule="auto"/>
        <w:contextualSpacing/>
        <w:jc w:val="center"/>
        <w:rPr>
          <w:rFonts w:ascii="Times New Roman" w:hAnsi="Times New Roman"/>
          <w:sz w:val="24"/>
          <w:szCs w:val="24"/>
        </w:rPr>
      </w:pPr>
      <w:r>
        <w:rPr>
          <w:rFonts w:ascii="Times New Roman" w:hAnsi="Times New Roman"/>
          <w:sz w:val="24"/>
          <w:szCs w:val="24"/>
        </w:rPr>
        <w:lastRenderedPageBreak/>
        <w:t>Works Cited</w:t>
      </w:r>
    </w:p>
    <w:p w:rsidR="004B735D" w:rsidRPr="004B735D" w:rsidRDefault="004B735D" w:rsidP="004B735D">
      <w:pPr>
        <w:spacing w:after="0" w:line="480" w:lineRule="auto"/>
        <w:ind w:left="720" w:hanging="720"/>
        <w:contextualSpacing/>
        <w:rPr>
          <w:rFonts w:ascii="Times New Roman" w:hAnsi="Times New Roman"/>
          <w:sz w:val="24"/>
          <w:szCs w:val="24"/>
          <w:shd w:val="clear" w:color="auto" w:fill="FFFFFF"/>
        </w:rPr>
      </w:pPr>
      <w:r w:rsidRPr="004B735D">
        <w:rPr>
          <w:rFonts w:ascii="Times New Roman" w:hAnsi="Times New Roman"/>
          <w:sz w:val="24"/>
          <w:szCs w:val="24"/>
          <w:shd w:val="clear" w:color="auto" w:fill="FFFFFF"/>
        </w:rPr>
        <w:t>American Acade</w:t>
      </w:r>
      <w:r w:rsidR="009B75C7">
        <w:rPr>
          <w:rFonts w:ascii="Times New Roman" w:hAnsi="Times New Roman"/>
          <w:sz w:val="24"/>
          <w:szCs w:val="24"/>
          <w:shd w:val="clear" w:color="auto" w:fill="FFFFFF"/>
        </w:rPr>
        <w:t>my of Pediatrics. “</w:t>
      </w:r>
      <w:r w:rsidRPr="004B735D">
        <w:rPr>
          <w:rFonts w:ascii="Times New Roman" w:hAnsi="Times New Roman"/>
          <w:sz w:val="24"/>
          <w:szCs w:val="24"/>
          <w:shd w:val="clear" w:color="auto" w:fill="FFFFFF"/>
        </w:rPr>
        <w:t>Media Use in School</w:t>
      </w:r>
      <w:r w:rsidR="009B75C7">
        <w:rPr>
          <w:rFonts w:ascii="Times New Roman" w:hAnsi="Times New Roman"/>
          <w:sz w:val="24"/>
          <w:szCs w:val="24"/>
          <w:shd w:val="clear" w:color="auto" w:fill="FFFFFF"/>
        </w:rPr>
        <w:t>-Aged Children and Adolescents.”</w:t>
      </w:r>
      <w:r w:rsidRPr="004B735D">
        <w:rPr>
          <w:rFonts w:ascii="Times New Roman" w:hAnsi="Times New Roman"/>
          <w:sz w:val="24"/>
          <w:szCs w:val="24"/>
          <w:shd w:val="clear" w:color="auto" w:fill="FFFFFF"/>
        </w:rPr>
        <w:t xml:space="preserve"> </w:t>
      </w:r>
      <w:r w:rsidRPr="0038000A">
        <w:rPr>
          <w:rFonts w:ascii="Times New Roman" w:hAnsi="Times New Roman"/>
          <w:i/>
          <w:sz w:val="24"/>
          <w:szCs w:val="24"/>
          <w:shd w:val="clear" w:color="auto" w:fill="FFFFFF"/>
        </w:rPr>
        <w:t>Pediatrics,</w:t>
      </w:r>
      <w:r w:rsidRPr="004B735D">
        <w:rPr>
          <w:rFonts w:ascii="Times New Roman" w:hAnsi="Times New Roman"/>
          <w:sz w:val="24"/>
          <w:szCs w:val="24"/>
          <w:shd w:val="clear" w:color="auto" w:fill="FFFFFF"/>
        </w:rPr>
        <w:t xml:space="preserve"> vo</w:t>
      </w:r>
      <w:r>
        <w:rPr>
          <w:rFonts w:ascii="Times New Roman" w:hAnsi="Times New Roman"/>
          <w:sz w:val="24"/>
          <w:szCs w:val="24"/>
          <w:shd w:val="clear" w:color="auto" w:fill="FFFFFF"/>
        </w:rPr>
        <w:t>l. 138, no. 5, 2016, pp. e1-e6.</w:t>
      </w:r>
    </w:p>
    <w:p w:rsidR="004B735D" w:rsidRPr="004B735D" w:rsidRDefault="004B735D" w:rsidP="004B735D">
      <w:pPr>
        <w:spacing w:after="0" w:line="480" w:lineRule="auto"/>
        <w:ind w:left="720" w:hanging="720"/>
        <w:contextualSpacing/>
        <w:rPr>
          <w:rFonts w:ascii="Times New Roman" w:hAnsi="Times New Roman"/>
          <w:sz w:val="24"/>
          <w:szCs w:val="24"/>
          <w:shd w:val="clear" w:color="auto" w:fill="FFFFFF"/>
        </w:rPr>
      </w:pPr>
      <w:r w:rsidRPr="004B735D">
        <w:rPr>
          <w:rFonts w:ascii="Times New Roman" w:hAnsi="Times New Roman"/>
          <w:sz w:val="24"/>
          <w:szCs w:val="24"/>
          <w:shd w:val="clear" w:color="auto" w:fill="FFFFFF"/>
        </w:rPr>
        <w:t xml:space="preserve">Santrock, John W. </w:t>
      </w:r>
      <w:r w:rsidRPr="0038000A">
        <w:rPr>
          <w:rFonts w:ascii="Times New Roman" w:hAnsi="Times New Roman"/>
          <w:i/>
          <w:sz w:val="24"/>
          <w:szCs w:val="24"/>
          <w:shd w:val="clear" w:color="auto" w:fill="FFFFFF"/>
        </w:rPr>
        <w:t xml:space="preserve">A Topical Approach to Life-Span </w:t>
      </w:r>
      <w:r w:rsidRPr="0038000A">
        <w:rPr>
          <w:rFonts w:ascii="Times New Roman" w:hAnsi="Times New Roman"/>
          <w:i/>
          <w:sz w:val="24"/>
          <w:szCs w:val="24"/>
          <w:shd w:val="clear" w:color="auto" w:fill="FFFFFF"/>
        </w:rPr>
        <w:t>Development</w:t>
      </w:r>
      <w:r>
        <w:rPr>
          <w:rFonts w:ascii="Times New Roman" w:hAnsi="Times New Roman"/>
          <w:sz w:val="24"/>
          <w:szCs w:val="24"/>
          <w:shd w:val="clear" w:color="auto" w:fill="FFFFFF"/>
        </w:rPr>
        <w:t>. McGraw-Hill, 2017.</w:t>
      </w:r>
    </w:p>
    <w:p w:rsidR="00692070" w:rsidRDefault="008079F3" w:rsidP="004B735D">
      <w:pPr>
        <w:spacing w:after="0" w:line="480" w:lineRule="auto"/>
        <w:ind w:left="720" w:hanging="720"/>
        <w:contextualSpacing/>
        <w:rPr>
          <w:rFonts w:ascii="Times New Roman" w:hAnsi="Times New Roman"/>
          <w:sz w:val="24"/>
          <w:szCs w:val="24"/>
          <w:highlight w:val="white"/>
        </w:rPr>
      </w:pPr>
      <w:r w:rsidRPr="008079F3">
        <w:rPr>
          <w:rFonts w:ascii="Times New Roman" w:hAnsi="Times New Roman"/>
          <w:sz w:val="24"/>
          <w:szCs w:val="24"/>
          <w:shd w:val="clear" w:color="auto" w:fill="FFFFFF"/>
        </w:rPr>
        <w:t>Twenge, J</w:t>
      </w:r>
      <w:r w:rsidR="009B75C7">
        <w:rPr>
          <w:rFonts w:ascii="Times New Roman" w:hAnsi="Times New Roman"/>
          <w:sz w:val="24"/>
          <w:szCs w:val="24"/>
          <w:shd w:val="clear" w:color="auto" w:fill="FFFFFF"/>
        </w:rPr>
        <w:t>ean M., and W. Keith Campbell. “</w:t>
      </w:r>
      <w:r w:rsidRPr="008079F3">
        <w:rPr>
          <w:rFonts w:ascii="Times New Roman" w:hAnsi="Times New Roman"/>
          <w:sz w:val="24"/>
          <w:szCs w:val="24"/>
          <w:shd w:val="clear" w:color="auto" w:fill="FFFFFF"/>
        </w:rPr>
        <w:t>Associations between screen time and lower psychological well-being among children and adolescents: Evidence</w:t>
      </w:r>
      <w:r w:rsidR="009B75C7">
        <w:rPr>
          <w:rFonts w:ascii="Times New Roman" w:hAnsi="Times New Roman"/>
          <w:sz w:val="24"/>
          <w:szCs w:val="24"/>
          <w:shd w:val="clear" w:color="auto" w:fill="FFFFFF"/>
        </w:rPr>
        <w:t xml:space="preserve"> from a population-based study.”</w:t>
      </w:r>
      <w:r w:rsidRPr="008079F3">
        <w:rPr>
          <w:rFonts w:ascii="Times New Roman" w:hAnsi="Times New Roman"/>
          <w:sz w:val="24"/>
          <w:szCs w:val="24"/>
          <w:shd w:val="clear" w:color="auto" w:fill="FFFFFF"/>
        </w:rPr>
        <w:t xml:space="preserve"> </w:t>
      </w:r>
      <w:r w:rsidRPr="008079F3">
        <w:rPr>
          <w:rFonts w:ascii="Times New Roman" w:hAnsi="Times New Roman"/>
          <w:i/>
          <w:sz w:val="24"/>
          <w:szCs w:val="24"/>
          <w:shd w:val="clear" w:color="auto" w:fill="FFFFFF"/>
        </w:rPr>
        <w:t>Preventive medicine reports</w:t>
      </w:r>
      <w:r w:rsidRPr="008079F3">
        <w:rPr>
          <w:rFonts w:ascii="Times New Roman" w:hAnsi="Times New Roman"/>
          <w:sz w:val="24"/>
          <w:szCs w:val="24"/>
          <w:shd w:val="clear" w:color="auto" w:fill="FFFFFF"/>
        </w:rPr>
        <w:t xml:space="preserve"> 12 (2018): 271-283.</w:t>
      </w:r>
    </w:p>
    <w:p w:rsidR="00692070" w:rsidRDefault="00692070">
      <w:pPr>
        <w:spacing w:after="0" w:line="480" w:lineRule="auto"/>
        <w:ind w:left="720" w:hanging="720"/>
        <w:contextualSpacing/>
        <w:rPr>
          <w:rFonts w:ascii="Times New Roman" w:hAnsi="Times New Roman"/>
          <w:sz w:val="24"/>
          <w:szCs w:val="24"/>
          <w:shd w:val="clear" w:color="auto" w:fill="FFFFFF"/>
        </w:rPr>
      </w:pPr>
    </w:p>
    <w:sectPr w:rsidR="00692070">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B2B" w:rsidRDefault="008C4B2B">
      <w:pPr>
        <w:spacing w:after="0" w:line="240" w:lineRule="auto"/>
      </w:pPr>
      <w:r>
        <w:separator/>
      </w:r>
    </w:p>
  </w:endnote>
  <w:endnote w:type="continuationSeparator" w:id="0">
    <w:p w:rsidR="008C4B2B" w:rsidRDefault="008C4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ans CJK SC Regular">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B2B" w:rsidRDefault="008C4B2B">
      <w:pPr>
        <w:spacing w:after="0" w:line="240" w:lineRule="auto"/>
      </w:pPr>
      <w:r>
        <w:separator/>
      </w:r>
    </w:p>
  </w:footnote>
  <w:footnote w:type="continuationSeparator" w:id="0">
    <w:p w:rsidR="008C4B2B" w:rsidRDefault="008C4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2070" w:rsidRDefault="008C4B2B">
    <w:pPr>
      <w:pStyle w:val="Header"/>
      <w:spacing w:line="480" w:lineRule="auto"/>
      <w:contextualSpacing/>
      <w:jc w:val="right"/>
      <w:rPr>
        <w:rFonts w:ascii="Times New Roman" w:hAnsi="Times New Roman"/>
        <w:sz w:val="24"/>
        <w:szCs w:val="24"/>
      </w:rPr>
    </w:pPr>
    <w:r>
      <w:rPr>
        <w:rFonts w:ascii="Times New Roman" w:hAnsi="Times New Roman"/>
        <w:sz w:val="24"/>
        <w:szCs w:val="24"/>
      </w:rPr>
      <w:t xml:space="preserve">Last Name </w:t>
    </w:r>
    <w:r>
      <w:rPr>
        <w:rFonts w:ascii="Times New Roman" w:hAnsi="Times New Roman"/>
        <w:sz w:val="24"/>
        <w:szCs w:val="24"/>
      </w:rPr>
      <w:fldChar w:fldCharType="begin"/>
    </w:r>
    <w:r>
      <w:instrText>PAGE</w:instrText>
    </w:r>
    <w:r>
      <w:fldChar w:fldCharType="separate"/>
    </w:r>
    <w:r w:rsidR="00840E1B">
      <w:rPr>
        <w:noProof/>
      </w:rPr>
      <w:t>1</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128F" w:rsidRDefault="00C6128F">
    <w:pPr>
      <w:pStyle w:val="Header"/>
      <w:spacing w:line="480" w:lineRule="auto"/>
      <w:contextualSpacing/>
      <w:jc w:val="right"/>
      <w:rPr>
        <w:rFonts w:ascii="Times New Roman" w:hAnsi="Times New Roman"/>
        <w:sz w:val="24"/>
        <w:szCs w:val="24"/>
      </w:rPr>
    </w:pPr>
    <w:r>
      <w:rPr>
        <w:rFonts w:ascii="Times New Roman" w:hAnsi="Times New Roman"/>
        <w:sz w:val="24"/>
        <w:szCs w:val="24"/>
      </w:rPr>
      <w:t xml:space="preserve">Last Name </w:t>
    </w:r>
    <w:r>
      <w:rPr>
        <w:rFonts w:ascii="Times New Roman" w:hAnsi="Times New Roman"/>
        <w:sz w:val="24"/>
        <w:szCs w:val="24"/>
      </w:rPr>
      <w:fldChar w:fldCharType="begin"/>
    </w:r>
    <w:r>
      <w:instrText>PAGE</w:instrText>
    </w:r>
    <w:r>
      <w:fldChar w:fldCharType="separate"/>
    </w:r>
    <w:r w:rsidR="00840E1B">
      <w:rPr>
        <w:noProof/>
      </w:rPr>
      <w:t>3</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92070"/>
    <w:rsid w:val="0038000A"/>
    <w:rsid w:val="003E1BE4"/>
    <w:rsid w:val="004B735D"/>
    <w:rsid w:val="00505321"/>
    <w:rsid w:val="00692070"/>
    <w:rsid w:val="008079F3"/>
    <w:rsid w:val="00840E1B"/>
    <w:rsid w:val="00877018"/>
    <w:rsid w:val="008C4B2B"/>
    <w:rsid w:val="009B75C7"/>
    <w:rsid w:val="00C61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A334"/>
  <w15:docId w15:val="{BC01DF53-A001-4F4A-B26F-D461F8F5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ans CJK SC Regular" w:hAnsi="Liberation Serif" w:cs="FreeSans"/>
        <w:sz w:val="24"/>
        <w:szCs w:val="24"/>
        <w:lang w:val="ru-RU"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cs="Times New Roman"/>
      <w:sz w:val="22"/>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character" w:customStyle="1" w:styleId="BalloonTextChar">
    <w:name w:val="Balloon Text Char"/>
    <w:qFormat/>
    <w:rPr>
      <w:rFonts w:ascii="Tahoma" w:hAnsi="Tahoma" w:cs="Tahoma"/>
      <w:sz w:val="16"/>
      <w:szCs w:val="16"/>
      <w:lang w:val="en-US"/>
    </w:rPr>
  </w:style>
  <w:style w:type="character" w:styleId="CommentReference">
    <w:name w:val="annotation reference"/>
    <w:qFormat/>
    <w:rPr>
      <w:sz w:val="16"/>
      <w:szCs w:val="16"/>
    </w:rPr>
  </w:style>
  <w:style w:type="character" w:customStyle="1" w:styleId="CommentTextChar">
    <w:name w:val="Comment Text Char"/>
    <w:qFormat/>
    <w:rPr>
      <w:lang w:val="en-US"/>
    </w:rPr>
  </w:style>
  <w:style w:type="character" w:customStyle="1" w:styleId="CommentSubjectChar">
    <w:name w:val="Comment Subject Char"/>
    <w:qFormat/>
    <w:rPr>
      <w:b/>
      <w:bCs/>
      <w:lang w:val="en-US"/>
    </w:rPr>
  </w:style>
  <w:style w:type="character" w:styleId="PageNumber">
    <w:name w:val="page number"/>
  </w:style>
  <w:style w:type="character" w:customStyle="1" w:styleId="DocumentMapChar">
    <w:name w:val="Document Map Char"/>
    <w:qFormat/>
    <w:rPr>
      <w:rFonts w:ascii="Tahoma" w:eastAsia="Times New Roman" w:hAnsi="Tahoma" w:cs="Tahoma"/>
      <w:shd w:val="clear" w:color="auto" w:fill="000080"/>
      <w:lang w:val="en-US"/>
    </w:rPr>
  </w:style>
  <w:style w:type="character" w:customStyle="1" w:styleId="InternetLink">
    <w:name w:val="Internet Link"/>
    <w:rPr>
      <w:color w:val="0563C1"/>
      <w:u w:val="single"/>
    </w:rPr>
  </w:style>
  <w:style w:type="character" w:customStyle="1" w:styleId="apple-converted-space">
    <w:name w:val="apple-converted-space"/>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alloonText">
    <w:name w:val="Balloon Text"/>
    <w:basedOn w:val="Normal"/>
    <w:qFormat/>
    <w:pPr>
      <w:spacing w:after="0" w:line="240" w:lineRule="auto"/>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DocumentMap">
    <w:name w:val="Document Map"/>
    <w:basedOn w:val="Normal"/>
    <w:qFormat/>
    <w:pPr>
      <w:shd w:val="clear" w:color="auto" w:fill="000080"/>
      <w:spacing w:after="0" w:line="240" w:lineRule="auto"/>
    </w:pPr>
    <w:rPr>
      <w:rFonts w:ascii="Tahoma" w:eastAsia="Times New Roman" w:hAnsi="Tahoma" w:cs="Tahoma"/>
      <w:sz w:val="20"/>
      <w:szCs w:val="20"/>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ru-RU"/>
    </w:rPr>
  </w:style>
  <w:style w:type="paragraph" w:customStyle="1" w:styleId="annotation2">
    <w:name w:val="annotation2"/>
    <w:basedOn w:val="Normal"/>
    <w:qFormat/>
    <w:pPr>
      <w:spacing w:before="280" w:after="280" w:line="240" w:lineRule="auto"/>
    </w:pPr>
    <w:rPr>
      <w:rFonts w:ascii="Times New Roman" w:eastAsia="Times New Roman" w:hAnsi="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934209">
      <w:bodyDiv w:val="1"/>
      <w:marLeft w:val="0"/>
      <w:marRight w:val="0"/>
      <w:marTop w:val="0"/>
      <w:marBottom w:val="0"/>
      <w:divBdr>
        <w:top w:val="none" w:sz="0" w:space="0" w:color="auto"/>
        <w:left w:val="none" w:sz="0" w:space="0" w:color="auto"/>
        <w:bottom w:val="none" w:sz="0" w:space="0" w:color="auto"/>
        <w:right w:val="none" w:sz="0" w:space="0" w:color="auto"/>
      </w:divBdr>
    </w:div>
    <w:div w:id="434057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dc:description/>
  <cp:lastModifiedBy>Asher Izilein</cp:lastModifiedBy>
  <cp:revision>17</cp:revision>
  <dcterms:created xsi:type="dcterms:W3CDTF">2019-02-12T16:05:00Z</dcterms:created>
  <dcterms:modified xsi:type="dcterms:W3CDTF">2024-10-28T16:22:00Z</dcterms:modified>
  <dc:language>ru-RU</dc:language>
</cp:coreProperties>
</file>