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97A334" w14:textId="6B11D9D1" w:rsidR="004D6B86" w:rsidRPr="005218E6" w:rsidRDefault="00A875E6">
      <w:pPr>
        <w:pStyle w:val="Title"/>
        <w:contextualSpacing w:val="0"/>
      </w:pPr>
      <w:r w:rsidRPr="005218E6">
        <w:t>Christian Ethics and the Sexual Orientation Dilemma in Contemporary Society</w:t>
      </w:r>
    </w:p>
    <w:p w14:paraId="155CC3E8" w14:textId="77777777" w:rsidR="004D6B86" w:rsidRPr="005218E6" w:rsidRDefault="00D31B2E">
      <w:pPr>
        <w:pStyle w:val="Title2"/>
      </w:pPr>
      <w:sdt>
        <w:sdtPr>
          <w:alias w:val="Enter Author Name(s), First M. Last, Omit Titles and Degrees:"/>
          <w:tag w:val="Enter Author Name(s), First M. Last, Omit Titles and Degrees:"/>
          <w:id w:val="-523712377"/>
          <w:placeholder>
            <w:docPart w:val="5A6CB888D56C4642A911C5B6BB5AED75"/>
          </w:placeholder>
          <w:temporary/>
          <w:showingPlcHdr/>
          <w15:appearance w15:val="hidden"/>
        </w:sdtPr>
        <w:sdtEndPr/>
        <w:sdtContent>
          <w:r w:rsidR="00A4757D" w:rsidRPr="005218E6">
            <w:t>Author Name(s), First M. Last, Omit Titles and Degrees</w:t>
          </w:r>
        </w:sdtContent>
      </w:sdt>
    </w:p>
    <w:p w14:paraId="22D44FBC" w14:textId="77777777" w:rsidR="004D6B86" w:rsidRPr="005218E6" w:rsidRDefault="00D31B2E">
      <w:pPr>
        <w:pStyle w:val="Title2"/>
      </w:pPr>
      <w:sdt>
        <w:sdtPr>
          <w:alias w:val="Enter institutional affiliation(s):"/>
          <w:tag w:val="Enter institutional affiliation(s):"/>
          <w:id w:val="2102991146"/>
          <w:placeholder>
            <w:docPart w:val="E6D45B16B3A74BA8B84E1BB88769C519"/>
          </w:placeholder>
          <w:temporary/>
          <w:showingPlcHdr/>
          <w15:appearance w15:val="hidden"/>
        </w:sdtPr>
        <w:sdtEndPr/>
        <w:sdtContent>
          <w:r w:rsidR="00A4757D" w:rsidRPr="005218E6">
            <w:t>Institutional Affiliation(s)</w:t>
          </w:r>
        </w:sdtContent>
      </w:sdt>
    </w:p>
    <w:p w14:paraId="071C0A35" w14:textId="59C03C9D" w:rsidR="00B308C8" w:rsidRPr="005218E6" w:rsidRDefault="00B308C8" w:rsidP="005218E6">
      <w:pPr>
        <w:pStyle w:val="SectionTitle"/>
        <w:spacing w:before="120" w:after="120" w:line="360" w:lineRule="auto"/>
        <w:rPr>
          <w:rFonts w:asciiTheme="minorHAnsi" w:eastAsiaTheme="minorEastAsia" w:hAnsiTheme="minorHAnsi" w:cstheme="minorHAnsi"/>
        </w:rPr>
      </w:pPr>
      <w:bookmarkStart w:id="0" w:name="_Hlk92452359"/>
      <w:r w:rsidRPr="005218E6">
        <w:rPr>
          <w:rFonts w:asciiTheme="minorHAnsi" w:hAnsiTheme="minorHAnsi" w:cstheme="minorHAnsi"/>
        </w:rPr>
        <w:lastRenderedPageBreak/>
        <w:t>Christian Ethics and the Sexual Orientation Dilemma in Contemporary Society</w:t>
      </w:r>
    </w:p>
    <w:p w14:paraId="6415FA00" w14:textId="643C3BAE" w:rsidR="005B21F4" w:rsidRPr="005218E6" w:rsidRDefault="00BC42EB" w:rsidP="00EA5A22">
      <w:pPr>
        <w:pStyle w:val="SectionTitle"/>
        <w:keepLines/>
        <w:pageBreakBefore w:val="0"/>
        <w:spacing w:line="360" w:lineRule="auto"/>
        <w:ind w:firstLine="720"/>
        <w:jc w:val="both"/>
        <w:rPr>
          <w:rFonts w:asciiTheme="minorHAnsi" w:eastAsiaTheme="minorEastAsia" w:hAnsiTheme="minorHAnsi" w:cstheme="minorHAnsi"/>
        </w:rPr>
      </w:pPr>
      <w:r w:rsidRPr="005218E6">
        <w:rPr>
          <w:rFonts w:asciiTheme="minorHAnsi" w:hAnsiTheme="minorHAnsi" w:cstheme="minorHAnsi"/>
        </w:rPr>
        <w:t>On April 21, 2003, Senator Rick Santorum held an interview with the Associated Press at which he argued: “If the Supreme Court says that you have a right to consensual sex within your home, then you have the right to bigamy, you have the right to polygamy, you have the right to incest, you have the right to adultery. You have the right to anything</w:t>
      </w:r>
      <w:r w:rsidR="00E51606" w:rsidRPr="005218E6">
        <w:rPr>
          <w:rFonts w:asciiTheme="minorHAnsi" w:hAnsiTheme="minorHAnsi" w:cstheme="minorHAnsi"/>
        </w:rPr>
        <w:t xml:space="preserve"> [</w:t>
      </w:r>
      <w:r w:rsidR="00E51606" w:rsidRPr="005218E6">
        <w:rPr>
          <w:rStyle w:val="FootnoteReference"/>
          <w:rFonts w:asciiTheme="minorHAnsi" w:hAnsiTheme="minorHAnsi" w:cstheme="minorHAnsi"/>
          <w:vertAlign w:val="baseline"/>
        </w:rPr>
        <w:footnoteReference w:id="1"/>
      </w:r>
      <w:r w:rsidR="00E51606" w:rsidRPr="005218E6">
        <w:rPr>
          <w:rFonts w:asciiTheme="minorHAnsi" w:hAnsiTheme="minorHAnsi" w:cstheme="minorHAnsi"/>
        </w:rPr>
        <w:t>]</w:t>
      </w:r>
      <w:r w:rsidRPr="005218E6">
        <w:rPr>
          <w:rFonts w:asciiTheme="minorHAnsi" w:hAnsiTheme="minorHAnsi" w:cstheme="minorHAnsi"/>
        </w:rPr>
        <w:t>.”</w:t>
      </w:r>
      <w:r w:rsidR="001510ED" w:rsidRPr="005218E6">
        <w:rPr>
          <w:rFonts w:asciiTheme="minorHAnsi" w:eastAsiaTheme="minorEastAsia" w:hAnsiTheme="minorHAnsi" w:cstheme="minorHAnsi"/>
        </w:rPr>
        <w:t xml:space="preserve"> </w:t>
      </w:r>
      <w:r w:rsidR="00E51606" w:rsidRPr="005218E6">
        <w:rPr>
          <w:rFonts w:asciiTheme="minorHAnsi" w:eastAsiaTheme="minorEastAsia" w:hAnsiTheme="minorHAnsi" w:cstheme="minorHAnsi"/>
        </w:rPr>
        <w:t>That is the state of contemporary society. A situation where almost everything is permissible because of democracy and human rights to freedom. A permissibility that seems to directly oppose Christian ethics.</w:t>
      </w:r>
      <w:r w:rsidR="00BA042B">
        <w:rPr>
          <w:rFonts w:asciiTheme="minorHAnsi" w:eastAsiaTheme="minorEastAsia" w:hAnsiTheme="minorHAnsi" w:cstheme="minorHAnsi"/>
        </w:rPr>
        <w:t xml:space="preserve"> </w:t>
      </w:r>
      <w:r w:rsidR="0088198A" w:rsidRPr="005218E6">
        <w:rPr>
          <w:rFonts w:asciiTheme="minorHAnsi" w:eastAsiaTheme="minorEastAsia" w:hAnsiTheme="minorHAnsi" w:cstheme="minorHAnsi"/>
        </w:rPr>
        <w:t xml:space="preserve">Theological and scriptural foundations may be the same, but the morality scale for abortion, premarital sex, procreation, and sexual orientation, among other </w:t>
      </w:r>
      <w:r w:rsidR="00147C9F" w:rsidRPr="005218E6">
        <w:rPr>
          <w:rFonts w:asciiTheme="minorHAnsi" w:eastAsiaTheme="minorEastAsia" w:hAnsiTheme="minorHAnsi" w:cstheme="minorHAnsi"/>
        </w:rPr>
        <w:t>issue</w:t>
      </w:r>
      <w:r w:rsidR="0088198A" w:rsidRPr="005218E6">
        <w:rPr>
          <w:rFonts w:asciiTheme="minorHAnsi" w:eastAsiaTheme="minorEastAsia" w:hAnsiTheme="minorHAnsi" w:cstheme="minorHAnsi"/>
        </w:rPr>
        <w:t>s, appears to be constantly shifting. The will of God, as understood variously by different religions, has only added to people's perplexity regarding the ultimate ethical code to be followed.</w:t>
      </w:r>
      <w:bookmarkEnd w:id="0"/>
      <w:r w:rsidR="0088198A" w:rsidRPr="005218E6">
        <w:rPr>
          <w:rFonts w:asciiTheme="minorHAnsi" w:eastAsiaTheme="minorEastAsia" w:hAnsiTheme="minorHAnsi" w:cstheme="minorHAnsi"/>
          <w:b/>
          <w:bCs/>
        </w:rPr>
        <w:t xml:space="preserve"> </w:t>
      </w:r>
      <w:bookmarkStart w:id="1" w:name="_Hlk92452375"/>
      <w:r w:rsidR="00B20A3A" w:rsidRPr="005218E6">
        <w:rPr>
          <w:rFonts w:asciiTheme="minorHAnsi" w:eastAsiaTheme="minorEastAsia" w:hAnsiTheme="minorHAnsi" w:cstheme="minorHAnsi"/>
        </w:rPr>
        <w:t>For years, morality has been on the decline. Sexual habits that were once frowned upon are now condoned</w:t>
      </w:r>
      <w:r w:rsidR="00147C9F" w:rsidRPr="005218E6">
        <w:rPr>
          <w:rFonts w:asciiTheme="minorHAnsi" w:eastAsiaTheme="minorEastAsia" w:hAnsiTheme="minorHAnsi" w:cstheme="minorHAnsi"/>
        </w:rPr>
        <w:t>,</w:t>
      </w:r>
      <w:r w:rsidR="00B20A3A" w:rsidRPr="005218E6">
        <w:rPr>
          <w:rFonts w:asciiTheme="minorHAnsi" w:eastAsiaTheme="minorEastAsia" w:hAnsiTheme="minorHAnsi" w:cstheme="minorHAnsi"/>
        </w:rPr>
        <w:t xml:space="preserve"> even praised. This pattern is expected to persist. As a result, it should come as no surprise if </w:t>
      </w:r>
      <w:r w:rsidR="00147C9F" w:rsidRPr="005218E6">
        <w:rPr>
          <w:rFonts w:asciiTheme="minorHAnsi" w:eastAsiaTheme="minorEastAsia" w:hAnsiTheme="minorHAnsi" w:cstheme="minorHAnsi"/>
        </w:rPr>
        <w:t xml:space="preserve">the </w:t>
      </w:r>
      <w:r w:rsidR="001510ED" w:rsidRPr="005218E6">
        <w:rPr>
          <w:rFonts w:asciiTheme="minorHAnsi" w:eastAsiaTheme="minorEastAsia" w:hAnsiTheme="minorHAnsi" w:cstheme="minorHAnsi"/>
        </w:rPr>
        <w:t>LGBTQA,</w:t>
      </w:r>
      <w:r w:rsidR="00B20A3A" w:rsidRPr="005218E6">
        <w:rPr>
          <w:rFonts w:asciiTheme="minorHAnsi" w:eastAsiaTheme="minorEastAsia" w:hAnsiTheme="minorHAnsi" w:cstheme="minorHAnsi"/>
        </w:rPr>
        <w:t xml:space="preserve"> and other forms of sexual orientation become more commonly accepted in the coming years.</w:t>
      </w:r>
      <w:r w:rsidR="00CF570B" w:rsidRPr="005218E6">
        <w:rPr>
          <w:rFonts w:asciiTheme="minorHAnsi" w:eastAsiaTheme="minorEastAsia" w:hAnsiTheme="minorHAnsi" w:cstheme="minorHAnsi"/>
        </w:rPr>
        <w:t xml:space="preserve"> But what does Christian ethics have to say about the contemporary dilemma of sexual orientation</w:t>
      </w:r>
      <w:r w:rsidR="0067219C" w:rsidRPr="005218E6">
        <w:rPr>
          <w:rFonts w:asciiTheme="minorHAnsi" w:eastAsiaTheme="minorEastAsia" w:hAnsiTheme="minorHAnsi" w:cstheme="minorHAnsi"/>
        </w:rPr>
        <w:t>?</w:t>
      </w:r>
      <w:r w:rsidR="005B21F4" w:rsidRPr="005218E6">
        <w:rPr>
          <w:rFonts w:asciiTheme="minorHAnsi" w:eastAsiaTheme="minorEastAsia" w:hAnsiTheme="minorHAnsi" w:cstheme="minorHAnsi"/>
        </w:rPr>
        <w:t xml:space="preserve"> </w:t>
      </w:r>
    </w:p>
    <w:p w14:paraId="4E24B499" w14:textId="77777777" w:rsidR="00EA5A22" w:rsidRDefault="00667A1D" w:rsidP="00EA5A22">
      <w:pPr>
        <w:pStyle w:val="SectionTitle"/>
        <w:keepNext/>
        <w:pageBreakBefore w:val="0"/>
        <w:widowControl w:val="0"/>
        <w:spacing w:line="360" w:lineRule="auto"/>
        <w:ind w:firstLine="720"/>
        <w:jc w:val="both"/>
        <w:rPr>
          <w:rFonts w:asciiTheme="minorHAnsi" w:eastAsiaTheme="minorEastAsia" w:hAnsiTheme="minorHAnsi" w:cstheme="minorHAnsi"/>
        </w:rPr>
      </w:pPr>
      <w:r w:rsidRPr="005218E6">
        <w:rPr>
          <w:rFonts w:asciiTheme="minorHAnsi" w:eastAsiaTheme="minorEastAsia" w:hAnsiTheme="minorHAnsi" w:cstheme="minorHAnsi"/>
        </w:rPr>
        <w:t>According</w:t>
      </w:r>
      <w:r w:rsidR="0088198A" w:rsidRPr="005218E6">
        <w:rPr>
          <w:rFonts w:asciiTheme="minorHAnsi" w:eastAsiaTheme="minorEastAsia" w:hAnsiTheme="minorHAnsi" w:cstheme="minorHAnsi"/>
        </w:rPr>
        <w:t xml:space="preserve"> </w:t>
      </w:r>
      <w:r w:rsidRPr="005218E6">
        <w:rPr>
          <w:rFonts w:asciiTheme="minorHAnsi" w:eastAsiaTheme="minorEastAsia" w:hAnsiTheme="minorHAnsi" w:cstheme="minorHAnsi"/>
        </w:rPr>
        <w:t xml:space="preserve">to Gilson </w:t>
      </w:r>
      <w:proofErr w:type="spellStart"/>
      <w:r w:rsidRPr="005218E6">
        <w:rPr>
          <w:rFonts w:asciiTheme="minorHAnsi" w:eastAsiaTheme="minorEastAsia" w:hAnsiTheme="minorHAnsi" w:cstheme="minorHAnsi"/>
        </w:rPr>
        <w:t>Waldkoenig's</w:t>
      </w:r>
      <w:proofErr w:type="spellEnd"/>
      <w:r w:rsidRPr="005218E6">
        <w:rPr>
          <w:rFonts w:asciiTheme="minorHAnsi" w:eastAsiaTheme="minorEastAsia" w:hAnsiTheme="minorHAnsi" w:cstheme="minorHAnsi"/>
        </w:rPr>
        <w:t xml:space="preserve"> 2002 article in the Seminary Ridge Review</w:t>
      </w:r>
      <w:r w:rsidR="00147C9F" w:rsidRPr="005218E6">
        <w:rPr>
          <w:rFonts w:asciiTheme="minorHAnsi" w:eastAsiaTheme="minorEastAsia" w:hAnsiTheme="minorHAnsi" w:cstheme="minorHAnsi"/>
        </w:rPr>
        <w:t xml:space="preserve"> </w:t>
      </w:r>
      <w:r w:rsidR="00147C9F" w:rsidRPr="005218E6">
        <w:rPr>
          <w:rFonts w:asciiTheme="minorHAnsi" w:eastAsiaTheme="minorEastAsia" w:hAnsiTheme="minorHAnsi" w:cstheme="minorHAnsi"/>
          <w:b/>
          <w:bCs/>
        </w:rPr>
        <w:t>[</w:t>
      </w:r>
      <w:r w:rsidR="00147C9F" w:rsidRPr="005218E6">
        <w:rPr>
          <w:rStyle w:val="FootnoteReference"/>
          <w:rFonts w:asciiTheme="minorHAnsi" w:eastAsiaTheme="minorEastAsia" w:hAnsiTheme="minorHAnsi" w:cstheme="minorHAnsi"/>
          <w:vertAlign w:val="baseline"/>
        </w:rPr>
        <w:footnoteReference w:id="2"/>
      </w:r>
      <w:r w:rsidR="00147C9F" w:rsidRPr="005218E6">
        <w:rPr>
          <w:rFonts w:asciiTheme="minorHAnsi" w:eastAsiaTheme="minorEastAsia" w:hAnsiTheme="minorHAnsi" w:cstheme="minorHAnsi"/>
        </w:rPr>
        <w:t>]</w:t>
      </w:r>
      <w:r w:rsidRPr="005218E6">
        <w:rPr>
          <w:rFonts w:asciiTheme="minorHAnsi" w:eastAsiaTheme="minorEastAsia" w:hAnsiTheme="minorHAnsi" w:cstheme="minorHAnsi"/>
        </w:rPr>
        <w:t>, denominations are "compromises between churchly and sectarian forms." Denominations emerge as a result of people's interpretations of biblical teachings in order to address contemporary challenges. Different denominations have different perspectives on same-sex orientation. Conservative Christians understand the Bible in a rigorous, non-flexible way and feel that homosexuality is a sin. Members of conservative faiths believe the Bible must be adapted to current times, whereas liberal denominations believe the Bible must be applied to modern times. Conservative Christians may reject same-sex marriage and refuse to affirm same-sex orientation,</w:t>
      </w:r>
      <w:r w:rsidR="005B21F4" w:rsidRPr="005218E6">
        <w:rPr>
          <w:rFonts w:asciiTheme="minorHAnsi" w:eastAsiaTheme="minorEastAsia" w:hAnsiTheme="minorHAnsi" w:cstheme="minorHAnsi"/>
        </w:rPr>
        <w:t xml:space="preserve"> w</w:t>
      </w:r>
      <w:r w:rsidRPr="005218E6">
        <w:rPr>
          <w:rFonts w:asciiTheme="minorHAnsi" w:eastAsiaTheme="minorEastAsia" w:hAnsiTheme="minorHAnsi" w:cstheme="minorHAnsi"/>
        </w:rPr>
        <w:t>hilst more liberal Christians may be more supportive of same-sex marriage.</w:t>
      </w:r>
      <w:r w:rsidR="00147C9F" w:rsidRPr="005218E6">
        <w:rPr>
          <w:rFonts w:asciiTheme="minorHAnsi" w:eastAsiaTheme="minorEastAsia" w:hAnsiTheme="minorHAnsi" w:cstheme="minorHAnsi"/>
        </w:rPr>
        <w:t xml:space="preserve"> </w:t>
      </w:r>
    </w:p>
    <w:p w14:paraId="54030EF7" w14:textId="5AA02E7F" w:rsidR="00A178D5" w:rsidRPr="00EA5A22" w:rsidRDefault="00147C9F" w:rsidP="00EA5A22">
      <w:pPr>
        <w:pStyle w:val="SectionTitle"/>
        <w:keepNext/>
        <w:pageBreakBefore w:val="0"/>
        <w:widowControl w:val="0"/>
        <w:spacing w:line="360" w:lineRule="auto"/>
        <w:ind w:firstLine="720"/>
        <w:jc w:val="both"/>
        <w:rPr>
          <w:rFonts w:asciiTheme="minorHAnsi" w:eastAsiaTheme="minorEastAsia" w:hAnsiTheme="minorHAnsi" w:cstheme="minorHAnsi"/>
        </w:rPr>
      </w:pPr>
      <w:r w:rsidRPr="005218E6">
        <w:rPr>
          <w:rFonts w:asciiTheme="minorHAnsi" w:hAnsiTheme="minorHAnsi" w:cstheme="minorHAnsi"/>
        </w:rPr>
        <w:t xml:space="preserve">In the context of this essay, </w:t>
      </w:r>
      <w:r w:rsidR="00A178D5" w:rsidRPr="005218E6">
        <w:rPr>
          <w:rFonts w:asciiTheme="minorHAnsi" w:hAnsiTheme="minorHAnsi" w:cstheme="minorHAnsi"/>
        </w:rPr>
        <w:t xml:space="preserve">the sex of persons to whom one is sexually and romantically </w:t>
      </w:r>
      <w:r w:rsidR="00A178D5" w:rsidRPr="005218E6">
        <w:rPr>
          <w:rFonts w:asciiTheme="minorHAnsi" w:hAnsiTheme="minorHAnsi" w:cstheme="minorHAnsi"/>
        </w:rPr>
        <w:lastRenderedPageBreak/>
        <w:t>attracted is referred to as sexual orientation [</w:t>
      </w:r>
      <w:r w:rsidR="00A178D5" w:rsidRPr="005218E6">
        <w:rPr>
          <w:rStyle w:val="FootnoteReference"/>
          <w:rFonts w:asciiTheme="minorHAnsi" w:hAnsiTheme="minorHAnsi" w:cstheme="minorHAnsi"/>
          <w:vertAlign w:val="baseline"/>
        </w:rPr>
        <w:footnoteReference w:id="3"/>
      </w:r>
      <w:r w:rsidR="00A178D5" w:rsidRPr="005218E6">
        <w:rPr>
          <w:rFonts w:asciiTheme="minorHAnsi" w:hAnsiTheme="minorHAnsi" w:cstheme="minorHAnsi"/>
        </w:rPr>
        <w:t>]. Persons who experience attraction to members of the same sex are referred to as 'lesbians' and 'gays,' while people who experience attraction to members of both sexes are referred to as 'bisexuals.' Although these categories are still extensively used, it should be highlighted that sexual orientation does not always show in such definite categories and instead occurs on a continuum [</w:t>
      </w:r>
      <w:r w:rsidR="00A178D5" w:rsidRPr="005218E6">
        <w:rPr>
          <w:rStyle w:val="FootnoteReference"/>
          <w:rFonts w:asciiTheme="minorHAnsi" w:hAnsiTheme="minorHAnsi" w:cstheme="minorHAnsi"/>
          <w:vertAlign w:val="baseline"/>
        </w:rPr>
        <w:footnoteReference w:id="4"/>
      </w:r>
      <w:r w:rsidR="00A178D5" w:rsidRPr="005218E6">
        <w:rPr>
          <w:rFonts w:asciiTheme="minorHAnsi" w:hAnsiTheme="minorHAnsi" w:cstheme="minorHAnsi"/>
        </w:rPr>
        <w:t>], and people who are regarded or labeled as LGBTQA may identify in a variety of ways.</w:t>
      </w:r>
      <w:r w:rsidRPr="005218E6">
        <w:rPr>
          <w:rFonts w:asciiTheme="minorHAnsi" w:hAnsiTheme="minorHAnsi" w:cstheme="minorHAnsi"/>
        </w:rPr>
        <w:t xml:space="preserve"> </w:t>
      </w:r>
    </w:p>
    <w:p w14:paraId="56DF702F" w14:textId="727E6D74" w:rsidR="00A178D5" w:rsidRPr="005218E6" w:rsidRDefault="00A178D5" w:rsidP="00EA5A22">
      <w:pPr>
        <w:pStyle w:val="SectionTitle"/>
        <w:keepNext/>
        <w:pageBreakBefore w:val="0"/>
        <w:widowControl w:val="0"/>
        <w:spacing w:line="360" w:lineRule="auto"/>
        <w:ind w:firstLine="720"/>
        <w:jc w:val="both"/>
        <w:rPr>
          <w:rFonts w:asciiTheme="minorHAnsi" w:hAnsiTheme="minorHAnsi" w:cstheme="minorHAnsi"/>
        </w:rPr>
      </w:pPr>
      <w:r w:rsidRPr="005218E6">
        <w:rPr>
          <w:rFonts w:asciiTheme="minorHAnsi" w:hAnsiTheme="minorHAnsi" w:cstheme="minorHAnsi"/>
        </w:rPr>
        <w:t>Sexuality is a necessary component of Personhood, according to the Bible [</w:t>
      </w:r>
      <w:r w:rsidR="005218E6" w:rsidRPr="005218E6">
        <w:rPr>
          <w:rStyle w:val="FootnoteReference"/>
          <w:rFonts w:asciiTheme="minorHAnsi" w:hAnsiTheme="minorHAnsi" w:cstheme="minorHAnsi"/>
          <w:vertAlign w:val="baseline"/>
        </w:rPr>
        <w:footnoteReference w:id="5"/>
      </w:r>
      <w:r w:rsidRPr="005218E6">
        <w:rPr>
          <w:rFonts w:asciiTheme="minorHAnsi" w:hAnsiTheme="minorHAnsi" w:cstheme="minorHAnsi"/>
        </w:rPr>
        <w:t>]. Theological formation of perspectives on contemporary sexual ethics, like all ethics, falls within the region of tension between the biblically revealed Word of God as the foundation of Christian faith and activity and man's current circumstances. In principle, it must be proved that while the Bible, when read as Holy Scripture, ranks as a normative text, it cannot be claimed as a direct source of theological ethics. In terms of the Word of God, the Scripture is the normalizing authority, but not in terms of a legal code [</w:t>
      </w:r>
      <w:r w:rsidRPr="005218E6">
        <w:rPr>
          <w:rStyle w:val="FootnoteReference"/>
          <w:rFonts w:asciiTheme="minorHAnsi" w:hAnsiTheme="minorHAnsi" w:cstheme="minorHAnsi"/>
          <w:vertAlign w:val="baseline"/>
        </w:rPr>
        <w:footnoteReference w:id="6"/>
      </w:r>
      <w:r w:rsidRPr="005218E6">
        <w:rPr>
          <w:rFonts w:asciiTheme="minorHAnsi" w:hAnsiTheme="minorHAnsi" w:cstheme="minorHAnsi"/>
        </w:rPr>
        <w:t>]. The Bible, according to most of contemporary Christianity is regarded as a source of information and serves as an example for ethical decision-making [</w:t>
      </w:r>
      <w:r w:rsidRPr="005218E6">
        <w:rPr>
          <w:rStyle w:val="FootnoteReference"/>
          <w:rFonts w:asciiTheme="minorHAnsi" w:hAnsiTheme="minorHAnsi" w:cstheme="minorHAnsi"/>
          <w:vertAlign w:val="baseline"/>
        </w:rPr>
        <w:footnoteReference w:id="7"/>
      </w:r>
      <w:r w:rsidRPr="005218E6">
        <w:rPr>
          <w:rFonts w:asciiTheme="minorHAnsi" w:hAnsiTheme="minorHAnsi" w:cstheme="minorHAnsi"/>
        </w:rPr>
        <w:t>]. Experience and rationality, on the other hand, are sources of ethical creation of opinions. Theological ethics is an attempt to critically deal with a prior life experience, led by Scripture's testimony, in order to permit the exercise of responsibility.</w:t>
      </w:r>
    </w:p>
    <w:p w14:paraId="56478B68" w14:textId="4F85DA69" w:rsidR="00C75D73" w:rsidRPr="005218E6" w:rsidRDefault="00C75D73" w:rsidP="00EA5A22">
      <w:pPr>
        <w:spacing w:line="360" w:lineRule="auto"/>
        <w:ind w:firstLine="0"/>
        <w:rPr>
          <w:rFonts w:cstheme="minorHAnsi"/>
          <w:b/>
          <w:bCs/>
        </w:rPr>
      </w:pPr>
      <w:r w:rsidRPr="005218E6">
        <w:rPr>
          <w:rFonts w:cstheme="minorHAnsi"/>
          <w:b/>
          <w:bCs/>
        </w:rPr>
        <w:t xml:space="preserve">Christian Ethics and Sexual Orientation in Contemporary Society </w:t>
      </w:r>
    </w:p>
    <w:p w14:paraId="075B7466" w14:textId="77777777" w:rsidR="00EA5A22" w:rsidRDefault="00724F4A" w:rsidP="00EA5A22">
      <w:pPr>
        <w:pStyle w:val="SectionTitle"/>
        <w:keepNext/>
        <w:pageBreakBefore w:val="0"/>
        <w:widowControl w:val="0"/>
        <w:spacing w:line="360" w:lineRule="auto"/>
        <w:ind w:firstLine="720"/>
        <w:jc w:val="both"/>
        <w:rPr>
          <w:rFonts w:asciiTheme="minorHAnsi" w:hAnsiTheme="minorHAnsi" w:cstheme="minorHAnsi"/>
          <w:shd w:val="clear" w:color="auto" w:fill="FFFFFF"/>
        </w:rPr>
      </w:pPr>
      <w:r w:rsidRPr="005218E6">
        <w:rPr>
          <w:rFonts w:asciiTheme="minorHAnsi" w:hAnsiTheme="minorHAnsi" w:cstheme="minorHAnsi"/>
        </w:rPr>
        <w:t xml:space="preserve">In numerous religious conflicts, the issue of Christian ethics and sexual orientation has undergone many twists and turns. While minority sexual orientations such as </w:t>
      </w:r>
      <w:proofErr w:type="spellStart"/>
      <w:r w:rsidRPr="005218E6">
        <w:rPr>
          <w:rFonts w:asciiTheme="minorHAnsi" w:hAnsiTheme="minorHAnsi" w:cstheme="minorHAnsi"/>
        </w:rPr>
        <w:t>objectophilia</w:t>
      </w:r>
      <w:proofErr w:type="spellEnd"/>
      <w:r w:rsidRPr="005218E6">
        <w:rPr>
          <w:rFonts w:asciiTheme="minorHAnsi" w:hAnsiTheme="minorHAnsi" w:cstheme="minorHAnsi"/>
        </w:rPr>
        <w:t xml:space="preserve"> and zoophilia have received little attention and are still considered immoral due to their perverse nature, homosexuality, which in this essay refers to the LGBTQA community as a whole, has emerged as a prominent issue of discussion. Though c</w:t>
      </w:r>
      <w:r w:rsidR="009437FD" w:rsidRPr="005218E6">
        <w:rPr>
          <w:rFonts w:asciiTheme="minorHAnsi" w:hAnsiTheme="minorHAnsi" w:cstheme="minorHAnsi"/>
        </w:rPr>
        <w:t xml:space="preserve">onservative Christians argue that the only sexual </w:t>
      </w:r>
      <w:r w:rsidR="009437FD" w:rsidRPr="005218E6">
        <w:rPr>
          <w:rFonts w:asciiTheme="minorHAnsi" w:hAnsiTheme="minorHAnsi" w:cstheme="minorHAnsi"/>
        </w:rPr>
        <w:lastRenderedPageBreak/>
        <w:t xml:space="preserve">orientation allowed by God is </w:t>
      </w:r>
      <w:r w:rsidRPr="005218E6">
        <w:rPr>
          <w:rFonts w:asciiTheme="minorHAnsi" w:hAnsiTheme="minorHAnsi" w:cstheme="minorHAnsi"/>
        </w:rPr>
        <w:t xml:space="preserve">the </w:t>
      </w:r>
      <w:r w:rsidR="009437FD" w:rsidRPr="005218E6">
        <w:rPr>
          <w:rFonts w:asciiTheme="minorHAnsi" w:hAnsiTheme="minorHAnsi" w:cstheme="minorHAnsi"/>
        </w:rPr>
        <w:t>heterosexual and all others are sinful</w:t>
      </w:r>
      <w:bookmarkEnd w:id="1"/>
      <w:r w:rsidR="009437FD" w:rsidRPr="005218E6">
        <w:rPr>
          <w:rFonts w:asciiTheme="minorHAnsi" w:hAnsiTheme="minorHAnsi" w:cstheme="minorHAnsi"/>
        </w:rPr>
        <w:t>, o</w:t>
      </w:r>
      <w:r w:rsidR="00BC42EB" w:rsidRPr="005218E6">
        <w:rPr>
          <w:rFonts w:asciiTheme="minorHAnsi" w:hAnsiTheme="minorHAnsi" w:cstheme="minorHAnsi"/>
        </w:rPr>
        <w:t xml:space="preserve">ther arguments use the Bible, saying that since the Bible was thrown up as evidence against </w:t>
      </w:r>
      <w:r w:rsidR="009437FD" w:rsidRPr="005218E6">
        <w:rPr>
          <w:rFonts w:asciiTheme="minorHAnsi" w:hAnsiTheme="minorHAnsi" w:cstheme="minorHAnsi"/>
        </w:rPr>
        <w:t>sexual orientation</w:t>
      </w:r>
      <w:r w:rsidR="00BC42EB" w:rsidRPr="005218E6">
        <w:rPr>
          <w:rFonts w:asciiTheme="minorHAnsi" w:hAnsiTheme="minorHAnsi" w:cstheme="minorHAnsi"/>
        </w:rPr>
        <w:t xml:space="preserve">, we should consider that Genesis 1:28 gives man dominion (sovereignty; control) over all creatures to use as man sees fit; tacit permission to have carnal knowledge of animals. It wasn't until Moses came around that a Law against bestiality </w:t>
      </w:r>
      <w:r w:rsidR="009437FD" w:rsidRPr="005218E6">
        <w:rPr>
          <w:rFonts w:asciiTheme="minorHAnsi" w:hAnsiTheme="minorHAnsi" w:cstheme="minorHAnsi"/>
        </w:rPr>
        <w:t xml:space="preserve">and other sexual orientations </w:t>
      </w:r>
      <w:r w:rsidR="00BC42EB" w:rsidRPr="005218E6">
        <w:rPr>
          <w:rFonts w:asciiTheme="minorHAnsi" w:hAnsiTheme="minorHAnsi" w:cstheme="minorHAnsi"/>
        </w:rPr>
        <w:t>was declared</w:t>
      </w:r>
      <w:r w:rsidRPr="005218E6">
        <w:rPr>
          <w:rFonts w:asciiTheme="minorHAnsi" w:hAnsiTheme="minorHAnsi" w:cstheme="minorHAnsi"/>
        </w:rPr>
        <w:t xml:space="preserve"> [</w:t>
      </w:r>
      <w:r w:rsidRPr="005218E6">
        <w:rPr>
          <w:rStyle w:val="FootnoteReference"/>
          <w:rFonts w:asciiTheme="minorHAnsi" w:hAnsiTheme="minorHAnsi" w:cstheme="minorHAnsi"/>
          <w:vertAlign w:val="baseline"/>
        </w:rPr>
        <w:footnoteReference w:id="8"/>
      </w:r>
      <w:r w:rsidRPr="005218E6">
        <w:rPr>
          <w:rFonts w:asciiTheme="minorHAnsi" w:hAnsiTheme="minorHAnsi" w:cstheme="minorHAnsi"/>
        </w:rPr>
        <w:t>]</w:t>
      </w:r>
      <w:r w:rsidR="00BC42EB" w:rsidRPr="005218E6">
        <w:rPr>
          <w:rFonts w:asciiTheme="minorHAnsi" w:hAnsiTheme="minorHAnsi" w:cstheme="minorHAnsi"/>
          <w:shd w:val="clear" w:color="auto" w:fill="FFFFFF"/>
        </w:rPr>
        <w:t>.</w:t>
      </w:r>
      <w:r w:rsidR="00EA5A22">
        <w:rPr>
          <w:rFonts w:asciiTheme="minorHAnsi" w:hAnsiTheme="minorHAnsi" w:cstheme="minorHAnsi"/>
          <w:shd w:val="clear" w:color="auto" w:fill="FFFFFF"/>
        </w:rPr>
        <w:t xml:space="preserve"> </w:t>
      </w:r>
    </w:p>
    <w:p w14:paraId="7E8EA298" w14:textId="71313216" w:rsidR="009437FD" w:rsidRPr="00EA5A22" w:rsidRDefault="001510ED" w:rsidP="00EA5A22">
      <w:pPr>
        <w:pStyle w:val="SectionTitle"/>
        <w:keepNext/>
        <w:pageBreakBefore w:val="0"/>
        <w:widowControl w:val="0"/>
        <w:spacing w:line="360" w:lineRule="auto"/>
        <w:ind w:firstLine="720"/>
        <w:jc w:val="both"/>
        <w:rPr>
          <w:rFonts w:asciiTheme="minorHAnsi" w:hAnsiTheme="minorHAnsi" w:cstheme="minorHAnsi"/>
          <w:shd w:val="clear" w:color="auto" w:fill="FFFFFF"/>
        </w:rPr>
      </w:pPr>
      <w:r w:rsidRPr="005218E6">
        <w:rPr>
          <w:rFonts w:asciiTheme="minorHAnsi" w:eastAsiaTheme="minorHAnsi" w:hAnsiTheme="minorHAnsi" w:cstheme="minorHAnsi"/>
          <w:lang w:eastAsia="en-US"/>
        </w:rPr>
        <w:t>Galileo</w:t>
      </w:r>
      <w:r w:rsidR="00E37540">
        <w:rPr>
          <w:rFonts w:asciiTheme="minorHAnsi" w:eastAsiaTheme="minorHAnsi" w:hAnsiTheme="minorHAnsi" w:cstheme="minorHAnsi"/>
          <w:lang w:eastAsia="en-US"/>
        </w:rPr>
        <w:t>’s</w:t>
      </w:r>
      <w:r w:rsidR="009437FD" w:rsidRPr="005218E6">
        <w:rPr>
          <w:rFonts w:asciiTheme="minorHAnsi" w:eastAsiaTheme="minorHAnsi" w:hAnsiTheme="minorHAnsi" w:cstheme="minorHAnsi"/>
          <w:lang w:eastAsia="en-US"/>
        </w:rPr>
        <w:t xml:space="preserve"> </w:t>
      </w:r>
      <w:r w:rsidRPr="005218E6">
        <w:rPr>
          <w:rFonts w:asciiTheme="minorHAnsi" w:eastAsiaTheme="minorHAnsi" w:hAnsiTheme="minorHAnsi" w:cstheme="minorHAnsi"/>
          <w:lang w:eastAsia="en-US"/>
        </w:rPr>
        <w:t>argu</w:t>
      </w:r>
      <w:r w:rsidR="00E24A0C" w:rsidRPr="005218E6">
        <w:rPr>
          <w:rFonts w:asciiTheme="minorHAnsi" w:eastAsiaTheme="minorHAnsi" w:hAnsiTheme="minorHAnsi" w:cstheme="minorHAnsi"/>
          <w:lang w:eastAsia="en-US"/>
        </w:rPr>
        <w:t>ment</w:t>
      </w:r>
      <w:r w:rsidRPr="005218E6">
        <w:rPr>
          <w:rFonts w:asciiTheme="minorHAnsi" w:eastAsiaTheme="minorHAnsi" w:hAnsiTheme="minorHAnsi" w:cstheme="minorHAnsi"/>
          <w:lang w:eastAsia="en-US"/>
        </w:rPr>
        <w:t xml:space="preserve">, that God gave humans the sense </w:t>
      </w:r>
      <w:r w:rsidR="00E24A0C" w:rsidRPr="005218E6">
        <w:rPr>
          <w:rFonts w:asciiTheme="minorHAnsi" w:eastAsiaTheme="minorHAnsi" w:hAnsiTheme="minorHAnsi" w:cstheme="minorHAnsi"/>
          <w:lang w:eastAsia="en-US"/>
        </w:rPr>
        <w:t>with the intention</w:t>
      </w:r>
      <w:r w:rsidRPr="005218E6">
        <w:rPr>
          <w:rFonts w:asciiTheme="minorHAnsi" w:eastAsiaTheme="minorHAnsi" w:hAnsiTheme="minorHAnsi" w:cstheme="minorHAnsi"/>
          <w:lang w:eastAsia="en-US"/>
        </w:rPr>
        <w:t xml:space="preserve"> that they use it</w:t>
      </w:r>
      <w:r w:rsidR="00E24A0C" w:rsidRPr="005218E6">
        <w:rPr>
          <w:rFonts w:asciiTheme="minorHAnsi" w:eastAsiaTheme="minorHAnsi" w:hAnsiTheme="minorHAnsi" w:cstheme="minorHAnsi"/>
          <w:lang w:eastAsia="en-US"/>
        </w:rPr>
        <w:t xml:space="preserve"> </w:t>
      </w:r>
      <w:r w:rsidRPr="005218E6">
        <w:rPr>
          <w:rFonts w:asciiTheme="minorHAnsi" w:eastAsiaTheme="minorHAnsi" w:hAnsiTheme="minorHAnsi" w:cstheme="minorHAnsi"/>
          <w:lang w:eastAsia="en-US"/>
        </w:rPr>
        <w:t xml:space="preserve">has been the winning line in the theme of gay Christian arguments. These </w:t>
      </w:r>
      <w:r w:rsidR="00E24A0C" w:rsidRPr="005218E6">
        <w:rPr>
          <w:rFonts w:asciiTheme="minorHAnsi" w:eastAsiaTheme="minorHAnsi" w:hAnsiTheme="minorHAnsi" w:cstheme="minorHAnsi"/>
          <w:lang w:eastAsia="en-US"/>
        </w:rPr>
        <w:t>people</w:t>
      </w:r>
      <w:r w:rsidRPr="005218E6">
        <w:rPr>
          <w:rFonts w:asciiTheme="minorHAnsi" w:eastAsiaTheme="minorHAnsi" w:hAnsiTheme="minorHAnsi" w:cstheme="minorHAnsi"/>
          <w:lang w:eastAsia="en-US"/>
        </w:rPr>
        <w:t xml:space="preserve"> argue that the bible due to the times it was written, did not consider same sex a sexual orientation. The argument is that, even though the bible does</w:t>
      </w:r>
      <w:r w:rsidR="00E24A0C" w:rsidRPr="005218E6">
        <w:rPr>
          <w:rFonts w:asciiTheme="minorHAnsi" w:eastAsiaTheme="minorHAnsi" w:hAnsiTheme="minorHAnsi" w:cstheme="minorHAnsi"/>
          <w:lang w:eastAsia="en-US"/>
        </w:rPr>
        <w:t xml:space="preserve"> </w:t>
      </w:r>
      <w:r w:rsidRPr="005218E6">
        <w:rPr>
          <w:rFonts w:asciiTheme="minorHAnsi" w:eastAsiaTheme="minorHAnsi" w:hAnsiTheme="minorHAnsi" w:cstheme="minorHAnsi"/>
          <w:lang w:eastAsia="en-US"/>
        </w:rPr>
        <w:t>n</w:t>
      </w:r>
      <w:r w:rsidR="00E24A0C" w:rsidRPr="005218E6">
        <w:rPr>
          <w:rFonts w:asciiTheme="minorHAnsi" w:eastAsiaTheme="minorHAnsi" w:hAnsiTheme="minorHAnsi" w:cstheme="minorHAnsi"/>
          <w:lang w:eastAsia="en-US"/>
        </w:rPr>
        <w:t>o</w:t>
      </w:r>
      <w:r w:rsidRPr="005218E6">
        <w:rPr>
          <w:rFonts w:asciiTheme="minorHAnsi" w:eastAsiaTheme="minorHAnsi" w:hAnsiTheme="minorHAnsi" w:cstheme="minorHAnsi"/>
          <w:lang w:eastAsia="en-US"/>
        </w:rPr>
        <w:t>t include same sex as traditional Christianity does</w:t>
      </w:r>
      <w:r w:rsidR="00E24A0C" w:rsidRPr="005218E6">
        <w:rPr>
          <w:rFonts w:asciiTheme="minorHAnsi" w:eastAsiaTheme="minorHAnsi" w:hAnsiTheme="minorHAnsi" w:cstheme="minorHAnsi"/>
          <w:lang w:eastAsia="en-US"/>
        </w:rPr>
        <w:t xml:space="preserve"> </w:t>
      </w:r>
      <w:r w:rsidRPr="005218E6">
        <w:rPr>
          <w:rFonts w:asciiTheme="minorHAnsi" w:eastAsiaTheme="minorHAnsi" w:hAnsiTheme="minorHAnsi" w:cstheme="minorHAnsi"/>
          <w:lang w:eastAsia="en-US"/>
        </w:rPr>
        <w:t>n</w:t>
      </w:r>
      <w:r w:rsidR="00E24A0C" w:rsidRPr="005218E6">
        <w:rPr>
          <w:rFonts w:asciiTheme="minorHAnsi" w:eastAsiaTheme="minorHAnsi" w:hAnsiTheme="minorHAnsi" w:cstheme="minorHAnsi"/>
          <w:lang w:eastAsia="en-US"/>
        </w:rPr>
        <w:t>o</w:t>
      </w:r>
      <w:r w:rsidRPr="005218E6">
        <w:rPr>
          <w:rFonts w:asciiTheme="minorHAnsi" w:eastAsiaTheme="minorHAnsi" w:hAnsiTheme="minorHAnsi" w:cstheme="minorHAnsi"/>
          <w:lang w:eastAsia="en-US"/>
        </w:rPr>
        <w:t>t mean it was</w:t>
      </w:r>
      <w:r w:rsidR="00E24A0C" w:rsidRPr="005218E6">
        <w:rPr>
          <w:rFonts w:asciiTheme="minorHAnsi" w:eastAsiaTheme="minorHAnsi" w:hAnsiTheme="minorHAnsi" w:cstheme="minorHAnsi"/>
          <w:lang w:eastAsia="en-US"/>
        </w:rPr>
        <w:t xml:space="preserve"> </w:t>
      </w:r>
      <w:r w:rsidRPr="005218E6">
        <w:rPr>
          <w:rFonts w:asciiTheme="minorHAnsi" w:eastAsiaTheme="minorHAnsi" w:hAnsiTheme="minorHAnsi" w:cstheme="minorHAnsi"/>
          <w:lang w:eastAsia="en-US"/>
        </w:rPr>
        <w:t>n</w:t>
      </w:r>
      <w:r w:rsidR="00E24A0C" w:rsidRPr="005218E6">
        <w:rPr>
          <w:rFonts w:asciiTheme="minorHAnsi" w:eastAsiaTheme="minorHAnsi" w:hAnsiTheme="minorHAnsi" w:cstheme="minorHAnsi"/>
          <w:lang w:eastAsia="en-US"/>
        </w:rPr>
        <w:t>o</w:t>
      </w:r>
      <w:r w:rsidRPr="005218E6">
        <w:rPr>
          <w:rFonts w:asciiTheme="minorHAnsi" w:eastAsiaTheme="minorHAnsi" w:hAnsiTheme="minorHAnsi" w:cstheme="minorHAnsi"/>
          <w:lang w:eastAsia="en-US"/>
        </w:rPr>
        <w:t>t in existence and was wrong.</w:t>
      </w:r>
    </w:p>
    <w:p w14:paraId="4B2AEF08" w14:textId="6BD13C0B" w:rsidR="009437FD" w:rsidRPr="005218E6" w:rsidRDefault="001510ED" w:rsidP="00EA5A22">
      <w:pPr>
        <w:pStyle w:val="SectionTitle"/>
        <w:keepNext/>
        <w:pageBreakBefore w:val="0"/>
        <w:widowControl w:val="0"/>
        <w:spacing w:line="360" w:lineRule="auto"/>
        <w:ind w:firstLine="720"/>
        <w:jc w:val="both"/>
        <w:rPr>
          <w:rFonts w:asciiTheme="minorHAnsi" w:eastAsia="Times New Roman" w:hAnsiTheme="minorHAnsi" w:cstheme="minorHAnsi"/>
          <w:spacing w:val="-5"/>
          <w:lang w:eastAsia="en-US"/>
        </w:rPr>
      </w:pPr>
      <w:r w:rsidRPr="005218E6">
        <w:rPr>
          <w:rFonts w:asciiTheme="minorHAnsi" w:eastAsiaTheme="minorHAnsi" w:hAnsiTheme="minorHAnsi" w:cstheme="minorHAnsi"/>
          <w:lang w:eastAsia="en-US"/>
        </w:rPr>
        <w:t xml:space="preserve">When it comes to marriage, </w:t>
      </w:r>
      <w:r w:rsidR="00E24A0C" w:rsidRPr="005218E6">
        <w:rPr>
          <w:rFonts w:asciiTheme="minorHAnsi" w:eastAsiaTheme="minorHAnsi" w:hAnsiTheme="minorHAnsi" w:cstheme="minorHAnsi"/>
          <w:lang w:eastAsia="en-US"/>
        </w:rPr>
        <w:t>gay</w:t>
      </w:r>
      <w:r w:rsidRPr="005218E6">
        <w:rPr>
          <w:rFonts w:asciiTheme="minorHAnsi" w:eastAsiaTheme="minorHAnsi" w:hAnsiTheme="minorHAnsi" w:cstheme="minorHAnsi"/>
          <w:lang w:eastAsia="en-US"/>
        </w:rPr>
        <w:t xml:space="preserve"> Christian advocates insist that according to Ephesians 5:21-33, marriage is a covenant and is about commitment, and same sex couples are capable of keeping to that covenant as well as heterogenous couples. They also argue that Galatians 3:28 has shown us how heaven will be in inclusion; </w:t>
      </w:r>
      <w:r w:rsidRPr="005218E6">
        <w:rPr>
          <w:rFonts w:asciiTheme="minorHAnsi" w:eastAsia="Times New Roman" w:hAnsiTheme="minorHAnsi" w:cstheme="minorHAnsi"/>
          <w:spacing w:val="-5"/>
          <w:lang w:eastAsia="en-US"/>
        </w:rPr>
        <w:t>“</w:t>
      </w:r>
      <w:r w:rsidRPr="005218E6">
        <w:rPr>
          <w:rFonts w:asciiTheme="minorHAnsi" w:eastAsia="Times New Roman" w:hAnsiTheme="minorHAnsi" w:cstheme="minorHAnsi"/>
          <w:i/>
          <w:iCs/>
          <w:spacing w:val="-5"/>
          <w:lang w:eastAsia="en-US"/>
        </w:rPr>
        <w:t>There is neither Jew nor Gentile, neither slave nor free, nor is there male and female, for you are all one in Christ Jesus</w:t>
      </w:r>
      <w:r w:rsidRPr="005218E6">
        <w:rPr>
          <w:rFonts w:asciiTheme="minorHAnsi" w:eastAsia="Times New Roman" w:hAnsiTheme="minorHAnsi" w:cstheme="minorHAnsi"/>
          <w:spacing w:val="-5"/>
          <w:lang w:eastAsia="en-US"/>
        </w:rPr>
        <w:t>.” They insist that this should be connected to the Sermon on the Mount where Christ told his followers to pray for the kingdom on earth to be like that in heaven. Meaning that there were to be no gender roles, only commitment and the covenant. Alongside that, a man and a woman cleaving as one flesh is interpreted figuratively to be the church and not literal people, so the anatomy of the couple doesn’t matter, but how they fit into the church.</w:t>
      </w:r>
    </w:p>
    <w:p w14:paraId="4B9EFA56" w14:textId="2DB3AB7A" w:rsidR="005218E6" w:rsidRPr="00E37540" w:rsidRDefault="001510ED" w:rsidP="00EA5A22">
      <w:pPr>
        <w:pStyle w:val="SectionTitle"/>
        <w:keepNext/>
        <w:pageBreakBefore w:val="0"/>
        <w:widowControl w:val="0"/>
        <w:spacing w:line="360" w:lineRule="auto"/>
        <w:ind w:firstLine="720"/>
        <w:jc w:val="both"/>
        <w:rPr>
          <w:rFonts w:asciiTheme="minorHAnsi" w:eastAsia="Times New Roman" w:hAnsiTheme="minorHAnsi" w:cstheme="minorHAnsi"/>
          <w:spacing w:val="-5"/>
          <w:lang w:eastAsia="en-US"/>
        </w:rPr>
      </w:pPr>
      <w:r w:rsidRPr="005218E6">
        <w:rPr>
          <w:rFonts w:asciiTheme="minorHAnsi" w:eastAsia="Times New Roman" w:hAnsiTheme="minorHAnsi" w:cstheme="minorHAnsi"/>
          <w:spacing w:val="-5"/>
          <w:lang w:eastAsia="en-US"/>
        </w:rPr>
        <w:t xml:space="preserve">Another point brought forward was that things which the laws of Leviticus defined as abominations are things which have become common and no one is making a loud show of it so why should same sex be the one to be wildly prohibited? </w:t>
      </w:r>
      <w:r w:rsidR="00E24A0C" w:rsidRPr="005218E6">
        <w:rPr>
          <w:rFonts w:asciiTheme="minorHAnsi" w:eastAsia="Times New Roman" w:hAnsiTheme="minorHAnsi" w:cstheme="minorHAnsi"/>
          <w:spacing w:val="-5"/>
          <w:lang w:eastAsia="en-US"/>
        </w:rPr>
        <w:t>Some of t</w:t>
      </w:r>
      <w:r w:rsidRPr="005218E6">
        <w:rPr>
          <w:rFonts w:asciiTheme="minorHAnsi" w:eastAsia="Times New Roman" w:hAnsiTheme="minorHAnsi" w:cstheme="minorHAnsi"/>
          <w:spacing w:val="-5"/>
          <w:lang w:eastAsia="en-US"/>
        </w:rPr>
        <w:t>hese abominations include: eating unclean food, interest with loans, working on the sabbath, and sexual taboos. But all these they argued, were done away with the old law after Christ’s death on the cross.</w:t>
      </w:r>
      <w:r w:rsidR="00E24A0C" w:rsidRPr="005218E6">
        <w:rPr>
          <w:rFonts w:asciiTheme="minorHAnsi" w:eastAsia="Times New Roman" w:hAnsiTheme="minorHAnsi" w:cstheme="minorHAnsi"/>
          <w:spacing w:val="-5"/>
          <w:lang w:eastAsia="en-US"/>
        </w:rPr>
        <w:t xml:space="preserve"> </w:t>
      </w:r>
      <w:r w:rsidRPr="005218E6">
        <w:rPr>
          <w:rFonts w:asciiTheme="minorHAnsi" w:eastAsia="Times New Roman" w:hAnsiTheme="minorHAnsi" w:cstheme="minorHAnsi"/>
          <w:spacing w:val="-5"/>
          <w:lang w:eastAsia="en-US"/>
        </w:rPr>
        <w:t xml:space="preserve">This simply means that with Christ’s death, the laws preventing </w:t>
      </w:r>
      <w:r w:rsidR="009437FD" w:rsidRPr="005218E6">
        <w:rPr>
          <w:rFonts w:asciiTheme="minorHAnsi" w:eastAsia="Times New Roman" w:hAnsiTheme="minorHAnsi" w:cstheme="minorHAnsi"/>
          <w:spacing w:val="-5"/>
          <w:lang w:eastAsia="en-US"/>
        </w:rPr>
        <w:t>same sex orientations</w:t>
      </w:r>
      <w:r w:rsidRPr="005218E6">
        <w:rPr>
          <w:rFonts w:asciiTheme="minorHAnsi" w:eastAsia="Times New Roman" w:hAnsiTheme="minorHAnsi" w:cstheme="minorHAnsi"/>
          <w:spacing w:val="-5"/>
          <w:lang w:eastAsia="en-US"/>
        </w:rPr>
        <w:t xml:space="preserve"> have been done away with. These Christians also argue that same sex male relationships were prohibited because it affected the gender roles of men and made them look equal to females which the patriarchy did not want to condone. And it was for that same reason </w:t>
      </w:r>
      <w:r w:rsidRPr="005218E6">
        <w:rPr>
          <w:rFonts w:asciiTheme="minorHAnsi" w:eastAsia="Times New Roman" w:hAnsiTheme="minorHAnsi" w:cstheme="minorHAnsi"/>
          <w:spacing w:val="-5"/>
          <w:lang w:eastAsia="en-US"/>
        </w:rPr>
        <w:lastRenderedPageBreak/>
        <w:t xml:space="preserve">that it did not address female same sex relationships because they were not a threat. In Romans </w:t>
      </w:r>
      <w:r w:rsidRPr="005218E6">
        <w:rPr>
          <w:rFonts w:asciiTheme="minorHAnsi" w:hAnsiTheme="minorHAnsi" w:cstheme="minorHAnsi"/>
          <w:shd w:val="clear" w:color="auto" w:fill="FFFFFF"/>
        </w:rPr>
        <w:t>1:26-27, where Paul condemns lustful same sex behavior</w:t>
      </w:r>
      <w:r w:rsidR="00E24A0C" w:rsidRPr="005218E6">
        <w:rPr>
          <w:rFonts w:asciiTheme="minorHAnsi" w:hAnsiTheme="minorHAnsi" w:cstheme="minorHAnsi"/>
          <w:shd w:val="clear" w:color="auto" w:fill="FFFFFF"/>
        </w:rPr>
        <w:t xml:space="preserve">. </w:t>
      </w:r>
      <w:r w:rsidRPr="005218E6">
        <w:rPr>
          <w:rFonts w:asciiTheme="minorHAnsi" w:hAnsiTheme="minorHAnsi" w:cstheme="minorHAnsi"/>
          <w:spacing w:val="-5"/>
        </w:rPr>
        <w:t xml:space="preserve">These people argue that Paul was used to same sex people being in their civilization and being a part of the church, but he made the statement because of their excessive lusting and over indulgence. They argue that Paul was referring to those who cheated and fornicated and committed adultery and were unsatisfied with their heterosexual or </w:t>
      </w:r>
      <w:r w:rsidR="00C75D73" w:rsidRPr="005218E6">
        <w:rPr>
          <w:rFonts w:asciiTheme="minorHAnsi" w:hAnsiTheme="minorHAnsi" w:cstheme="minorHAnsi"/>
          <w:spacing w:val="-5"/>
        </w:rPr>
        <w:t>homosexual</w:t>
      </w:r>
      <w:r w:rsidRPr="005218E6">
        <w:rPr>
          <w:rFonts w:asciiTheme="minorHAnsi" w:hAnsiTheme="minorHAnsi" w:cstheme="minorHAnsi"/>
          <w:spacing w:val="-5"/>
        </w:rPr>
        <w:t xml:space="preserve"> partner. They </w:t>
      </w:r>
      <w:r w:rsidR="00E24A0C" w:rsidRPr="005218E6">
        <w:rPr>
          <w:rFonts w:asciiTheme="minorHAnsi" w:hAnsiTheme="minorHAnsi" w:cstheme="minorHAnsi"/>
          <w:spacing w:val="-5"/>
        </w:rPr>
        <w:t>argue</w:t>
      </w:r>
      <w:r w:rsidRPr="005218E6">
        <w:rPr>
          <w:rFonts w:asciiTheme="minorHAnsi" w:hAnsiTheme="minorHAnsi" w:cstheme="minorHAnsi"/>
          <w:spacing w:val="-5"/>
        </w:rPr>
        <w:t xml:space="preserve"> that the passage refers not to same sex people but to all sexual orientations that are not committed to their partner</w:t>
      </w:r>
      <w:r w:rsidR="00E24A0C" w:rsidRPr="005218E6">
        <w:rPr>
          <w:rFonts w:asciiTheme="minorHAnsi" w:hAnsiTheme="minorHAnsi" w:cstheme="minorHAnsi"/>
          <w:spacing w:val="-5"/>
        </w:rPr>
        <w:t xml:space="preserve"> [</w:t>
      </w:r>
      <w:r w:rsidR="00E24A0C" w:rsidRPr="00E37540">
        <w:rPr>
          <w:rStyle w:val="FootnoteReference"/>
          <w:rFonts w:asciiTheme="minorHAnsi" w:hAnsiTheme="minorHAnsi" w:cstheme="minorHAnsi"/>
          <w:spacing w:val="-5"/>
          <w:vertAlign w:val="baseline"/>
        </w:rPr>
        <w:footnoteReference w:id="9"/>
      </w:r>
      <w:r w:rsidR="00E24A0C" w:rsidRPr="005218E6">
        <w:rPr>
          <w:rFonts w:asciiTheme="minorHAnsi" w:hAnsiTheme="minorHAnsi" w:cstheme="minorHAnsi"/>
          <w:spacing w:val="-5"/>
        </w:rPr>
        <w:t>]</w:t>
      </w:r>
      <w:r w:rsidRPr="005218E6">
        <w:rPr>
          <w:rFonts w:asciiTheme="minorHAnsi" w:hAnsiTheme="minorHAnsi" w:cstheme="minorHAnsi"/>
          <w:spacing w:val="-5"/>
        </w:rPr>
        <w:t>.</w:t>
      </w:r>
    </w:p>
    <w:p w14:paraId="090A15D0" w14:textId="77777777" w:rsidR="005218E6" w:rsidRPr="005218E6" w:rsidRDefault="001510ED" w:rsidP="00EA5A22">
      <w:pPr>
        <w:pStyle w:val="SectionTitle"/>
        <w:keepNext/>
        <w:pageBreakBefore w:val="0"/>
        <w:widowControl w:val="0"/>
        <w:spacing w:line="360" w:lineRule="auto"/>
        <w:ind w:firstLine="720"/>
        <w:jc w:val="both"/>
        <w:rPr>
          <w:rStyle w:val="highl"/>
          <w:rFonts w:asciiTheme="minorHAnsi" w:hAnsiTheme="minorHAnsi" w:cstheme="minorHAnsi"/>
        </w:rPr>
      </w:pPr>
      <w:r w:rsidRPr="005218E6">
        <w:rPr>
          <w:rFonts w:asciiTheme="minorHAnsi" w:hAnsiTheme="minorHAnsi" w:cstheme="minorHAnsi"/>
          <w:spacing w:val="-5"/>
        </w:rPr>
        <w:t xml:space="preserve">Having considered these arguments, one can fairly say that </w:t>
      </w:r>
      <w:r w:rsidR="00C75D73" w:rsidRPr="005218E6">
        <w:rPr>
          <w:rFonts w:asciiTheme="minorHAnsi" w:hAnsiTheme="minorHAnsi" w:cstheme="minorHAnsi"/>
          <w:spacing w:val="-5"/>
        </w:rPr>
        <w:t>Christian ethics</w:t>
      </w:r>
      <w:r w:rsidRPr="005218E6">
        <w:rPr>
          <w:rFonts w:asciiTheme="minorHAnsi" w:hAnsiTheme="minorHAnsi" w:cstheme="minorHAnsi"/>
          <w:spacing w:val="-5"/>
        </w:rPr>
        <w:t xml:space="preserve"> has gone through the wringer in this century, and it is expected to get worse as times change. The bible has easily been interpreted by many to suit their needs and to create an avenue for them to achieve aims for which the bible was not intended. But what indeed does the word of God, the Christ of the New Testament say about interpretation and the whole plan of God in general? “</w:t>
      </w:r>
      <w:r w:rsidRPr="005218E6">
        <w:rPr>
          <w:rFonts w:asciiTheme="minorHAnsi" w:hAnsiTheme="minorHAnsi" w:cstheme="minorHAnsi"/>
          <w:shd w:val="clear" w:color="auto" w:fill="FFFFFF"/>
        </w:rPr>
        <w:t>Do not think that I have come to abolish the Law or the Prophets. I have not come to abolish them, but to fulfill them. </w:t>
      </w:r>
      <w:r w:rsidR="005218E6" w:rsidRPr="005218E6">
        <w:rPr>
          <w:rFonts w:asciiTheme="minorHAnsi" w:hAnsiTheme="minorHAnsi" w:cstheme="minorHAnsi"/>
        </w:rPr>
        <w:t>In</w:t>
      </w:r>
      <w:r w:rsidRPr="005218E6">
        <w:rPr>
          <w:rStyle w:val="highl"/>
          <w:rFonts w:asciiTheme="minorHAnsi" w:hAnsiTheme="minorHAnsi" w:cstheme="minorHAnsi"/>
        </w:rPr>
        <w:t xml:space="preserve"> Matt 5:17-18</w:t>
      </w:r>
      <w:r w:rsidR="005218E6" w:rsidRPr="005218E6">
        <w:rPr>
          <w:rStyle w:val="highl"/>
          <w:rFonts w:asciiTheme="minorHAnsi" w:hAnsiTheme="minorHAnsi" w:cstheme="minorHAnsi"/>
        </w:rPr>
        <w:t>, the Bible states that God does not change his word and intends to fulfil it up to every dot.</w:t>
      </w:r>
      <w:r w:rsidRPr="005218E6">
        <w:rPr>
          <w:rStyle w:val="highl"/>
          <w:rFonts w:asciiTheme="minorHAnsi" w:hAnsiTheme="minorHAnsi" w:cstheme="minorHAnsi"/>
        </w:rPr>
        <w:t xml:space="preserve"> If th</w:t>
      </w:r>
      <w:r w:rsidR="005218E6" w:rsidRPr="005218E6">
        <w:rPr>
          <w:rStyle w:val="highl"/>
          <w:rFonts w:asciiTheme="minorHAnsi" w:hAnsiTheme="minorHAnsi" w:cstheme="minorHAnsi"/>
        </w:rPr>
        <w:t>ose</w:t>
      </w:r>
      <w:r w:rsidRPr="005218E6">
        <w:rPr>
          <w:rStyle w:val="highl"/>
          <w:rFonts w:asciiTheme="minorHAnsi" w:hAnsiTheme="minorHAnsi" w:cstheme="minorHAnsi"/>
        </w:rPr>
        <w:t xml:space="preserve"> verse</w:t>
      </w:r>
      <w:r w:rsidR="005218E6" w:rsidRPr="005218E6">
        <w:rPr>
          <w:rStyle w:val="highl"/>
          <w:rFonts w:asciiTheme="minorHAnsi" w:hAnsiTheme="minorHAnsi" w:cstheme="minorHAnsi"/>
        </w:rPr>
        <w:t>s</w:t>
      </w:r>
      <w:r w:rsidRPr="005218E6">
        <w:rPr>
          <w:rStyle w:val="highl"/>
          <w:rFonts w:asciiTheme="minorHAnsi" w:hAnsiTheme="minorHAnsi" w:cstheme="minorHAnsi"/>
        </w:rPr>
        <w:t xml:space="preserve"> of the bible indeed </w:t>
      </w:r>
      <w:r w:rsidR="005218E6" w:rsidRPr="005218E6">
        <w:rPr>
          <w:rStyle w:val="highl"/>
          <w:rFonts w:asciiTheme="minorHAnsi" w:hAnsiTheme="minorHAnsi" w:cstheme="minorHAnsi"/>
        </w:rPr>
        <w:t>are</w:t>
      </w:r>
      <w:r w:rsidRPr="005218E6">
        <w:rPr>
          <w:rStyle w:val="highl"/>
          <w:rFonts w:asciiTheme="minorHAnsi" w:hAnsiTheme="minorHAnsi" w:cstheme="minorHAnsi"/>
        </w:rPr>
        <w:t xml:space="preserve"> true, then it is not our place to say that a part of the law has been done away with and some parts of the bible do not mean what they obviously mean. </w:t>
      </w:r>
    </w:p>
    <w:p w14:paraId="5131B485" w14:textId="35F98F0A" w:rsidR="005218E6" w:rsidRPr="005218E6" w:rsidRDefault="001510ED" w:rsidP="00EA5A22">
      <w:pPr>
        <w:pStyle w:val="SectionTitle"/>
        <w:keepNext/>
        <w:pageBreakBefore w:val="0"/>
        <w:widowControl w:val="0"/>
        <w:spacing w:line="360" w:lineRule="auto"/>
        <w:ind w:firstLine="720"/>
        <w:jc w:val="both"/>
        <w:rPr>
          <w:rStyle w:val="highl"/>
          <w:rFonts w:asciiTheme="minorHAnsi" w:hAnsiTheme="minorHAnsi" w:cstheme="minorHAnsi"/>
        </w:rPr>
      </w:pPr>
      <w:r w:rsidRPr="005218E6">
        <w:rPr>
          <w:rStyle w:val="highl"/>
          <w:rFonts w:asciiTheme="minorHAnsi" w:hAnsiTheme="minorHAnsi" w:cstheme="minorHAnsi"/>
        </w:rPr>
        <w:t xml:space="preserve">We know what is wrong and what is right; the word of God being our guide. </w:t>
      </w:r>
      <w:r w:rsidR="005218E6" w:rsidRPr="005218E6">
        <w:rPr>
          <w:rStyle w:val="highl"/>
          <w:rFonts w:asciiTheme="minorHAnsi" w:hAnsiTheme="minorHAnsi" w:cstheme="minorHAnsi"/>
        </w:rPr>
        <w:t>Which is why the contention remains on the issue of sexual orientation in contemporary Christianity.  However, most denominations will argue that a</w:t>
      </w:r>
      <w:r w:rsidRPr="005218E6">
        <w:rPr>
          <w:rStyle w:val="highl"/>
          <w:rFonts w:asciiTheme="minorHAnsi" w:hAnsiTheme="minorHAnsi" w:cstheme="minorHAnsi"/>
        </w:rPr>
        <w:t xml:space="preserve">ll humans sin, and that has become something that we share in common. It is true that God loves everyone regardless of a person’s sexual orientation. But sin is sin, and the word of God has no grey areas; it is simply black and white, and that was why a majority of the world even, time over have stood against </w:t>
      </w:r>
      <w:r w:rsidR="00C75D73" w:rsidRPr="005218E6">
        <w:rPr>
          <w:rStyle w:val="highl"/>
          <w:rFonts w:asciiTheme="minorHAnsi" w:hAnsiTheme="minorHAnsi" w:cstheme="minorHAnsi"/>
        </w:rPr>
        <w:t>some sexual orientations</w:t>
      </w:r>
      <w:r w:rsidRPr="005218E6">
        <w:rPr>
          <w:rStyle w:val="highl"/>
          <w:rFonts w:asciiTheme="minorHAnsi" w:hAnsiTheme="minorHAnsi" w:cstheme="minorHAnsi"/>
        </w:rPr>
        <w:t>. Those who argue that the old testament has been done away with would argue that Jesus Christ was silent on the issue of sexual orientation and especially being gay</w:t>
      </w:r>
      <w:r w:rsidR="005218E6" w:rsidRPr="005218E6">
        <w:rPr>
          <w:rStyle w:val="highl"/>
          <w:rFonts w:asciiTheme="minorHAnsi" w:hAnsiTheme="minorHAnsi" w:cstheme="minorHAnsi"/>
        </w:rPr>
        <w:t xml:space="preserve"> [</w:t>
      </w:r>
      <w:r w:rsidR="005218E6" w:rsidRPr="005218E6">
        <w:rPr>
          <w:rStyle w:val="FootnoteReference"/>
          <w:rFonts w:asciiTheme="minorHAnsi" w:hAnsiTheme="minorHAnsi" w:cstheme="minorHAnsi"/>
        </w:rPr>
        <w:footnoteReference w:id="10"/>
      </w:r>
      <w:r w:rsidR="005218E6" w:rsidRPr="005218E6">
        <w:rPr>
          <w:rStyle w:val="highl"/>
          <w:rFonts w:asciiTheme="minorHAnsi" w:hAnsiTheme="minorHAnsi" w:cstheme="minorHAnsi"/>
        </w:rPr>
        <w:t>]</w:t>
      </w:r>
      <w:r w:rsidRPr="005218E6">
        <w:rPr>
          <w:rStyle w:val="highl"/>
          <w:rFonts w:asciiTheme="minorHAnsi" w:hAnsiTheme="minorHAnsi" w:cstheme="minorHAnsi"/>
        </w:rPr>
        <w:t>. But that is</w:t>
      </w:r>
      <w:r w:rsidR="005218E6" w:rsidRPr="005218E6">
        <w:rPr>
          <w:rStyle w:val="highl"/>
          <w:rFonts w:asciiTheme="minorHAnsi" w:hAnsiTheme="minorHAnsi" w:cstheme="minorHAnsi"/>
        </w:rPr>
        <w:t xml:space="preserve"> </w:t>
      </w:r>
      <w:r w:rsidRPr="005218E6">
        <w:rPr>
          <w:rStyle w:val="highl"/>
          <w:rFonts w:asciiTheme="minorHAnsi" w:hAnsiTheme="minorHAnsi" w:cstheme="minorHAnsi"/>
        </w:rPr>
        <w:t>n</w:t>
      </w:r>
      <w:r w:rsidR="005218E6" w:rsidRPr="005218E6">
        <w:rPr>
          <w:rStyle w:val="highl"/>
          <w:rFonts w:asciiTheme="minorHAnsi" w:hAnsiTheme="minorHAnsi" w:cstheme="minorHAnsi"/>
        </w:rPr>
        <w:t>o</w:t>
      </w:r>
      <w:r w:rsidRPr="005218E6">
        <w:rPr>
          <w:rStyle w:val="highl"/>
          <w:rFonts w:asciiTheme="minorHAnsi" w:hAnsiTheme="minorHAnsi" w:cstheme="minorHAnsi"/>
        </w:rPr>
        <w:t>t the case. Christ himself is known to approach matters with parables and references. Why else would that be drawn up in Matthew 19 and Mark 10?</w:t>
      </w:r>
    </w:p>
    <w:p w14:paraId="4E95148E" w14:textId="77777777" w:rsidR="00734DDB" w:rsidRDefault="001510ED" w:rsidP="00EA5A22">
      <w:pPr>
        <w:pStyle w:val="SectionTitle"/>
        <w:keepNext/>
        <w:pageBreakBefore w:val="0"/>
        <w:widowControl w:val="0"/>
        <w:spacing w:line="360" w:lineRule="auto"/>
        <w:ind w:firstLine="720"/>
        <w:jc w:val="both"/>
        <w:rPr>
          <w:rStyle w:val="highl"/>
          <w:rFonts w:asciiTheme="minorHAnsi" w:hAnsiTheme="minorHAnsi" w:cstheme="minorHAnsi"/>
        </w:rPr>
      </w:pPr>
      <w:r w:rsidRPr="005218E6">
        <w:rPr>
          <w:rStyle w:val="highl"/>
          <w:rFonts w:asciiTheme="minorHAnsi" w:hAnsiTheme="minorHAnsi" w:cstheme="minorHAnsi"/>
        </w:rPr>
        <w:t xml:space="preserve">In that direct reference back to the original creation story, Christ was reminding his age </w:t>
      </w:r>
      <w:r w:rsidRPr="005218E6">
        <w:rPr>
          <w:rStyle w:val="highl"/>
          <w:rFonts w:asciiTheme="minorHAnsi" w:hAnsiTheme="minorHAnsi" w:cstheme="minorHAnsi"/>
        </w:rPr>
        <w:lastRenderedPageBreak/>
        <w:t xml:space="preserve">and those to come, that there was a reason we were created male and female; one complements the other in physical union. All other options are contrary. As it is not our place to judge, we can only with love, call out what is wrong. The scriptures tell us that humanity was created in God’s image. This is made to show the visibility of the invisible. God’s style of doing this was not just by creating generic, androgynous humanity, but two distinct types; in male and female… a style that has been degraded in the modern world to be nothing but a cultural construct. </w:t>
      </w:r>
    </w:p>
    <w:p w14:paraId="02E2FC69" w14:textId="01810B24" w:rsidR="005218E6" w:rsidRPr="00E37540" w:rsidRDefault="001510ED" w:rsidP="00EA5A22">
      <w:pPr>
        <w:pStyle w:val="SectionTitle"/>
        <w:keepNext/>
        <w:pageBreakBefore w:val="0"/>
        <w:widowControl w:val="0"/>
        <w:spacing w:line="360" w:lineRule="auto"/>
        <w:ind w:firstLine="720"/>
        <w:jc w:val="both"/>
        <w:rPr>
          <w:rStyle w:val="highl"/>
          <w:rFonts w:asciiTheme="minorHAnsi" w:hAnsiTheme="minorHAnsi" w:cstheme="minorHAnsi"/>
          <w:spacing w:val="-5"/>
        </w:rPr>
      </w:pPr>
      <w:r w:rsidRPr="005218E6">
        <w:rPr>
          <w:rStyle w:val="highl"/>
          <w:rFonts w:asciiTheme="minorHAnsi" w:hAnsiTheme="minorHAnsi" w:cstheme="minorHAnsi"/>
        </w:rPr>
        <w:t xml:space="preserve">When God said it was not good for the man to be alone. It was not in terms of loneliness but in complement. </w:t>
      </w:r>
      <w:r w:rsidR="005218E6" w:rsidRPr="005218E6">
        <w:rPr>
          <w:rStyle w:val="highl"/>
          <w:rFonts w:asciiTheme="minorHAnsi" w:hAnsiTheme="minorHAnsi" w:cstheme="minorHAnsi"/>
        </w:rPr>
        <w:t>In light of Christian ethics, th</w:t>
      </w:r>
      <w:r w:rsidRPr="005218E6">
        <w:rPr>
          <w:rStyle w:val="highl"/>
          <w:rFonts w:asciiTheme="minorHAnsi" w:hAnsiTheme="minorHAnsi" w:cstheme="minorHAnsi"/>
        </w:rPr>
        <w:t xml:space="preserve">ose who are gay want the whole world to feel like they have rights which are being stepped on, when in truth, sexuality is supposed to have boundaries. The bible warned that everything should be done in moderation. If heterosexual relationships were also allowed all their kinks, the world would be chaotic because people are drowning in fantasies. Sexuality in Christianity is a gift, not a right, and those who fight for it as a right just don’t have the right idea about it. </w:t>
      </w:r>
    </w:p>
    <w:p w14:paraId="083E4C2E" w14:textId="50B6695D" w:rsidR="001510ED" w:rsidRPr="005218E6" w:rsidRDefault="001510ED" w:rsidP="00EA5A22">
      <w:pPr>
        <w:autoSpaceDE w:val="0"/>
        <w:autoSpaceDN w:val="0"/>
        <w:adjustRightInd w:val="0"/>
        <w:spacing w:line="360" w:lineRule="auto"/>
        <w:jc w:val="both"/>
        <w:rPr>
          <w:rFonts w:cstheme="minorHAnsi"/>
        </w:rPr>
      </w:pPr>
      <w:r w:rsidRPr="005218E6">
        <w:rPr>
          <w:rStyle w:val="highl"/>
          <w:rFonts w:cstheme="minorHAnsi"/>
        </w:rPr>
        <w:t>Finally, it would be wrong to judge and segregate people because of their sexual orientation and or choice of partners. That would be reducing a whole life to just sexual decision. Regardless of sexual orientation, people are human and a lot of other things before they are gay or straight. On the other side of it, it is wrong! It is the worst kind of wrong when we choose to with our interpretation or power, try to change the meaning of God’s word. Every faith demands certain things from its followers and Christianity demands a lot. The people are meant to adapt to the faith and its doctrines after sieving through what is tradition, culture and doctrine; not the other way around.</w:t>
      </w:r>
      <w:r w:rsidRPr="005218E6">
        <w:rPr>
          <w:rStyle w:val="EndnoteReference"/>
          <w:rFonts w:cstheme="minorHAnsi"/>
        </w:rPr>
        <w:endnoteReference w:id="1"/>
      </w:r>
      <w:r w:rsidRPr="005218E6">
        <w:rPr>
          <w:rStyle w:val="highl"/>
          <w:rFonts w:cstheme="minorHAnsi"/>
        </w:rPr>
        <w:t xml:space="preserve"> </w:t>
      </w:r>
      <w:r w:rsidR="009E1A01" w:rsidRPr="005218E6">
        <w:rPr>
          <w:rStyle w:val="highl"/>
          <w:rFonts w:cstheme="minorHAnsi"/>
        </w:rPr>
        <w:t xml:space="preserve">The churches conclude that to merge </w:t>
      </w:r>
      <w:r w:rsidR="001E582B" w:rsidRPr="005218E6">
        <w:rPr>
          <w:rStyle w:val="highl"/>
          <w:rFonts w:cstheme="minorHAnsi"/>
        </w:rPr>
        <w:t>Christian</w:t>
      </w:r>
      <w:r w:rsidR="009E1A01" w:rsidRPr="005218E6">
        <w:rPr>
          <w:rStyle w:val="highl"/>
          <w:rFonts w:cstheme="minorHAnsi"/>
        </w:rPr>
        <w:t xml:space="preserve"> ethics with the changes in contemporary society, it should be remembered that everything </w:t>
      </w:r>
      <w:r w:rsidR="00350EAE" w:rsidRPr="005218E6">
        <w:rPr>
          <w:rStyle w:val="highl"/>
          <w:rFonts w:cstheme="minorHAnsi"/>
        </w:rPr>
        <w:t>J</w:t>
      </w:r>
      <w:r w:rsidR="009E1A01" w:rsidRPr="005218E6">
        <w:rPr>
          <w:rStyle w:val="highl"/>
          <w:rFonts w:cstheme="minorHAnsi"/>
        </w:rPr>
        <w:t xml:space="preserve">esus did was born of love. It should then be assumed that he did not discriminate, and reached out to all, no matter their sexual orientation. Whatever the conclusions of any denomination then, love should come before every other idea of </w:t>
      </w:r>
      <w:bookmarkStart w:id="2" w:name="_GoBack"/>
      <w:bookmarkEnd w:id="2"/>
      <w:r w:rsidR="009E1A01" w:rsidRPr="005218E6">
        <w:rPr>
          <w:rStyle w:val="highl"/>
          <w:rFonts w:cstheme="minorHAnsi"/>
        </w:rPr>
        <w:t xml:space="preserve">segregation. </w:t>
      </w:r>
    </w:p>
    <w:sectPr w:rsidR="001510ED" w:rsidRPr="005218E6" w:rsidSect="009C3174">
      <w:headerReference w:type="default" r:id="rId9"/>
      <w:headerReference w:type="first" r:id="rId10"/>
      <w:footnotePr>
        <w:pos w:val="beneathText"/>
      </w:footnotePr>
      <w:pgSz w:w="12240" w:h="15840"/>
      <w:pgMar w:top="1440" w:right="1440" w:bottom="1440" w:left="1440" w:header="720" w:footer="720" w:gutter="0"/>
      <w:pgNumType w:start="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F5C3D8" w14:textId="77777777" w:rsidR="00D31B2E" w:rsidRDefault="00D31B2E">
      <w:pPr>
        <w:spacing w:line="240" w:lineRule="auto"/>
      </w:pPr>
      <w:r>
        <w:separator/>
      </w:r>
    </w:p>
    <w:p w14:paraId="4A670651" w14:textId="77777777" w:rsidR="00D31B2E" w:rsidRDefault="00D31B2E"/>
  </w:endnote>
  <w:endnote w:type="continuationSeparator" w:id="0">
    <w:p w14:paraId="1CFC4206" w14:textId="77777777" w:rsidR="00D31B2E" w:rsidRDefault="00D31B2E">
      <w:pPr>
        <w:spacing w:line="240" w:lineRule="auto"/>
      </w:pPr>
      <w:r>
        <w:continuationSeparator/>
      </w:r>
    </w:p>
    <w:p w14:paraId="147DA7E4" w14:textId="77777777" w:rsidR="00D31B2E" w:rsidRDefault="00D31B2E"/>
  </w:endnote>
  <w:endnote w:id="1">
    <w:p w14:paraId="1FB45F33" w14:textId="0A4F8AF2" w:rsidR="001510ED" w:rsidRPr="00D7486F" w:rsidRDefault="001510ED" w:rsidP="005218E6">
      <w:pPr>
        <w:pStyle w:val="EndnoteText"/>
        <w:spacing w:before="100" w:beforeAutospacing="1" w:after="100" w:afterAutospacing="1" w:line="360" w:lineRule="auto"/>
        <w:ind w:firstLine="0"/>
        <w:rPr>
          <w:rFonts w:ascii="Book Antiqua" w:hAnsi="Book Antiqu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1AE5D0" w14:textId="77777777" w:rsidR="00D31B2E" w:rsidRDefault="00D31B2E">
      <w:pPr>
        <w:spacing w:line="240" w:lineRule="auto"/>
      </w:pPr>
      <w:r>
        <w:separator/>
      </w:r>
    </w:p>
    <w:p w14:paraId="48EF5473" w14:textId="77777777" w:rsidR="00D31B2E" w:rsidRDefault="00D31B2E"/>
  </w:footnote>
  <w:footnote w:type="continuationSeparator" w:id="0">
    <w:p w14:paraId="0AF52CE8" w14:textId="77777777" w:rsidR="00D31B2E" w:rsidRDefault="00D31B2E">
      <w:pPr>
        <w:spacing w:line="240" w:lineRule="auto"/>
      </w:pPr>
      <w:r>
        <w:continuationSeparator/>
      </w:r>
    </w:p>
    <w:p w14:paraId="7AC864EB" w14:textId="77777777" w:rsidR="00D31B2E" w:rsidRDefault="00D31B2E"/>
  </w:footnote>
  <w:footnote w:id="1">
    <w:p w14:paraId="1C767908" w14:textId="7029784A" w:rsidR="00E51606" w:rsidRPr="00EA5A22" w:rsidRDefault="00E51606" w:rsidP="00EA5A22">
      <w:pPr>
        <w:spacing w:line="240" w:lineRule="auto"/>
        <w:ind w:firstLine="0"/>
        <w:rPr>
          <w:rFonts w:eastAsia="Times New Roman" w:cstheme="minorHAnsi"/>
          <w:sz w:val="20"/>
          <w:szCs w:val="20"/>
          <w:lang w:eastAsia="en-US"/>
        </w:rPr>
      </w:pPr>
      <w:r w:rsidRPr="00EA5A22">
        <w:rPr>
          <w:rStyle w:val="FootnoteReference"/>
          <w:rFonts w:cstheme="minorHAnsi"/>
          <w:sz w:val="20"/>
          <w:szCs w:val="20"/>
        </w:rPr>
        <w:footnoteRef/>
      </w:r>
      <w:r w:rsidRPr="00EA5A22">
        <w:rPr>
          <w:rFonts w:cstheme="minorHAnsi"/>
          <w:sz w:val="20"/>
          <w:szCs w:val="20"/>
        </w:rPr>
        <w:t xml:space="preserve"> </w:t>
      </w:r>
      <w:r w:rsidRPr="00EA5A22">
        <w:rPr>
          <w:rFonts w:eastAsia="Times New Roman" w:cstheme="minorHAnsi"/>
          <w:sz w:val="20"/>
          <w:szCs w:val="20"/>
          <w:lang w:eastAsia="en-US"/>
        </w:rPr>
        <w:t xml:space="preserve">Editors’ Note: Barbara Loomis and William N. Bonds. (2003). </w:t>
      </w:r>
      <w:r w:rsidRPr="00EA5A22">
        <w:rPr>
          <w:rFonts w:eastAsia="Times New Roman" w:cstheme="minorHAnsi"/>
          <w:i/>
          <w:iCs/>
          <w:sz w:val="20"/>
          <w:szCs w:val="20"/>
          <w:lang w:eastAsia="en-US"/>
        </w:rPr>
        <w:t>Journal of the History of Sexuality</w:t>
      </w:r>
      <w:r w:rsidRPr="00EA5A22">
        <w:rPr>
          <w:rFonts w:eastAsia="Times New Roman" w:cstheme="minorHAnsi"/>
          <w:sz w:val="20"/>
          <w:szCs w:val="20"/>
          <w:lang w:eastAsia="en-US"/>
        </w:rPr>
        <w:t xml:space="preserve">, </w:t>
      </w:r>
      <w:r w:rsidRPr="00EA5A22">
        <w:rPr>
          <w:rFonts w:eastAsia="Times New Roman" w:cstheme="minorHAnsi"/>
          <w:i/>
          <w:iCs/>
          <w:sz w:val="20"/>
          <w:szCs w:val="20"/>
          <w:lang w:eastAsia="en-US"/>
        </w:rPr>
        <w:t>12</w:t>
      </w:r>
      <w:r w:rsidRPr="00EA5A22">
        <w:rPr>
          <w:rFonts w:eastAsia="Times New Roman" w:cstheme="minorHAnsi"/>
          <w:sz w:val="20"/>
          <w:szCs w:val="20"/>
          <w:lang w:eastAsia="en-US"/>
        </w:rPr>
        <w:t>(2), v–x. http://www.jstor.org/stable/3704610</w:t>
      </w:r>
    </w:p>
  </w:footnote>
  <w:footnote w:id="2">
    <w:p w14:paraId="5752563A" w14:textId="77777777" w:rsidR="00147C9F" w:rsidRPr="00EA5A22" w:rsidRDefault="00147C9F" w:rsidP="00EA5A22">
      <w:pPr>
        <w:pStyle w:val="Heading1"/>
        <w:shd w:val="clear" w:color="auto" w:fill="FFFFFF"/>
        <w:spacing w:line="240" w:lineRule="auto"/>
        <w:jc w:val="left"/>
        <w:textAlignment w:val="baseline"/>
        <w:rPr>
          <w:rFonts w:asciiTheme="minorHAnsi" w:hAnsiTheme="minorHAnsi" w:cstheme="minorHAnsi"/>
          <w:b w:val="0"/>
          <w:bCs w:val="0"/>
          <w:sz w:val="20"/>
          <w:szCs w:val="20"/>
        </w:rPr>
      </w:pPr>
      <w:r w:rsidRPr="00EA5A22">
        <w:rPr>
          <w:rStyle w:val="FootnoteReference"/>
          <w:rFonts w:asciiTheme="minorHAnsi" w:hAnsiTheme="minorHAnsi" w:cstheme="minorHAnsi"/>
          <w:b w:val="0"/>
          <w:bCs w:val="0"/>
          <w:sz w:val="20"/>
          <w:szCs w:val="20"/>
        </w:rPr>
        <w:footnoteRef/>
      </w:r>
      <w:r w:rsidRPr="00EA5A22">
        <w:rPr>
          <w:rFonts w:asciiTheme="minorHAnsi" w:hAnsiTheme="minorHAnsi" w:cstheme="minorHAnsi"/>
          <w:b w:val="0"/>
          <w:bCs w:val="0"/>
          <w:sz w:val="20"/>
          <w:szCs w:val="20"/>
        </w:rPr>
        <w:t xml:space="preserve"> </w:t>
      </w:r>
      <w:r w:rsidRPr="00EA5A22">
        <w:rPr>
          <w:rFonts w:asciiTheme="minorHAnsi" w:hAnsiTheme="minorHAnsi" w:cstheme="minorHAnsi"/>
          <w:b w:val="0"/>
          <w:bCs w:val="0"/>
          <w:sz w:val="20"/>
          <w:szCs w:val="20"/>
          <w:shd w:val="clear" w:color="auto" w:fill="FFFFFF"/>
        </w:rPr>
        <w:t xml:space="preserve">Michelle R. Cox (2013). </w:t>
      </w:r>
      <w:r w:rsidRPr="00EA5A22">
        <w:rPr>
          <w:rFonts w:asciiTheme="minorHAnsi" w:hAnsiTheme="minorHAnsi" w:cstheme="minorHAnsi"/>
          <w:b w:val="0"/>
          <w:bCs w:val="0"/>
          <w:sz w:val="20"/>
          <w:szCs w:val="20"/>
        </w:rPr>
        <w:t xml:space="preserve">When religion and sexual orientation collide. Counseling Today. Retrieved from </w:t>
      </w:r>
      <w:hyperlink r:id="rId1" w:history="1">
        <w:r w:rsidRPr="00EA5A22">
          <w:rPr>
            <w:rStyle w:val="Hyperlink"/>
            <w:rFonts w:asciiTheme="minorHAnsi" w:hAnsiTheme="minorHAnsi" w:cstheme="minorHAnsi"/>
            <w:b w:val="0"/>
            <w:bCs w:val="0"/>
            <w:color w:val="000000" w:themeColor="text1"/>
            <w:sz w:val="20"/>
            <w:szCs w:val="20"/>
          </w:rPr>
          <w:t>https://ct.counseling.org/2013/05/when-religion-and-sexual-orientation-collide/#</w:t>
        </w:r>
      </w:hyperlink>
    </w:p>
  </w:footnote>
  <w:footnote w:id="3">
    <w:p w14:paraId="07911DD3" w14:textId="5E75CBAE" w:rsidR="00A178D5" w:rsidRPr="00EA5A22" w:rsidRDefault="00A178D5" w:rsidP="00EA5A22">
      <w:pPr>
        <w:pStyle w:val="FootnoteText"/>
        <w:ind w:firstLine="0"/>
        <w:rPr>
          <w:rFonts w:cstheme="minorHAnsi"/>
          <w:sz w:val="20"/>
        </w:rPr>
      </w:pPr>
      <w:r w:rsidRPr="00EA5A22">
        <w:rPr>
          <w:rStyle w:val="FootnoteReference"/>
          <w:rFonts w:cstheme="minorHAnsi"/>
          <w:sz w:val="20"/>
        </w:rPr>
        <w:footnoteRef/>
      </w:r>
      <w:r w:rsidRPr="00EA5A22">
        <w:rPr>
          <w:rFonts w:cstheme="minorHAnsi"/>
          <w:sz w:val="20"/>
        </w:rPr>
        <w:t xml:space="preserve"> </w:t>
      </w:r>
      <w:proofErr w:type="spellStart"/>
      <w:r w:rsidRPr="00EA5A22">
        <w:rPr>
          <w:rFonts w:cstheme="minorHAnsi"/>
          <w:sz w:val="20"/>
        </w:rPr>
        <w:t>Moleiro</w:t>
      </w:r>
      <w:proofErr w:type="spellEnd"/>
      <w:r w:rsidRPr="00EA5A22">
        <w:rPr>
          <w:rFonts w:cstheme="minorHAnsi"/>
          <w:sz w:val="20"/>
        </w:rPr>
        <w:t xml:space="preserve"> C and Pinto N (2015) Sexual orientation and gender identity: review of concepts, controversies and their relation to psychopathology classification systems. Front. Psychol. 6:1511. </w:t>
      </w:r>
      <w:proofErr w:type="spellStart"/>
      <w:r w:rsidRPr="00EA5A22">
        <w:rPr>
          <w:rFonts w:cstheme="minorHAnsi"/>
          <w:sz w:val="20"/>
        </w:rPr>
        <w:t>doi</w:t>
      </w:r>
      <w:proofErr w:type="spellEnd"/>
      <w:r w:rsidRPr="00EA5A22">
        <w:rPr>
          <w:rFonts w:cstheme="minorHAnsi"/>
          <w:sz w:val="20"/>
        </w:rPr>
        <w:t>: 10.3389/fpsyg.2015.01511</w:t>
      </w:r>
    </w:p>
  </w:footnote>
  <w:footnote w:id="4">
    <w:p w14:paraId="5914D9DB" w14:textId="075C0BD1" w:rsidR="00A178D5" w:rsidRPr="00EA5A22" w:rsidRDefault="00A178D5" w:rsidP="00EA5A22">
      <w:pPr>
        <w:pStyle w:val="FootnoteText"/>
        <w:ind w:firstLine="0"/>
        <w:rPr>
          <w:rFonts w:cstheme="minorHAnsi"/>
          <w:sz w:val="20"/>
        </w:rPr>
      </w:pPr>
      <w:r w:rsidRPr="00EA5A22">
        <w:rPr>
          <w:rStyle w:val="FootnoteReference"/>
          <w:rFonts w:cstheme="minorHAnsi"/>
          <w:sz w:val="20"/>
        </w:rPr>
        <w:footnoteRef/>
      </w:r>
      <w:r w:rsidRPr="00EA5A22">
        <w:rPr>
          <w:rFonts w:cstheme="minorHAnsi"/>
          <w:sz w:val="20"/>
        </w:rPr>
        <w:t xml:space="preserve"> </w:t>
      </w:r>
      <w:r w:rsidR="00EA5A22" w:rsidRPr="00EA5A22">
        <w:rPr>
          <w:rFonts w:cstheme="minorHAnsi"/>
          <w:sz w:val="20"/>
        </w:rPr>
        <w:t>American Psychological Association, Task Force on Appropriate Therapeutic Responses to Sexual</w:t>
      </w:r>
      <w:r w:rsidR="00EA5A22" w:rsidRPr="00EA5A22">
        <w:rPr>
          <w:rFonts w:cstheme="minorHAnsi"/>
          <w:sz w:val="20"/>
        </w:rPr>
        <w:t xml:space="preserve"> </w:t>
      </w:r>
      <w:r w:rsidR="00EA5A22" w:rsidRPr="00EA5A22">
        <w:rPr>
          <w:rFonts w:cstheme="minorHAnsi"/>
          <w:sz w:val="20"/>
        </w:rPr>
        <w:t xml:space="preserve">Orientation. (2009). Report of the American Psychological Association Task Force on Appropriate Therapeutic Responses to Sexual Orientation. Retrieved from </w:t>
      </w:r>
      <w:hyperlink r:id="rId2" w:history="1">
        <w:r w:rsidR="00EA5A22" w:rsidRPr="00EA5A22">
          <w:rPr>
            <w:rStyle w:val="Hyperlink"/>
            <w:rFonts w:cstheme="minorHAnsi"/>
            <w:color w:val="000000" w:themeColor="text1"/>
            <w:sz w:val="20"/>
          </w:rPr>
          <w:t>http://www.apa.org/pi/lgbc/publications/therapeutic-resp.html</w:t>
        </w:r>
      </w:hyperlink>
      <w:r w:rsidR="00EA5A22" w:rsidRPr="00EA5A22">
        <w:rPr>
          <w:rFonts w:cstheme="minorHAnsi"/>
          <w:sz w:val="20"/>
        </w:rPr>
        <w:t xml:space="preserve">  </w:t>
      </w:r>
    </w:p>
  </w:footnote>
  <w:footnote w:id="5">
    <w:p w14:paraId="7739DF04" w14:textId="4FCEC170" w:rsidR="005218E6" w:rsidRPr="00EA5A22" w:rsidRDefault="005218E6" w:rsidP="00EA5A22">
      <w:pPr>
        <w:pStyle w:val="FootnoteText"/>
        <w:ind w:firstLine="0"/>
        <w:rPr>
          <w:rFonts w:cstheme="minorHAnsi"/>
          <w:sz w:val="20"/>
        </w:rPr>
      </w:pPr>
      <w:r w:rsidRPr="00EA5A22">
        <w:rPr>
          <w:rStyle w:val="FootnoteReference"/>
          <w:rFonts w:cstheme="minorHAnsi"/>
          <w:sz w:val="20"/>
        </w:rPr>
        <w:footnoteRef/>
      </w:r>
      <w:r w:rsidRPr="00EA5A22">
        <w:rPr>
          <w:rFonts w:cstheme="minorHAnsi"/>
          <w:sz w:val="20"/>
        </w:rPr>
        <w:t xml:space="preserve"> </w:t>
      </w:r>
      <w:r w:rsidRPr="00EA5A22">
        <w:rPr>
          <w:rFonts w:eastAsia="Times New Roman" w:cstheme="minorHAnsi"/>
          <w:sz w:val="20"/>
          <w:lang w:eastAsia="en-US"/>
        </w:rPr>
        <w:t xml:space="preserve">Punt, J. (2005). Paul, Body Theology, And Morality: Parameters for a Discussion. </w:t>
      </w:r>
      <w:proofErr w:type="spellStart"/>
      <w:r w:rsidRPr="00EA5A22">
        <w:rPr>
          <w:rFonts w:eastAsia="Times New Roman" w:cstheme="minorHAnsi"/>
          <w:i/>
          <w:iCs/>
          <w:sz w:val="20"/>
          <w:lang w:eastAsia="en-US"/>
        </w:rPr>
        <w:t>Neotestamentica</w:t>
      </w:r>
      <w:proofErr w:type="spellEnd"/>
      <w:r w:rsidRPr="00EA5A22">
        <w:rPr>
          <w:rFonts w:eastAsia="Times New Roman" w:cstheme="minorHAnsi"/>
          <w:sz w:val="20"/>
          <w:lang w:eastAsia="en-US"/>
        </w:rPr>
        <w:t xml:space="preserve">, </w:t>
      </w:r>
      <w:r w:rsidRPr="00EA5A22">
        <w:rPr>
          <w:rFonts w:eastAsia="Times New Roman" w:cstheme="minorHAnsi"/>
          <w:i/>
          <w:iCs/>
          <w:sz w:val="20"/>
          <w:lang w:eastAsia="en-US"/>
        </w:rPr>
        <w:t>39</w:t>
      </w:r>
      <w:r w:rsidRPr="00EA5A22">
        <w:rPr>
          <w:rFonts w:eastAsia="Times New Roman" w:cstheme="minorHAnsi"/>
          <w:sz w:val="20"/>
          <w:lang w:eastAsia="en-US"/>
        </w:rPr>
        <w:t xml:space="preserve">(2), 359–388. </w:t>
      </w:r>
      <w:hyperlink r:id="rId3" w:history="1">
        <w:r w:rsidRPr="00EA5A22">
          <w:rPr>
            <w:rStyle w:val="Hyperlink"/>
            <w:rFonts w:eastAsia="Times New Roman" w:cstheme="minorHAnsi"/>
            <w:color w:val="000000" w:themeColor="text1"/>
            <w:sz w:val="20"/>
            <w:lang w:eastAsia="en-US"/>
          </w:rPr>
          <w:t>http://www.jstor.org/stable/43048551</w:t>
        </w:r>
      </w:hyperlink>
    </w:p>
  </w:footnote>
  <w:footnote w:id="6">
    <w:p w14:paraId="0BC121A3" w14:textId="02000769" w:rsidR="00A178D5" w:rsidRPr="00EA5A22" w:rsidRDefault="00A178D5" w:rsidP="00EA5A22">
      <w:pPr>
        <w:pStyle w:val="FootnoteText"/>
        <w:ind w:firstLine="0"/>
        <w:rPr>
          <w:rFonts w:cstheme="minorHAnsi"/>
          <w:sz w:val="20"/>
        </w:rPr>
      </w:pPr>
      <w:r w:rsidRPr="00EA5A22">
        <w:rPr>
          <w:rStyle w:val="FootnoteReference"/>
          <w:rFonts w:cstheme="minorHAnsi"/>
          <w:sz w:val="20"/>
        </w:rPr>
        <w:footnoteRef/>
      </w:r>
      <w:r w:rsidRPr="00EA5A22">
        <w:rPr>
          <w:rFonts w:cstheme="minorHAnsi"/>
          <w:sz w:val="20"/>
        </w:rPr>
        <w:t xml:space="preserve"> </w:t>
      </w:r>
      <w:proofErr w:type="spellStart"/>
      <w:r w:rsidR="00EA5A22" w:rsidRPr="00EA5A22">
        <w:rPr>
          <w:rFonts w:cstheme="minorHAnsi"/>
          <w:sz w:val="20"/>
          <w:shd w:val="clear" w:color="auto" w:fill="FFFFFF"/>
        </w:rPr>
        <w:t>Moleiro</w:t>
      </w:r>
      <w:proofErr w:type="spellEnd"/>
      <w:r w:rsidR="00EA5A22" w:rsidRPr="00EA5A22">
        <w:rPr>
          <w:rFonts w:cstheme="minorHAnsi"/>
          <w:sz w:val="20"/>
          <w:shd w:val="clear" w:color="auto" w:fill="FFFFFF"/>
        </w:rPr>
        <w:t xml:space="preserve"> C and Pinto N (2015) Sexual orientation and gender identity: review of concepts, controversies and their relation to psychopathology classification systems. </w:t>
      </w:r>
      <w:r w:rsidR="00EA5A22" w:rsidRPr="00EA5A22">
        <w:rPr>
          <w:rFonts w:cstheme="minorHAnsi"/>
          <w:i/>
          <w:iCs/>
          <w:sz w:val="20"/>
          <w:shd w:val="clear" w:color="auto" w:fill="FFFFFF"/>
        </w:rPr>
        <w:t>Front. Psychol.</w:t>
      </w:r>
      <w:r w:rsidR="00EA5A22" w:rsidRPr="00EA5A22">
        <w:rPr>
          <w:rFonts w:cstheme="minorHAnsi"/>
          <w:sz w:val="20"/>
          <w:shd w:val="clear" w:color="auto" w:fill="FFFFFF"/>
        </w:rPr>
        <w:t> 6:1511. </w:t>
      </w:r>
      <w:proofErr w:type="spellStart"/>
      <w:r w:rsidR="00EA5A22" w:rsidRPr="00EA5A22">
        <w:rPr>
          <w:rFonts w:cstheme="minorHAnsi"/>
          <w:sz w:val="20"/>
        </w:rPr>
        <w:fldChar w:fldCharType="begin"/>
      </w:r>
      <w:r w:rsidR="00EA5A22" w:rsidRPr="00EA5A22">
        <w:rPr>
          <w:rFonts w:cstheme="minorHAnsi"/>
          <w:sz w:val="20"/>
        </w:rPr>
        <w:instrText xml:space="preserve"> HYPERLINK "http://dx.doi.org/10.3389/fpsyg.2015.01511" </w:instrText>
      </w:r>
      <w:r w:rsidR="00EA5A22" w:rsidRPr="00EA5A22">
        <w:rPr>
          <w:rFonts w:cstheme="minorHAnsi"/>
          <w:sz w:val="20"/>
        </w:rPr>
        <w:fldChar w:fldCharType="separate"/>
      </w:r>
      <w:r w:rsidR="00EA5A22" w:rsidRPr="00EA5A22">
        <w:rPr>
          <w:rStyle w:val="Hyperlink"/>
          <w:rFonts w:cstheme="minorHAnsi"/>
          <w:color w:val="000000" w:themeColor="text1"/>
          <w:sz w:val="20"/>
          <w:shd w:val="clear" w:color="auto" w:fill="FFFFFF"/>
        </w:rPr>
        <w:t>doi</w:t>
      </w:r>
      <w:proofErr w:type="spellEnd"/>
      <w:r w:rsidR="00EA5A22" w:rsidRPr="00EA5A22">
        <w:rPr>
          <w:rStyle w:val="Hyperlink"/>
          <w:rFonts w:cstheme="minorHAnsi"/>
          <w:color w:val="000000" w:themeColor="text1"/>
          <w:sz w:val="20"/>
          <w:shd w:val="clear" w:color="auto" w:fill="FFFFFF"/>
        </w:rPr>
        <w:t>: 10.3389/fpsyg.2015.01511</w:t>
      </w:r>
      <w:r w:rsidR="00EA5A22" w:rsidRPr="00EA5A22">
        <w:rPr>
          <w:rFonts w:cstheme="minorHAnsi"/>
          <w:sz w:val="20"/>
        </w:rPr>
        <w:fldChar w:fldCharType="end"/>
      </w:r>
    </w:p>
  </w:footnote>
  <w:footnote w:id="7">
    <w:p w14:paraId="48B65D71" w14:textId="3011038F" w:rsidR="00A178D5" w:rsidRPr="00EA5A22" w:rsidRDefault="00A178D5" w:rsidP="00EA5A22">
      <w:pPr>
        <w:pStyle w:val="FootnoteText"/>
        <w:ind w:firstLine="0"/>
        <w:rPr>
          <w:rFonts w:cstheme="minorHAnsi"/>
          <w:sz w:val="20"/>
        </w:rPr>
      </w:pPr>
      <w:r w:rsidRPr="00EA5A22">
        <w:rPr>
          <w:rStyle w:val="FootnoteReference"/>
          <w:rFonts w:cstheme="minorHAnsi"/>
          <w:sz w:val="20"/>
        </w:rPr>
        <w:footnoteRef/>
      </w:r>
      <w:r w:rsidRPr="00EA5A22">
        <w:rPr>
          <w:rFonts w:cstheme="minorHAnsi"/>
          <w:sz w:val="20"/>
        </w:rPr>
        <w:t xml:space="preserve"> </w:t>
      </w:r>
      <w:proofErr w:type="spellStart"/>
      <w:r w:rsidR="00EA5A22" w:rsidRPr="00EA5A22">
        <w:rPr>
          <w:rFonts w:cstheme="minorHAnsi"/>
          <w:sz w:val="20"/>
          <w:shd w:val="clear" w:color="auto" w:fill="FFFFFF"/>
        </w:rPr>
        <w:t>Terepka</w:t>
      </w:r>
      <w:proofErr w:type="spellEnd"/>
      <w:r w:rsidR="00EA5A22" w:rsidRPr="00EA5A22">
        <w:rPr>
          <w:rFonts w:cstheme="minorHAnsi"/>
          <w:sz w:val="20"/>
          <w:shd w:val="clear" w:color="auto" w:fill="FFFFFF"/>
        </w:rPr>
        <w:t>, A. (2014, October). Sexual identity and religious ideals. </w:t>
      </w:r>
      <w:r w:rsidR="00EA5A22" w:rsidRPr="00EA5A22">
        <w:rPr>
          <w:rFonts w:cstheme="minorHAnsi"/>
          <w:i/>
          <w:iCs/>
          <w:sz w:val="20"/>
          <w:bdr w:val="none" w:sz="0" w:space="0" w:color="auto" w:frame="1"/>
          <w:shd w:val="clear" w:color="auto" w:fill="FFFFFF"/>
        </w:rPr>
        <w:t>Division 44 Newsletter</w:t>
      </w:r>
      <w:r w:rsidR="00EA5A22" w:rsidRPr="00EA5A22">
        <w:rPr>
          <w:rFonts w:cstheme="minorHAnsi"/>
          <w:sz w:val="20"/>
          <w:shd w:val="clear" w:color="auto" w:fill="FFFFFF"/>
        </w:rPr>
        <w:t>.</w:t>
      </w:r>
      <w:r w:rsidR="00EA5A22" w:rsidRPr="00EA5A22">
        <w:rPr>
          <w:rFonts w:cstheme="minorHAnsi"/>
          <w:sz w:val="20"/>
          <w:shd w:val="clear" w:color="auto" w:fill="FFFFFF"/>
        </w:rPr>
        <w:t xml:space="preserve"> </w:t>
      </w:r>
      <w:r w:rsidR="00EA5A22" w:rsidRPr="00EA5A22">
        <w:rPr>
          <w:rFonts w:cstheme="minorHAnsi"/>
          <w:sz w:val="20"/>
          <w:shd w:val="clear" w:color="auto" w:fill="FFFFFF"/>
        </w:rPr>
        <w:t>http://www.apadivisions.org/division-44/publications/newsletters/division/2014/10/diversity</w:t>
      </w:r>
    </w:p>
  </w:footnote>
  <w:footnote w:id="8">
    <w:p w14:paraId="5744738A" w14:textId="54D665FE" w:rsidR="00724F4A" w:rsidRPr="00EA5A22" w:rsidRDefault="00724F4A" w:rsidP="00EA5A22">
      <w:pPr>
        <w:pStyle w:val="FootnoteText"/>
        <w:ind w:firstLine="0"/>
        <w:rPr>
          <w:rFonts w:cstheme="minorHAnsi"/>
          <w:sz w:val="20"/>
        </w:rPr>
      </w:pPr>
      <w:r w:rsidRPr="00EA5A22">
        <w:rPr>
          <w:rStyle w:val="FootnoteReference"/>
          <w:rFonts w:cstheme="minorHAnsi"/>
          <w:sz w:val="20"/>
        </w:rPr>
        <w:footnoteRef/>
      </w:r>
      <w:r w:rsidRPr="00EA5A22">
        <w:rPr>
          <w:rFonts w:cstheme="minorHAnsi"/>
          <w:sz w:val="20"/>
        </w:rPr>
        <w:t xml:space="preserve"> Debate.org (2020). Bestiality Should be Legalized. Retrieved from </w:t>
      </w:r>
      <w:hyperlink r:id="rId4" w:history="1">
        <w:r w:rsidRPr="00EA5A22">
          <w:rPr>
            <w:rStyle w:val="Hyperlink"/>
            <w:rFonts w:cstheme="minorHAnsi"/>
            <w:color w:val="000000" w:themeColor="text1"/>
            <w:sz w:val="20"/>
          </w:rPr>
          <w:t>https://www.debate.org/debates/Bestiality-Should-be-Legalized/1/</w:t>
        </w:r>
      </w:hyperlink>
    </w:p>
  </w:footnote>
  <w:footnote w:id="9">
    <w:p w14:paraId="5DDAA20B" w14:textId="20CF9AA6" w:rsidR="00E24A0C" w:rsidRPr="00EA5A22" w:rsidRDefault="00E24A0C" w:rsidP="00EA5A22">
      <w:pPr>
        <w:pStyle w:val="Heading2"/>
        <w:shd w:val="clear" w:color="auto" w:fill="FFFFFF"/>
        <w:spacing w:line="240" w:lineRule="auto"/>
        <w:textAlignment w:val="baseline"/>
        <w:rPr>
          <w:rFonts w:asciiTheme="minorHAnsi" w:hAnsiTheme="minorHAnsi" w:cstheme="minorHAnsi"/>
          <w:b w:val="0"/>
          <w:bCs w:val="0"/>
          <w:sz w:val="20"/>
          <w:szCs w:val="20"/>
        </w:rPr>
      </w:pPr>
      <w:r w:rsidRPr="00EA5A22">
        <w:rPr>
          <w:rStyle w:val="FootnoteReference"/>
          <w:rFonts w:asciiTheme="minorHAnsi" w:hAnsiTheme="minorHAnsi" w:cstheme="minorHAnsi"/>
          <w:b w:val="0"/>
          <w:bCs w:val="0"/>
          <w:sz w:val="20"/>
          <w:szCs w:val="20"/>
        </w:rPr>
        <w:footnoteRef/>
      </w:r>
      <w:r w:rsidRPr="00EA5A22">
        <w:rPr>
          <w:rFonts w:asciiTheme="minorHAnsi" w:hAnsiTheme="minorHAnsi" w:cstheme="minorHAnsi"/>
          <w:b w:val="0"/>
          <w:bCs w:val="0"/>
          <w:sz w:val="20"/>
          <w:szCs w:val="20"/>
        </w:rPr>
        <w:t xml:space="preserve"> </w:t>
      </w:r>
      <w:hyperlink r:id="rId5" w:history="1">
        <w:r w:rsidRPr="00EA5A22">
          <w:rPr>
            <w:rStyle w:val="Hyperlink"/>
            <w:rFonts w:asciiTheme="minorHAnsi" w:hAnsiTheme="minorHAnsi" w:cstheme="minorHAnsi"/>
            <w:b w:val="0"/>
            <w:bCs w:val="0"/>
            <w:color w:val="000000" w:themeColor="text1"/>
            <w:sz w:val="20"/>
            <w:szCs w:val="20"/>
            <w:u w:val="none"/>
            <w:bdr w:val="none" w:sz="0" w:space="0" w:color="auto" w:frame="1"/>
          </w:rPr>
          <w:t>Gay or straight does it really matter?</w:t>
        </w:r>
      </w:hyperlink>
      <w:r w:rsidRPr="00EA5A22">
        <w:rPr>
          <w:rFonts w:asciiTheme="minorHAnsi" w:hAnsiTheme="minorHAnsi" w:cstheme="minorHAnsi"/>
          <w:b w:val="0"/>
          <w:bCs w:val="0"/>
          <w:sz w:val="20"/>
          <w:szCs w:val="20"/>
        </w:rPr>
        <w:t xml:space="preserve"> (2020). Retrieved from https://www.gaychristianafrica.org/</w:t>
      </w:r>
    </w:p>
    <w:p w14:paraId="3D390023" w14:textId="27876E24" w:rsidR="00E24A0C" w:rsidRPr="00EA5A22" w:rsidRDefault="00E24A0C" w:rsidP="00EA5A22">
      <w:pPr>
        <w:pStyle w:val="FootnoteText"/>
        <w:ind w:firstLine="0"/>
        <w:rPr>
          <w:rFonts w:cstheme="minorHAnsi"/>
          <w:sz w:val="20"/>
        </w:rPr>
      </w:pPr>
    </w:p>
  </w:footnote>
  <w:footnote w:id="10">
    <w:p w14:paraId="41F152C4" w14:textId="6C6792FE" w:rsidR="005218E6" w:rsidRPr="00EA5A22" w:rsidRDefault="005218E6" w:rsidP="00EA5A22">
      <w:pPr>
        <w:pStyle w:val="FootnoteText"/>
        <w:ind w:firstLine="0"/>
        <w:rPr>
          <w:rFonts w:cstheme="minorHAnsi"/>
          <w:sz w:val="20"/>
        </w:rPr>
      </w:pPr>
      <w:r w:rsidRPr="00EA5A22">
        <w:rPr>
          <w:rStyle w:val="FootnoteReference"/>
          <w:rFonts w:cstheme="minorHAnsi"/>
          <w:sz w:val="20"/>
        </w:rPr>
        <w:footnoteRef/>
      </w:r>
      <w:r w:rsidRPr="00EA5A22">
        <w:rPr>
          <w:rFonts w:cstheme="minorHAnsi"/>
          <w:sz w:val="20"/>
        </w:rPr>
        <w:t xml:space="preserve"> Glenn Stanton (2019). 10 Things Everyone Should Know About a Christian View of Homosexuality. Retrieved from </w:t>
      </w:r>
      <w:hyperlink r:id="rId6" w:history="1">
        <w:r w:rsidRPr="00EA5A22">
          <w:rPr>
            <w:rStyle w:val="Hyperlink"/>
            <w:rFonts w:cstheme="minorHAnsi"/>
            <w:color w:val="000000" w:themeColor="text1"/>
            <w:sz w:val="20"/>
          </w:rPr>
          <w:t>www.focusonthefamily.com</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1687B0E5"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458D3D10" w14:textId="44147541" w:rsidR="004D6B86" w:rsidRPr="00170521" w:rsidRDefault="00D31B2E" w:rsidP="00170521">
          <w:pPr>
            <w:pStyle w:val="Header"/>
          </w:pPr>
          <w:sdt>
            <w:sdtPr>
              <w:alias w:val="Enter shortened title:"/>
              <w:tag w:val="Enter shortened title:"/>
              <w:id w:val="-582528332"/>
              <w15:dataBinding w:prefixMappings="xmlns:ns0='http://schemas.microsoft.com/temp/samples' " w:xpath="/ns0:employees[1]/ns0:employee[1]/ns0:CustomerName[1]" w:storeItemID="{B98E728A-96FF-4995-885C-5AF887AB0C35}"/>
              <w15:appearance w15:val="hidden"/>
            </w:sdtPr>
            <w:sdtEndPr/>
            <w:sdtContent>
              <w:r w:rsidR="00EA5A22">
                <w:t>Christian Ethics and the Sexual Orientation Dilemma</w:t>
              </w:r>
            </w:sdtContent>
          </w:sdt>
        </w:p>
      </w:tc>
      <w:tc>
        <w:tcPr>
          <w:tcW w:w="1080" w:type="dxa"/>
        </w:tcPr>
        <w:p w14:paraId="566C5F0F"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6E9A10FD"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19D3DCC9"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0CE540CF" w14:textId="2758DE5D" w:rsidR="004D6B86" w:rsidRPr="009F0414" w:rsidRDefault="00961AE5" w:rsidP="00504F88">
          <w:pPr>
            <w:pStyle w:val="Header"/>
          </w:pPr>
          <w:r>
            <w:t xml:space="preserve">Running head: </w:t>
          </w:r>
          <w:sdt>
            <w:sdtPr>
              <w:alias w:val="Enter shortened title:"/>
              <w:tag w:val="Enter shortened title:"/>
              <w:id w:val="-211583021"/>
              <w15:dataBinding w:prefixMappings="xmlns:ns0='http://schemas.microsoft.com/temp/samples' " w:xpath="/ns0:employees[1]/ns0:employee[1]/ns0:CustomerName[1]" w:storeItemID="{B98E728A-96FF-4995-885C-5AF887AB0C35}"/>
              <w15:appearance w15:val="hidden"/>
            </w:sdtPr>
            <w:sdtEndPr/>
            <w:sdtContent>
              <w:r w:rsidR="00EA5A22">
                <w:t>Christian Ethics and the Sexual Orientation Dilemma</w:t>
              </w:r>
            </w:sdtContent>
          </w:sdt>
        </w:p>
      </w:tc>
      <w:tc>
        <w:tcPr>
          <w:tcW w:w="1080" w:type="dxa"/>
        </w:tcPr>
        <w:p w14:paraId="51F40796"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1</w:t>
          </w:r>
          <w:r>
            <w:rPr>
              <w:noProof/>
            </w:rPr>
            <w:fldChar w:fldCharType="end"/>
          </w:r>
        </w:p>
      </w:tc>
    </w:tr>
  </w:tbl>
  <w:p w14:paraId="6FC9D5F2"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5E6"/>
    <w:rsid w:val="00006BBA"/>
    <w:rsid w:val="0001010E"/>
    <w:rsid w:val="000217F5"/>
    <w:rsid w:val="00097169"/>
    <w:rsid w:val="00114BFA"/>
    <w:rsid w:val="00147C9F"/>
    <w:rsid w:val="001510ED"/>
    <w:rsid w:val="001602E3"/>
    <w:rsid w:val="00160C0C"/>
    <w:rsid w:val="001664A2"/>
    <w:rsid w:val="00170521"/>
    <w:rsid w:val="001B4848"/>
    <w:rsid w:val="001E582B"/>
    <w:rsid w:val="001F447A"/>
    <w:rsid w:val="001F7399"/>
    <w:rsid w:val="00212319"/>
    <w:rsid w:val="00225BE3"/>
    <w:rsid w:val="00274E0A"/>
    <w:rsid w:val="002B6153"/>
    <w:rsid w:val="002C627C"/>
    <w:rsid w:val="00307586"/>
    <w:rsid w:val="00336906"/>
    <w:rsid w:val="0034084A"/>
    <w:rsid w:val="00345333"/>
    <w:rsid w:val="00350EAE"/>
    <w:rsid w:val="003A06C6"/>
    <w:rsid w:val="003D28CF"/>
    <w:rsid w:val="003E36B1"/>
    <w:rsid w:val="003E4162"/>
    <w:rsid w:val="003F7CBD"/>
    <w:rsid w:val="00481CF8"/>
    <w:rsid w:val="00492C2D"/>
    <w:rsid w:val="004A3D87"/>
    <w:rsid w:val="004B18A9"/>
    <w:rsid w:val="004D4F8C"/>
    <w:rsid w:val="004D6B86"/>
    <w:rsid w:val="00504F88"/>
    <w:rsid w:val="005218E6"/>
    <w:rsid w:val="0055242C"/>
    <w:rsid w:val="00595412"/>
    <w:rsid w:val="005B21F4"/>
    <w:rsid w:val="0061747E"/>
    <w:rsid w:val="00641876"/>
    <w:rsid w:val="00645290"/>
    <w:rsid w:val="00667A1D"/>
    <w:rsid w:val="0067219C"/>
    <w:rsid w:val="00684C26"/>
    <w:rsid w:val="0069452C"/>
    <w:rsid w:val="006B015B"/>
    <w:rsid w:val="006C162F"/>
    <w:rsid w:val="006D7EE9"/>
    <w:rsid w:val="007244DE"/>
    <w:rsid w:val="00724F4A"/>
    <w:rsid w:val="00734DDB"/>
    <w:rsid w:val="0081390C"/>
    <w:rsid w:val="00816831"/>
    <w:rsid w:val="00837D67"/>
    <w:rsid w:val="008747E8"/>
    <w:rsid w:val="0088198A"/>
    <w:rsid w:val="008A2A83"/>
    <w:rsid w:val="008A78F1"/>
    <w:rsid w:val="00910F0E"/>
    <w:rsid w:val="009437FD"/>
    <w:rsid w:val="00961AE5"/>
    <w:rsid w:val="009A2C38"/>
    <w:rsid w:val="009C3174"/>
    <w:rsid w:val="009E1A01"/>
    <w:rsid w:val="009F0414"/>
    <w:rsid w:val="00A178D5"/>
    <w:rsid w:val="00A4757D"/>
    <w:rsid w:val="00A77F6B"/>
    <w:rsid w:val="00A81BB2"/>
    <w:rsid w:val="00A875E6"/>
    <w:rsid w:val="00AA5A03"/>
    <w:rsid w:val="00AA5C05"/>
    <w:rsid w:val="00B03BA4"/>
    <w:rsid w:val="00B20A3A"/>
    <w:rsid w:val="00B308C8"/>
    <w:rsid w:val="00BA042B"/>
    <w:rsid w:val="00BC42EB"/>
    <w:rsid w:val="00BD2194"/>
    <w:rsid w:val="00C12F5A"/>
    <w:rsid w:val="00C3438C"/>
    <w:rsid w:val="00C5686B"/>
    <w:rsid w:val="00C73BC1"/>
    <w:rsid w:val="00C74024"/>
    <w:rsid w:val="00C75D73"/>
    <w:rsid w:val="00C83B15"/>
    <w:rsid w:val="00C925C8"/>
    <w:rsid w:val="00CB7F84"/>
    <w:rsid w:val="00CF1B55"/>
    <w:rsid w:val="00CF570B"/>
    <w:rsid w:val="00D31B2E"/>
    <w:rsid w:val="00DB2E59"/>
    <w:rsid w:val="00DB358F"/>
    <w:rsid w:val="00DC44F1"/>
    <w:rsid w:val="00DF6D26"/>
    <w:rsid w:val="00E24A0C"/>
    <w:rsid w:val="00E37540"/>
    <w:rsid w:val="00E4661A"/>
    <w:rsid w:val="00E51606"/>
    <w:rsid w:val="00E7305D"/>
    <w:rsid w:val="00EA5A22"/>
    <w:rsid w:val="00EA780C"/>
    <w:rsid w:val="00EB69D3"/>
    <w:rsid w:val="00F31D66"/>
    <w:rsid w:val="00F33DAD"/>
    <w:rsid w:val="00F363EC"/>
    <w:rsid w:val="00F413AC"/>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FFBA9EC"/>
  <w15:chartTrackingRefBased/>
  <w15:docId w15:val="{231FF18A-B66A-4263-A11B-61625A908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9"/>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character" w:styleId="Hyperlink">
    <w:name w:val="Hyperlink"/>
    <w:basedOn w:val="DefaultParagraphFont"/>
    <w:uiPriority w:val="99"/>
    <w:unhideWhenUsed/>
    <w:rsid w:val="003D28CF"/>
    <w:rPr>
      <w:color w:val="5F5F5F" w:themeColor="hyperlink"/>
      <w:u w:val="single"/>
    </w:rPr>
  </w:style>
  <w:style w:type="character" w:customStyle="1" w:styleId="highl">
    <w:name w:val="highl"/>
    <w:basedOn w:val="DefaultParagraphFont"/>
    <w:rsid w:val="001510ED"/>
  </w:style>
  <w:style w:type="character" w:styleId="UnresolvedMention">
    <w:name w:val="Unresolved Mention"/>
    <w:basedOn w:val="DefaultParagraphFont"/>
    <w:uiPriority w:val="99"/>
    <w:semiHidden/>
    <w:unhideWhenUsed/>
    <w:rsid w:val="00A178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74139121">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68908204">
      <w:bodyDiv w:val="1"/>
      <w:marLeft w:val="0"/>
      <w:marRight w:val="0"/>
      <w:marTop w:val="0"/>
      <w:marBottom w:val="0"/>
      <w:divBdr>
        <w:top w:val="none" w:sz="0" w:space="0" w:color="auto"/>
        <w:left w:val="none" w:sz="0" w:space="0" w:color="auto"/>
        <w:bottom w:val="none" w:sz="0" w:space="0" w:color="auto"/>
        <w:right w:val="none" w:sz="0" w:space="0" w:color="auto"/>
      </w:divBdr>
      <w:divsChild>
        <w:div w:id="185021185">
          <w:marLeft w:val="0"/>
          <w:marRight w:val="0"/>
          <w:marTop w:val="0"/>
          <w:marBottom w:val="0"/>
          <w:divBdr>
            <w:top w:val="none" w:sz="0" w:space="0" w:color="auto"/>
            <w:left w:val="none" w:sz="0" w:space="0" w:color="auto"/>
            <w:bottom w:val="none" w:sz="0" w:space="0" w:color="auto"/>
            <w:right w:val="none" w:sz="0" w:space="0" w:color="auto"/>
          </w:divBdr>
          <w:divsChild>
            <w:div w:id="5632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6234817">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83602695">
      <w:bodyDiv w:val="1"/>
      <w:marLeft w:val="0"/>
      <w:marRight w:val="0"/>
      <w:marTop w:val="0"/>
      <w:marBottom w:val="0"/>
      <w:divBdr>
        <w:top w:val="none" w:sz="0" w:space="0" w:color="auto"/>
        <w:left w:val="none" w:sz="0" w:space="0" w:color="auto"/>
        <w:bottom w:val="none" w:sz="0" w:space="0" w:color="auto"/>
        <w:right w:val="none" w:sz="0" w:space="0" w:color="auto"/>
      </w:divBdr>
      <w:divsChild>
        <w:div w:id="1547450488">
          <w:marLeft w:val="0"/>
          <w:marRight w:val="0"/>
          <w:marTop w:val="0"/>
          <w:marBottom w:val="0"/>
          <w:divBdr>
            <w:top w:val="none" w:sz="0" w:space="0" w:color="auto"/>
            <w:left w:val="none" w:sz="0" w:space="0" w:color="auto"/>
            <w:bottom w:val="none" w:sz="0" w:space="0" w:color="auto"/>
            <w:right w:val="none" w:sz="0" w:space="0" w:color="auto"/>
          </w:divBdr>
          <w:divsChild>
            <w:div w:id="14760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www.jstor.org/stable/43048551" TargetMode="External"/><Relationship Id="rId2" Type="http://schemas.openxmlformats.org/officeDocument/2006/relationships/hyperlink" Target="http://www.apa.org/pi/lgbc/publications/therapeutic-resp.html" TargetMode="External"/><Relationship Id="rId1" Type="http://schemas.openxmlformats.org/officeDocument/2006/relationships/hyperlink" Target="https://ct.counseling.org/2013/05/when-religion-and-sexual-orientation-collide/" TargetMode="External"/><Relationship Id="rId6" Type="http://schemas.openxmlformats.org/officeDocument/2006/relationships/hyperlink" Target="http://www.focusonthefamily.com" TargetMode="External"/><Relationship Id="rId5" Type="http://schemas.openxmlformats.org/officeDocument/2006/relationships/hyperlink" Target="https://www.gaychristianafrica.org/gay-or-straight-does-it-really-matter/" TargetMode="External"/><Relationship Id="rId4" Type="http://schemas.openxmlformats.org/officeDocument/2006/relationships/hyperlink" Target="https://www.debate.org/debates/Bestiality-Should-be-Legalized/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P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A6CB888D56C4642A911C5B6BB5AED75"/>
        <w:category>
          <w:name w:val="General"/>
          <w:gallery w:val="placeholder"/>
        </w:category>
        <w:types>
          <w:type w:val="bbPlcHdr"/>
        </w:types>
        <w:behaviors>
          <w:behavior w:val="content"/>
        </w:behaviors>
        <w:guid w:val="{2166C0CD-092D-4F15-9CA6-01EBF65DD17E}"/>
      </w:docPartPr>
      <w:docPartBody>
        <w:p w:rsidR="006909F7" w:rsidRDefault="00372A45">
          <w:pPr>
            <w:pStyle w:val="5A6CB888D56C4642A911C5B6BB5AED75"/>
          </w:pPr>
          <w:r>
            <w:t>Author Name(s), First M. Last, Omit Titles and Degrees</w:t>
          </w:r>
        </w:p>
      </w:docPartBody>
    </w:docPart>
    <w:docPart>
      <w:docPartPr>
        <w:name w:val="E6D45B16B3A74BA8B84E1BB88769C519"/>
        <w:category>
          <w:name w:val="General"/>
          <w:gallery w:val="placeholder"/>
        </w:category>
        <w:types>
          <w:type w:val="bbPlcHdr"/>
        </w:types>
        <w:behaviors>
          <w:behavior w:val="content"/>
        </w:behaviors>
        <w:guid w:val="{8C3A5AAD-BAA1-4AF1-8CFB-2CECAC4744AF}"/>
      </w:docPartPr>
      <w:docPartBody>
        <w:p w:rsidR="006909F7" w:rsidRDefault="00372A45">
          <w:pPr>
            <w:pStyle w:val="E6D45B16B3A74BA8B84E1BB88769C519"/>
          </w:pPr>
          <w:r>
            <w:t>Institutional Affiliation(s)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45"/>
    <w:rsid w:val="0012133E"/>
    <w:rsid w:val="00372A45"/>
    <w:rsid w:val="00445CBC"/>
    <w:rsid w:val="006909F7"/>
    <w:rsid w:val="00873EF6"/>
    <w:rsid w:val="00EF47E8"/>
    <w:rsid w:val="00F0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5" w:unhideWhenUsed="1" w:qFormat="1"/>
    <w:lsdException w:name="heading 4" w:semiHidden="1" w:uiPriority="5" w:unhideWhenUsed="1" w:qFormat="1"/>
    <w:lsdException w:name="heading 5" w:semiHidden="1" w:uiPriority="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5"/>
    <w:qFormat/>
    <w:pPr>
      <w:keepNext/>
      <w:keepLines/>
      <w:spacing w:after="0" w:line="480" w:lineRule="auto"/>
      <w:ind w:firstLine="720"/>
      <w:outlineLvl w:val="2"/>
    </w:pPr>
    <w:rPr>
      <w:rFonts w:asciiTheme="majorHAnsi" w:eastAsiaTheme="majorEastAsia" w:hAnsiTheme="majorHAnsi" w:cstheme="majorBidi"/>
      <w:b/>
      <w:bCs/>
      <w:color w:val="000000" w:themeColor="text1"/>
      <w:sz w:val="24"/>
      <w:szCs w:val="24"/>
      <w:lang w:eastAsia="ja-JP"/>
    </w:rPr>
  </w:style>
  <w:style w:type="paragraph" w:styleId="Heading4">
    <w:name w:val="heading 4"/>
    <w:basedOn w:val="Normal"/>
    <w:next w:val="Normal"/>
    <w:link w:val="Heading4Char"/>
    <w:uiPriority w:val="5"/>
    <w:qFormat/>
    <w:pPr>
      <w:keepNext/>
      <w:keepLines/>
      <w:spacing w:after="0" w:line="480" w:lineRule="auto"/>
      <w:ind w:firstLine="720"/>
      <w:outlineLvl w:val="3"/>
    </w:pPr>
    <w:rPr>
      <w:rFonts w:asciiTheme="majorHAnsi" w:eastAsiaTheme="majorEastAsia" w:hAnsiTheme="majorHAnsi" w:cstheme="majorBidi"/>
      <w:b/>
      <w:bCs/>
      <w:i/>
      <w:iCs/>
      <w:color w:val="000000" w:themeColor="text1"/>
      <w:sz w:val="24"/>
      <w:szCs w:val="24"/>
      <w:lang w:eastAsia="ja-JP"/>
    </w:rPr>
  </w:style>
  <w:style w:type="paragraph" w:styleId="Heading5">
    <w:name w:val="heading 5"/>
    <w:basedOn w:val="Normal"/>
    <w:next w:val="Normal"/>
    <w:link w:val="Heading5Char"/>
    <w:uiPriority w:val="5"/>
    <w:qFormat/>
    <w:pPr>
      <w:keepNext/>
      <w:keepLines/>
      <w:spacing w:after="0" w:line="480" w:lineRule="auto"/>
      <w:ind w:firstLine="720"/>
      <w:outlineLvl w:val="4"/>
    </w:pPr>
    <w:rPr>
      <w:rFonts w:asciiTheme="majorHAnsi" w:eastAsiaTheme="majorEastAsia" w:hAnsiTheme="majorHAnsi" w:cstheme="majorBidi"/>
      <w:i/>
      <w:iCs/>
      <w:color w:val="000000" w:themeColor="text1"/>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93FCA90CDDF49E4A226520674D2F89B">
    <w:name w:val="A93FCA90CDDF49E4A226520674D2F89B"/>
  </w:style>
  <w:style w:type="paragraph" w:customStyle="1" w:styleId="5A6CB888D56C4642A911C5B6BB5AED75">
    <w:name w:val="5A6CB888D56C4642A911C5B6BB5AED75"/>
  </w:style>
  <w:style w:type="paragraph" w:customStyle="1" w:styleId="E6D45B16B3A74BA8B84E1BB88769C519">
    <w:name w:val="E6D45B16B3A74BA8B84E1BB88769C519"/>
  </w:style>
  <w:style w:type="paragraph" w:customStyle="1" w:styleId="37F5D8CBEDA347A7B684B2324D87F554">
    <w:name w:val="37F5D8CBEDA347A7B684B2324D87F554"/>
  </w:style>
  <w:style w:type="character" w:styleId="Emphasis">
    <w:name w:val="Emphasis"/>
    <w:basedOn w:val="DefaultParagraphFont"/>
    <w:uiPriority w:val="4"/>
    <w:unhideWhenUsed/>
    <w:qFormat/>
    <w:rPr>
      <w:i/>
      <w:iCs/>
    </w:rPr>
  </w:style>
  <w:style w:type="paragraph" w:customStyle="1" w:styleId="1861075507164C1EB5B3E3AC216420B4">
    <w:name w:val="1861075507164C1EB5B3E3AC216420B4"/>
  </w:style>
  <w:style w:type="paragraph" w:customStyle="1" w:styleId="D67C4C9A0DF1478ABB9EA2B774D71AF6">
    <w:name w:val="D67C4C9A0DF1478ABB9EA2B774D71AF6"/>
  </w:style>
  <w:style w:type="paragraph" w:customStyle="1" w:styleId="E142CCFDEE694164B4A6F9FF32C95B8C">
    <w:name w:val="E142CCFDEE694164B4A6F9FF32C95B8C"/>
  </w:style>
  <w:style w:type="paragraph" w:customStyle="1" w:styleId="76F985ADC40F4FD6A1C578896288096D">
    <w:name w:val="76F985ADC40F4FD6A1C578896288096D"/>
  </w:style>
  <w:style w:type="paragraph" w:customStyle="1" w:styleId="3DC77BC8B1544F26BD9434788C222F1E">
    <w:name w:val="3DC77BC8B1544F26BD9434788C222F1E"/>
  </w:style>
  <w:style w:type="paragraph" w:customStyle="1" w:styleId="3E31B6D3114347F4A72407F19E8358F4">
    <w:name w:val="3E31B6D3114347F4A72407F19E8358F4"/>
  </w:style>
  <w:style w:type="character" w:styleId="FootnoteReference">
    <w:name w:val="footnote reference"/>
    <w:basedOn w:val="DefaultParagraphFont"/>
    <w:uiPriority w:val="99"/>
    <w:qFormat/>
    <w:rPr>
      <w:vertAlign w:val="superscript"/>
    </w:rPr>
  </w:style>
  <w:style w:type="paragraph" w:customStyle="1" w:styleId="A0AE180B92DD4840A8936AE7ED58C0E6">
    <w:name w:val="A0AE180B92DD4840A8936AE7ED58C0E6"/>
  </w:style>
  <w:style w:type="paragraph" w:customStyle="1" w:styleId="B6FAFF276CF647D2BCA426B5C89B4779">
    <w:name w:val="B6FAFF276CF647D2BCA426B5C89B4779"/>
  </w:style>
  <w:style w:type="character" w:customStyle="1" w:styleId="Heading3Char">
    <w:name w:val="Heading 3 Char"/>
    <w:basedOn w:val="DefaultParagraphFont"/>
    <w:link w:val="Heading3"/>
    <w:uiPriority w:val="5"/>
    <w:rPr>
      <w:rFonts w:asciiTheme="majorHAnsi" w:eastAsiaTheme="majorEastAsia" w:hAnsiTheme="majorHAnsi" w:cstheme="majorBidi"/>
      <w:b/>
      <w:bCs/>
      <w:color w:val="000000" w:themeColor="text1"/>
      <w:sz w:val="24"/>
      <w:szCs w:val="24"/>
      <w:lang w:eastAsia="ja-JP"/>
    </w:rPr>
  </w:style>
  <w:style w:type="paragraph" w:customStyle="1" w:styleId="77C82B0B74D84EF4B9C8610F0598685E">
    <w:name w:val="77C82B0B74D84EF4B9C8610F0598685E"/>
  </w:style>
  <w:style w:type="paragraph" w:customStyle="1" w:styleId="33539C706CF043E787FF8EFA3EEBBF86">
    <w:name w:val="33539C706CF043E787FF8EFA3EEBBF86"/>
  </w:style>
  <w:style w:type="character" w:customStyle="1" w:styleId="Heading4Char">
    <w:name w:val="Heading 4 Char"/>
    <w:basedOn w:val="DefaultParagraphFont"/>
    <w:link w:val="Heading4"/>
    <w:uiPriority w:val="5"/>
    <w:rPr>
      <w:rFonts w:asciiTheme="majorHAnsi" w:eastAsiaTheme="majorEastAsia" w:hAnsiTheme="majorHAnsi" w:cstheme="majorBidi"/>
      <w:b/>
      <w:bCs/>
      <w:i/>
      <w:iCs/>
      <w:color w:val="000000" w:themeColor="text1"/>
      <w:sz w:val="24"/>
      <w:szCs w:val="24"/>
      <w:lang w:eastAsia="ja-JP"/>
    </w:rPr>
  </w:style>
  <w:style w:type="paragraph" w:customStyle="1" w:styleId="159478D1D0AF45F89C4D1B1B4774E851">
    <w:name w:val="159478D1D0AF45F89C4D1B1B4774E851"/>
  </w:style>
  <w:style w:type="paragraph" w:customStyle="1" w:styleId="6C443F0690F34D2F8A2813F616DD5F24">
    <w:name w:val="6C443F0690F34D2F8A2813F616DD5F24"/>
  </w:style>
  <w:style w:type="character" w:customStyle="1" w:styleId="Heading5Char">
    <w:name w:val="Heading 5 Char"/>
    <w:basedOn w:val="DefaultParagraphFont"/>
    <w:link w:val="Heading5"/>
    <w:uiPriority w:val="5"/>
    <w:rPr>
      <w:rFonts w:asciiTheme="majorHAnsi" w:eastAsiaTheme="majorEastAsia" w:hAnsiTheme="majorHAnsi" w:cstheme="majorBidi"/>
      <w:i/>
      <w:iCs/>
      <w:color w:val="000000" w:themeColor="text1"/>
      <w:sz w:val="24"/>
      <w:szCs w:val="24"/>
      <w:lang w:eastAsia="ja-JP"/>
    </w:rPr>
  </w:style>
  <w:style w:type="paragraph" w:customStyle="1" w:styleId="099136A336B74867A25A5CC3A69340C5">
    <w:name w:val="099136A336B74867A25A5CC3A69340C5"/>
  </w:style>
  <w:style w:type="paragraph" w:customStyle="1" w:styleId="D0735F68AC74488A9689B191F2C78852">
    <w:name w:val="D0735F68AC74488A9689B191F2C78852"/>
  </w:style>
  <w:style w:type="paragraph" w:customStyle="1" w:styleId="BFBF8A9E9BB44DCCBF252DEEDA9BAB86">
    <w:name w:val="BFBF8A9E9BB44DCCBF252DEEDA9BAB86"/>
  </w:style>
  <w:style w:type="paragraph" w:customStyle="1" w:styleId="9A870427E695475792FC42E3D375A4EB">
    <w:name w:val="9A870427E695475792FC42E3D375A4EB"/>
  </w:style>
  <w:style w:type="paragraph" w:customStyle="1" w:styleId="9A558B95127B4A369D4CA19F8B5CA0BA">
    <w:name w:val="9A558B95127B4A369D4CA19F8B5CA0BA"/>
  </w:style>
  <w:style w:type="paragraph" w:customStyle="1" w:styleId="A56530B2B9184D829215637CCAE305C5">
    <w:name w:val="A56530B2B9184D829215637CCAE305C5"/>
  </w:style>
  <w:style w:type="paragraph" w:customStyle="1" w:styleId="4BFE417C7382446D9BE079397B7D72C6">
    <w:name w:val="4BFE417C7382446D9BE079397B7D72C6"/>
  </w:style>
  <w:style w:type="paragraph" w:customStyle="1" w:styleId="9168BE7FF5F1489399AF0566FC044A10">
    <w:name w:val="9168BE7FF5F1489399AF0566FC044A10"/>
  </w:style>
  <w:style w:type="paragraph" w:customStyle="1" w:styleId="97762369524742D6881A8292B4699684">
    <w:name w:val="97762369524742D6881A8292B4699684"/>
  </w:style>
  <w:style w:type="paragraph" w:customStyle="1" w:styleId="C6739A36B5494A6B950A25E0CE66B799">
    <w:name w:val="C6739A36B5494A6B950A25E0CE66B799"/>
  </w:style>
  <w:style w:type="paragraph" w:customStyle="1" w:styleId="1E83D54EA77D4C178DE6B9AA5BC6ABF6">
    <w:name w:val="1E83D54EA77D4C178DE6B9AA5BC6ABF6"/>
  </w:style>
  <w:style w:type="paragraph" w:customStyle="1" w:styleId="4717A36EFBDF4877800E721B4FED532A">
    <w:name w:val="4717A36EFBDF4877800E721B4FED532A"/>
  </w:style>
  <w:style w:type="paragraph" w:customStyle="1" w:styleId="815476876B9844C1819C8A72CB4015D1">
    <w:name w:val="815476876B9844C1819C8A72CB4015D1"/>
  </w:style>
  <w:style w:type="paragraph" w:customStyle="1" w:styleId="D4530EF8E4C24E4FA80EB1F6540540D3">
    <w:name w:val="D4530EF8E4C24E4FA80EB1F6540540D3"/>
  </w:style>
  <w:style w:type="paragraph" w:customStyle="1" w:styleId="B41B13E4086746D5875ABD29A19679D6">
    <w:name w:val="B41B13E4086746D5875ABD29A19679D6"/>
  </w:style>
  <w:style w:type="paragraph" w:customStyle="1" w:styleId="E1A5D54F473148CB85F28F5E423ACC93">
    <w:name w:val="E1A5D54F473148CB85F28F5E423ACC93"/>
  </w:style>
  <w:style w:type="paragraph" w:customStyle="1" w:styleId="63A6516797A249598AA4292B7EB33A99">
    <w:name w:val="63A6516797A249598AA4292B7EB33A99"/>
  </w:style>
  <w:style w:type="paragraph" w:customStyle="1" w:styleId="95C2C54E0CE64B0D87C3F4F00688C1E4">
    <w:name w:val="95C2C54E0CE64B0D87C3F4F00688C1E4"/>
  </w:style>
  <w:style w:type="paragraph" w:customStyle="1" w:styleId="58C384B7FACE48BA9FE3A8B5374BE297">
    <w:name w:val="58C384B7FACE48BA9FE3A8B5374BE297"/>
  </w:style>
  <w:style w:type="paragraph" w:customStyle="1" w:styleId="EEB998350026445C80EC56575E028944">
    <w:name w:val="EEB998350026445C80EC56575E028944"/>
  </w:style>
  <w:style w:type="paragraph" w:customStyle="1" w:styleId="6E76B2DAACE84034AECF0C37B096EC8F">
    <w:name w:val="6E76B2DAACE84034AECF0C37B096EC8F"/>
  </w:style>
  <w:style w:type="paragraph" w:customStyle="1" w:styleId="24D9BF953BBD4E569961A2E2F89E2B7C">
    <w:name w:val="24D9BF953BBD4E569961A2E2F89E2B7C"/>
  </w:style>
  <w:style w:type="paragraph" w:customStyle="1" w:styleId="EFF76447BA73410B82DAFB71661C5EA7">
    <w:name w:val="EFF76447BA73410B82DAFB71661C5EA7"/>
  </w:style>
  <w:style w:type="paragraph" w:customStyle="1" w:styleId="4B667420B5D2408CAAEDABCD57BE2660">
    <w:name w:val="4B667420B5D2408CAAEDABCD57BE2660"/>
  </w:style>
  <w:style w:type="paragraph" w:customStyle="1" w:styleId="A7EF645266444E42979DA231178483B3">
    <w:name w:val="A7EF645266444E42979DA231178483B3"/>
  </w:style>
  <w:style w:type="paragraph" w:customStyle="1" w:styleId="6BD592F242F44020A13AAED717B09F0F">
    <w:name w:val="6BD592F242F44020A13AAED717B09F0F"/>
  </w:style>
  <w:style w:type="paragraph" w:customStyle="1" w:styleId="691D2966070B400D92B6D265DE86763C">
    <w:name w:val="691D2966070B400D92B6D265DE86763C"/>
  </w:style>
  <w:style w:type="paragraph" w:customStyle="1" w:styleId="938C3D05D87446149ACBC0E6F4FBB7F5">
    <w:name w:val="938C3D05D87446149ACBC0E6F4FBB7F5"/>
  </w:style>
  <w:style w:type="paragraph" w:customStyle="1" w:styleId="E52D51D92A8F4C3EB39ABE48A448A5E8">
    <w:name w:val="E52D51D92A8F4C3EB39ABE48A448A5E8"/>
  </w:style>
  <w:style w:type="paragraph" w:customStyle="1" w:styleId="63F10CFED6F7425B94415F85E433BC6A">
    <w:name w:val="63F10CFED6F7425B94415F85E433BC6A"/>
  </w:style>
  <w:style w:type="paragraph" w:customStyle="1" w:styleId="97767B4DEE7A4E50BE01856C6F31EA01">
    <w:name w:val="97767B4DEE7A4E50BE01856C6F31EA01"/>
  </w:style>
  <w:style w:type="paragraph" w:customStyle="1" w:styleId="EFC304154A12446AB7FEE35CFF291646">
    <w:name w:val="EFC304154A12446AB7FEE35CFF291646"/>
  </w:style>
  <w:style w:type="paragraph" w:customStyle="1" w:styleId="CE8260ABBB154F42BC6CB1DE0C89B36C">
    <w:name w:val="CE8260ABBB154F42BC6CB1DE0C89B36C"/>
  </w:style>
  <w:style w:type="paragraph" w:customStyle="1" w:styleId="493FEA2CC206412A9CD6F073286FF50A">
    <w:name w:val="493FEA2CC206412A9CD6F073286FF50A"/>
  </w:style>
  <w:style w:type="paragraph" w:customStyle="1" w:styleId="854B6820313B42C3A74ABA772DC05EDE">
    <w:name w:val="854B6820313B42C3A74ABA772DC05EDE"/>
  </w:style>
  <w:style w:type="paragraph" w:customStyle="1" w:styleId="83592C9514A24FA7A9E11A5CCCC8A2D1">
    <w:name w:val="83592C9514A24FA7A9E11A5CCCC8A2D1"/>
  </w:style>
  <w:style w:type="paragraph" w:customStyle="1" w:styleId="AFC8E1108A7D4CC4BE33824DA201491E">
    <w:name w:val="AFC8E1108A7D4CC4BE33824DA201491E"/>
  </w:style>
  <w:style w:type="paragraph" w:customStyle="1" w:styleId="28BDD41B78C54A78B40B2D15AB182ABC">
    <w:name w:val="28BDD41B78C54A78B40B2D15AB182ABC"/>
  </w:style>
  <w:style w:type="paragraph" w:customStyle="1" w:styleId="A47B5A47F354449E9C694991CA8212E6">
    <w:name w:val="A47B5A47F354449E9C694991CA8212E6"/>
  </w:style>
  <w:style w:type="paragraph" w:customStyle="1" w:styleId="238846D11DDA4E0EA7F667F3E3972335">
    <w:name w:val="238846D11DDA4E0EA7F667F3E3972335"/>
  </w:style>
  <w:style w:type="paragraph" w:customStyle="1" w:styleId="E416300081B84927B399B37F9CAC08EA">
    <w:name w:val="E416300081B84927B399B37F9CAC08EA"/>
  </w:style>
  <w:style w:type="paragraph" w:customStyle="1" w:styleId="A759644F52D44D38AF73F9A01DBE1047">
    <w:name w:val="A759644F52D44D38AF73F9A01DBE1047"/>
  </w:style>
  <w:style w:type="paragraph" w:customStyle="1" w:styleId="FA17465D50E14D56968829E37D44DE47">
    <w:name w:val="FA17465D50E14D56968829E37D44DE47"/>
  </w:style>
  <w:style w:type="paragraph" w:customStyle="1" w:styleId="16B5D1A5DF6045DEB6991738E0BE18C3">
    <w:name w:val="16B5D1A5DF6045DEB6991738E0BE18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w:rsidRDefault="00A875E6"&gt;&lt;w:r&gt;&lt;w:t&gt;Christian Ethics and the Sexual Orientation Dilemma&lt;/w:t&gt;&lt;/w:r&gt;&lt;/w:p&gt;&lt;w:sectPr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 w:type="table" w:styleId="GridTable2-Accent1"&gt;&lt;w:name w:val="Grid Table 2 Accent 1"/&gt;&lt;w:basedOn w:val="TableNormal"/&gt;&lt;w:uiPriority w:val="47"/&gt;&lt;w:rsid w:val="008A78F1"/&gt;&lt;w:pPr&gt;&lt;w:spacing w:line="240" w:lineRule="auto"/&gt;&lt;/w:pPr&gt;&lt;w:tblPr&gt;&lt;w:tblStyleRowBandSize w:val="1"/&gt;&lt;w:tblStyleColBandSize w:val="1"/&gt;&lt;w:tblBorders&gt;&lt;w:top w:val="single" w:sz="2" w:space="0" w:color="EAEAEA" w:themeColor="accent1" w:themeTint="99"/&gt;&lt;w:bottom w:val="single" w:sz="2" w:space="0" w:color="EAEAEA" w:themeColor="accent1" w:themeTint="99"/&gt;&lt;w:insideH w:val="single" w:sz="2" w:space="0" w:color="EAEAEA" w:themeColor="accent1" w:themeTint="99"/&gt;&lt;w:insideV w:val="single" w:sz="2" w:space="0" w:color="EAEAEA" w:themeColor="accent1" w:themeTint="99"/&gt;&lt;/w:tblBorders&gt;&lt;w:tblCellMar&gt;&lt;w:left w:w="0" w:type="dxa"/&gt;&lt;w:right w:w="0" w:type="dxa"/&gt;&lt;/w:tblCellMar&gt;&lt;/w:tblPr&gt;&lt;w:tblStylePr w:type="firstRow"&gt;&lt;w:rPr&gt;&lt;w:b w:val="0"/&gt;&lt;w:bCs/&gt;&lt;w:i w:val="0"/&gt;&lt;/w:rPr&gt;&lt;w:tblPr/&gt;&lt;w:tcPr&gt;&lt;w:tcBorders&gt;&lt;w:top w:val="nil"/&gt;&lt;w:left w:val="nil"/&gt;&lt;w:bottom w:val="nil"/&gt;&lt;w:right w:val="nil"/&gt;&lt;w:insideH w:val="nil"/&gt;&lt;w:insideV w:val="nil"/&gt;&lt;w:tl2br w:val="nil"/&gt;&lt;w:tr2bl w:val="nil"/&gt;&lt;/w:tcBorders&gt;&lt;w:shd w:val="clear" w:color="auto" w:fill="FFFFFF" w:themeFill="background1"/&gt;&lt;/w:tcPr&gt;&lt;/w:tblStylePr&gt;&lt;w:tblStylePr w:type="lastRow"&gt;&lt;w:rPr&gt;&lt;w:b/&gt;&lt;w:bCs/&gt;&lt;/w:rPr&gt;&lt;w:tblPr/&gt;&lt;w:tcPr&gt;&lt;w:tcBorders&gt;&lt;w:top w:val="double" w:sz="2" w:space="0" w:color="EAEAEA" w:themeColor="accent1" w:themeTint="99"/&gt;&lt;w:bottom w:val="nil"/&gt;&lt;w:insideH w:val="nil"/&gt;&lt;w:insideV w:val="nil"/&gt;&lt;/w:tcBorders&gt;&lt;w:shd w:val="clear" w:color="auto" w:fill="FFFFFF" w:themeFill="background1"/&gt;&lt;/w:tcPr&gt;&lt;/w:tblStylePr&gt;&lt;w:tblStylePr w:type="firstCol"&gt;&lt;w:rPr&gt;&lt;w:b/&gt;&lt;w:bCs/&gt;&lt;/w:rPr&gt;&lt;/w:tblStylePr&gt;&lt;w:tblStylePr w:type="lastCol"&gt;&lt;w:rPr&gt;&lt;w:b/&gt;&lt;w:bCs/&gt;&lt;/w:rPr&gt;&lt;/w:tblStylePr&gt;&lt;w:tblStylePr w:type="band1Vert"&gt;&lt;w:tblPr/&gt;&lt;w:tcPr&gt;&lt;w:shd w:val="clear" w:color="auto" w:fill="F8F8F8" w:themeFill="accent1" w:themeFillTint="33"/&gt;&lt;/w:tcPr&gt;&lt;/w:tblStylePr&gt;&lt;w:tblStylePr w:type="band1Horz"&gt;&lt;w:tblPr/&gt;&lt;w:tcPr&gt;&lt;w:shd w:val="clear" w:color="auto" w:fill="F8F8F8" w:themeFill="accent1" w:themeFillTint="33"/&gt;&lt;/w:tcPr&gt;&lt;/w:tblStylePr&gt;&lt;/w:style&gt;&lt;/w:styles&gt;&lt;/pkg:xmlData&gt;&lt;/pkg:part&gt;&lt;/pkg:package&gt;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70B550C8-91FE-4185-9856-3055CA7CC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201</TotalTime>
  <Pages>6</Pages>
  <Words>1775</Words>
  <Characters>10120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dcterms:created xsi:type="dcterms:W3CDTF">2022-01-07T12:17:00Z</dcterms:created>
  <dcterms:modified xsi:type="dcterms:W3CDTF">2022-01-18T10:45:00Z</dcterms:modified>
</cp:coreProperties>
</file>