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86CC679" w14:textId="32003FED" w:rsidR="004D6B86" w:rsidRDefault="005E0465">
      <w:pPr>
        <w:pStyle w:val="Title"/>
      </w:pPr>
      <w:r w:rsidRPr="005218E6">
        <w:t>Christian Ethics and the Sexual Orientation Dilemma in Contemporary Society</w:t>
      </w:r>
    </w:p>
    <w:p w14:paraId="1006E800" w14:textId="156FD366" w:rsidR="004D6B86" w:rsidRDefault="001A61BA">
      <w:pPr>
        <w:pStyle w:val="Title2"/>
      </w:pPr>
      <w:proofErr w:type="spellStart"/>
      <w:r>
        <w:t>Akinboade</w:t>
      </w:r>
      <w:proofErr w:type="spellEnd"/>
      <w:r>
        <w:t xml:space="preserve"> </w:t>
      </w:r>
      <w:proofErr w:type="spellStart"/>
      <w:r>
        <w:t>Busayo</w:t>
      </w:r>
      <w:proofErr w:type="spellEnd"/>
      <w:r>
        <w:t xml:space="preserve"> </w:t>
      </w:r>
      <w:proofErr w:type="spellStart"/>
      <w:r>
        <w:t>Ifeoluwa</w:t>
      </w:r>
      <w:proofErr w:type="spellEnd"/>
      <w:r>
        <w:t xml:space="preserve"> </w:t>
      </w:r>
    </w:p>
    <w:p w14:paraId="73FF0BE2" w14:textId="36007709" w:rsidR="004D6B86" w:rsidRDefault="001A61BA" w:rsidP="001A61BA">
      <w:pPr>
        <w:pStyle w:val="Title2"/>
      </w:pPr>
      <w:r>
        <w:t>AUPG/18/0772 / MPH – GES 801</w:t>
      </w:r>
    </w:p>
    <w:p w14:paraId="2F3DB903" w14:textId="77777777" w:rsidR="001A61BA" w:rsidRDefault="001A61BA">
      <w:pPr>
        <w:pStyle w:val="Title2"/>
      </w:pPr>
    </w:p>
    <w:p w14:paraId="5ACBF52A" w14:textId="5D806B54" w:rsidR="004D6B86" w:rsidRDefault="004D6B86"/>
    <w:p w14:paraId="5D892C80" w14:textId="068738E1" w:rsidR="006D7EE9" w:rsidRPr="00D847FD" w:rsidRDefault="00DC0EA1" w:rsidP="00D847FD">
      <w:pPr>
        <w:pStyle w:val="SectionTitle"/>
        <w:spacing w:before="120" w:after="100" w:afterAutospacing="1" w:line="360" w:lineRule="auto"/>
        <w:rPr>
          <w:rFonts w:asciiTheme="minorHAnsi" w:hAnsiTheme="minorHAnsi" w:cstheme="minorHAnsi"/>
        </w:rPr>
      </w:pPr>
      <w:r w:rsidRPr="00D847FD">
        <w:rPr>
          <w:rFonts w:asciiTheme="minorHAnsi" w:hAnsiTheme="minorHAnsi" w:cstheme="minorHAnsi"/>
        </w:rPr>
        <w:lastRenderedPageBreak/>
        <w:t>Christian Ethics and the Sexual Orientation Dilemma in Contemporary Society</w:t>
      </w:r>
    </w:p>
    <w:p w14:paraId="43060563" w14:textId="1964434A" w:rsidR="004D6B86" w:rsidRPr="00D847FD" w:rsidRDefault="00F832EE" w:rsidP="00D847FD">
      <w:pPr>
        <w:spacing w:before="120" w:after="100" w:afterAutospacing="1" w:line="360" w:lineRule="auto"/>
        <w:jc w:val="both"/>
        <w:rPr>
          <w:rFonts w:cstheme="minorHAnsi"/>
        </w:rPr>
      </w:pPr>
      <w:r w:rsidRPr="00F832EE">
        <w:rPr>
          <w:rFonts w:cstheme="minorHAnsi"/>
        </w:rPr>
        <w:t>Sexual orientation is a concept that has been around for a long time. Various indicators in the Bible point to this truth. However, the issue that has been escalating in modern society is how the church is torn between accepting and accommodating some members of this community or expelling them after they have been uncovered. While some churches have already begun to embrace these various sexualities to the point where some of their priests are permitted to be homosexuals, others stand in direct opposition to this development as it conflicts with the ethics of Christianity, thus creating an ethical dilemma for the church.</w:t>
      </w:r>
    </w:p>
    <w:p w14:paraId="3013BD5D" w14:textId="3D0775AD" w:rsidR="00D847FD" w:rsidRDefault="00B01732" w:rsidP="00D847FD">
      <w:pPr>
        <w:spacing w:before="120" w:after="100" w:afterAutospacing="1" w:line="360" w:lineRule="auto"/>
        <w:jc w:val="both"/>
        <w:rPr>
          <w:rFonts w:cstheme="minorHAnsi"/>
        </w:rPr>
      </w:pPr>
      <w:r w:rsidRPr="00D847FD">
        <w:rPr>
          <w:rFonts w:cstheme="minorHAnsi"/>
        </w:rPr>
        <w:t xml:space="preserve">According to </w:t>
      </w:r>
      <w:proofErr w:type="spellStart"/>
      <w:r w:rsidRPr="00D847FD">
        <w:rPr>
          <w:rFonts w:cstheme="minorHAnsi"/>
        </w:rPr>
        <w:t>Nilson</w:t>
      </w:r>
      <w:proofErr w:type="spellEnd"/>
      <w:r w:rsidRPr="00D847FD">
        <w:rPr>
          <w:rFonts w:cstheme="minorHAnsi"/>
        </w:rPr>
        <w:t xml:space="preserve"> [</w:t>
      </w:r>
      <w:r w:rsidRPr="00C12F10">
        <w:rPr>
          <w:rStyle w:val="FootnoteReference"/>
          <w:rFonts w:cstheme="minorHAnsi"/>
          <w:vertAlign w:val="baseline"/>
        </w:rPr>
        <w:footnoteReference w:id="1"/>
      </w:r>
      <w:r w:rsidRPr="00D847FD">
        <w:rPr>
          <w:rFonts w:cstheme="minorHAnsi"/>
        </w:rPr>
        <w:t xml:space="preserve">], </w:t>
      </w:r>
      <w:r w:rsidR="00F832EE" w:rsidRPr="00F832EE">
        <w:rPr>
          <w:rFonts w:cstheme="minorHAnsi"/>
        </w:rPr>
        <w:t>society sees the church as a source of inspiration, transformation, and an institution that directs people to God. For a long time, society has looked to the church for answers to questions deemed particularly essential to Christian ethics, the sacred code of conduct. However, as a result of society's modernism, things look to be getting out of hand. There have been questions raised concerning the church's ability to respond to present situations that are not consistent with what society views to be Christian ethics. Contemporary civilization has caused perplexity and concern for Christians who hold traditional Christian views, yet it provides a secure haven for those who advocate it. One of the contemporary issues is the dynamics of sexual orientation</w:t>
      </w:r>
      <w:r w:rsidR="00977724" w:rsidRPr="00D847FD">
        <w:rPr>
          <w:rFonts w:cstheme="minorHAnsi"/>
        </w:rPr>
        <w:t xml:space="preserve"> [</w:t>
      </w:r>
      <w:r w:rsidR="003268D3" w:rsidRPr="00C12F10">
        <w:rPr>
          <w:rStyle w:val="FootnoteReference"/>
          <w:rFonts w:cstheme="minorHAnsi"/>
          <w:vertAlign w:val="baseline"/>
        </w:rPr>
        <w:footnoteReference w:id="2"/>
      </w:r>
      <w:r w:rsidR="003268D3" w:rsidRPr="00D847FD">
        <w:rPr>
          <w:rFonts w:cstheme="minorHAnsi"/>
        </w:rPr>
        <w:t>]</w:t>
      </w:r>
      <w:r w:rsidR="00977724" w:rsidRPr="00D847FD">
        <w:rPr>
          <w:rFonts w:cstheme="minorHAnsi"/>
        </w:rPr>
        <w:t>.</w:t>
      </w:r>
    </w:p>
    <w:p w14:paraId="55101D5C" w14:textId="5836E342" w:rsidR="00D847FD" w:rsidRDefault="00F832EE" w:rsidP="00D847FD">
      <w:pPr>
        <w:spacing w:before="120" w:after="100" w:afterAutospacing="1" w:line="360" w:lineRule="auto"/>
        <w:jc w:val="both"/>
        <w:rPr>
          <w:rFonts w:cstheme="minorHAnsi"/>
        </w:rPr>
      </w:pPr>
      <w:r w:rsidRPr="00F832EE">
        <w:rPr>
          <w:rFonts w:cstheme="minorHAnsi"/>
        </w:rPr>
        <w:t xml:space="preserve">Sexuality is a broad and sometimes complex concept that varies depending on one's point of view. Sexual orientation in the sense of this essay includes all members of the LGBTQIA community and all other unrecognized orientations. For a long time, Christians have held the view that sexuality is a gift from God and thus sacred. Furthermore, because sexuality has always been considered a component of procreation, it has been limited to the marriage triangle. It was believed that all relationships were to be heterosexual. The Bible usually presents a difficulty where human beings do not operate under God's purpose for sexuality from the beginning. For example, in the </w:t>
      </w:r>
      <w:r w:rsidRPr="00F832EE">
        <w:rPr>
          <w:rFonts w:cstheme="minorHAnsi"/>
        </w:rPr>
        <w:lastRenderedPageBreak/>
        <w:t>instance of Sodom and Gomorrah, where the topic of homosexuality or various sexual orientations was addressed in the Old Testament. A part that has acquired traction in modern society.</w:t>
      </w:r>
    </w:p>
    <w:p w14:paraId="4F43452A" w14:textId="4FD8F508" w:rsidR="00977724" w:rsidRPr="00D847FD" w:rsidRDefault="00F832EE" w:rsidP="004F00C1">
      <w:pPr>
        <w:spacing w:before="120" w:after="100" w:afterAutospacing="1" w:line="360" w:lineRule="auto"/>
        <w:jc w:val="both"/>
        <w:rPr>
          <w:rFonts w:cstheme="minorHAnsi"/>
        </w:rPr>
      </w:pPr>
      <w:r w:rsidRPr="00F832EE">
        <w:rPr>
          <w:rFonts w:cstheme="minorHAnsi"/>
        </w:rPr>
        <w:t>Christians have been opposed on how to respond to sexual orientation, with conservative (opposing) and liberal (affirmative) extremes fighting for dominance. The conservative reaction, based on the view that homosexual orientation is wrong according to Biblical standards, tends to overtly reject homosexual people, risking future relationship building and evangelistic prospects, and frequently engendering spiritual hubris or hypocrisy. A liberal response, on the other hand, which is based on the belief that homosexuality is not sinful according to Biblical principles, supports the individual's choices, risking a compromise of historically held sin beliefs, accusations of succumbing to societal pressures, and future spiritual/personal growth.</w:t>
      </w:r>
      <w:r w:rsidR="004F00C1">
        <w:rPr>
          <w:rFonts w:cstheme="minorHAnsi"/>
        </w:rPr>
        <w:t xml:space="preserve"> </w:t>
      </w:r>
      <w:r w:rsidR="009112A2" w:rsidRPr="00D847FD">
        <w:rPr>
          <w:rFonts w:cstheme="minorHAnsi"/>
        </w:rPr>
        <w:t>With the title "Rights of gays," their goal is infiltrating the church at a rapid pace, to the point where it is disturbing. [</w:t>
      </w:r>
      <w:r w:rsidR="003268D3" w:rsidRPr="00C12F10">
        <w:rPr>
          <w:rStyle w:val="FootnoteReference"/>
          <w:rFonts w:cstheme="minorHAnsi"/>
          <w:vertAlign w:val="baseline"/>
        </w:rPr>
        <w:footnoteReference w:id="3"/>
      </w:r>
      <w:r w:rsidR="009112A2" w:rsidRPr="00D847FD">
        <w:rPr>
          <w:rFonts w:cstheme="minorHAnsi"/>
        </w:rPr>
        <w:t xml:space="preserve">]. In today's world, the church has taken a strong stance on sexuality issues. Even churches that remain opposed to homosexuality have seen splinter groups arise. As multiple schools of thought, biblical interpretations, and societal attitudes mix with traditional religious beliefs, resulting in a multiplicity of opinions on various matters, Christianity is becoming increasingly complicated. As a result of this context, the case of sexual orientation has become a </w:t>
      </w:r>
      <w:r w:rsidR="008C5222" w:rsidRPr="00D847FD">
        <w:rPr>
          <w:rFonts w:cstheme="minorHAnsi"/>
        </w:rPr>
        <w:t xml:space="preserve">heated </w:t>
      </w:r>
      <w:r w:rsidR="009112A2" w:rsidRPr="00D847FD">
        <w:rPr>
          <w:rFonts w:cstheme="minorHAnsi"/>
        </w:rPr>
        <w:t xml:space="preserve">topic of </w:t>
      </w:r>
      <w:r w:rsidR="008C5222" w:rsidRPr="00D847FD">
        <w:rPr>
          <w:rFonts w:cstheme="minorHAnsi"/>
        </w:rPr>
        <w:t>debate</w:t>
      </w:r>
      <w:r w:rsidR="009112A2" w:rsidRPr="00D847FD">
        <w:rPr>
          <w:rFonts w:cstheme="minorHAnsi"/>
        </w:rPr>
        <w:t xml:space="preserve"> in the church</w:t>
      </w:r>
      <w:r w:rsidR="008C5222" w:rsidRPr="00D847FD">
        <w:rPr>
          <w:rFonts w:cstheme="minorHAnsi"/>
        </w:rPr>
        <w:t xml:space="preserve"> due to the dilemma it presents: accept other sexual orientations at the expense of Christian ethics, or shun them and go against the principle of love and unity that the church stands for.</w:t>
      </w:r>
    </w:p>
    <w:p w14:paraId="6C849E21" w14:textId="77777777" w:rsidR="00731FB5" w:rsidRPr="000D5B5F" w:rsidRDefault="00731FB5" w:rsidP="00D847FD">
      <w:pPr>
        <w:spacing w:before="120" w:after="100" w:afterAutospacing="1" w:line="360" w:lineRule="auto"/>
        <w:ind w:firstLine="0"/>
        <w:rPr>
          <w:rFonts w:cstheme="minorHAnsi"/>
          <w:b/>
          <w:bCs/>
          <w:i/>
          <w:iCs/>
        </w:rPr>
      </w:pPr>
      <w:r w:rsidRPr="000D5B5F">
        <w:rPr>
          <w:rFonts w:cstheme="minorHAnsi"/>
          <w:b/>
          <w:bCs/>
          <w:i/>
          <w:iCs/>
        </w:rPr>
        <w:t>Christian Ethics and the Sexual Orientation</w:t>
      </w:r>
      <w:r w:rsidR="00473E82" w:rsidRPr="000D5B5F">
        <w:rPr>
          <w:rFonts w:cstheme="minorHAnsi"/>
          <w:b/>
          <w:bCs/>
          <w:i/>
          <w:iCs/>
        </w:rPr>
        <w:t xml:space="preserve"> Dilemma</w:t>
      </w:r>
    </w:p>
    <w:p w14:paraId="05A76E21" w14:textId="6BF44E43" w:rsidR="009112A2" w:rsidRPr="00D847FD" w:rsidRDefault="0078203C" w:rsidP="00D847FD">
      <w:pPr>
        <w:spacing w:before="120" w:after="100" w:afterAutospacing="1" w:line="360" w:lineRule="auto"/>
        <w:jc w:val="both"/>
        <w:rPr>
          <w:rFonts w:cstheme="minorHAnsi"/>
        </w:rPr>
      </w:pPr>
      <w:r w:rsidRPr="00D847FD">
        <w:rPr>
          <w:rFonts w:cstheme="minorHAnsi"/>
        </w:rPr>
        <w:t xml:space="preserve">One of the issues that proponents of </w:t>
      </w:r>
      <w:r w:rsidR="00D17916" w:rsidRPr="00D847FD">
        <w:rPr>
          <w:rFonts w:cstheme="minorHAnsi"/>
        </w:rPr>
        <w:t>the LGBT</w:t>
      </w:r>
      <w:r w:rsidRPr="00D847FD">
        <w:rPr>
          <w:rFonts w:cstheme="minorHAnsi"/>
        </w:rPr>
        <w:t xml:space="preserve"> are utilizing to push their goal in the church is the use of biblical viewpoint</w:t>
      </w:r>
      <w:r w:rsidR="00D17916" w:rsidRPr="00D847FD">
        <w:rPr>
          <w:rFonts w:cstheme="minorHAnsi"/>
        </w:rPr>
        <w:t>s</w:t>
      </w:r>
      <w:r w:rsidRPr="00D847FD">
        <w:rPr>
          <w:rFonts w:cstheme="minorHAnsi"/>
        </w:rPr>
        <w:t>. Several faiths have emerged that defend their existence on the basis of biblical interpretation, depending on how the bible is interpreted. This exemplifies how the Bible has been used to advance personal agendas on occasion. In a similar spirit, the LGBT community is requesting that the Bible be reinterpreted to include them</w:t>
      </w:r>
      <w:r w:rsidR="00D17916" w:rsidRPr="00D847FD">
        <w:rPr>
          <w:rFonts w:cstheme="minorHAnsi"/>
        </w:rPr>
        <w:t xml:space="preserve"> </w:t>
      </w:r>
      <w:r w:rsidRPr="00D847FD">
        <w:rPr>
          <w:rFonts w:cstheme="minorHAnsi"/>
        </w:rPr>
        <w:t>[</w:t>
      </w:r>
      <w:r w:rsidR="003268D3" w:rsidRPr="00C12F10">
        <w:rPr>
          <w:rStyle w:val="FootnoteReference"/>
          <w:rFonts w:cstheme="minorHAnsi"/>
          <w:vertAlign w:val="baseline"/>
        </w:rPr>
        <w:footnoteReference w:id="4"/>
      </w:r>
      <w:r w:rsidRPr="00D847FD">
        <w:rPr>
          <w:rFonts w:cstheme="minorHAnsi"/>
        </w:rPr>
        <w:t>].</w:t>
      </w:r>
      <w:r w:rsidR="00473E82" w:rsidRPr="00D847FD">
        <w:rPr>
          <w:rFonts w:cstheme="minorHAnsi"/>
        </w:rPr>
        <w:t xml:space="preserve"> </w:t>
      </w:r>
    </w:p>
    <w:p w14:paraId="2D5112C8" w14:textId="00D46BCA" w:rsidR="0078203C" w:rsidRPr="00D847FD" w:rsidRDefault="00735E52" w:rsidP="00D847FD">
      <w:pPr>
        <w:spacing w:before="120" w:after="100" w:afterAutospacing="1" w:line="360" w:lineRule="auto"/>
        <w:jc w:val="both"/>
        <w:rPr>
          <w:rFonts w:cstheme="minorHAnsi"/>
        </w:rPr>
      </w:pPr>
      <w:r w:rsidRPr="00D847FD">
        <w:rPr>
          <w:rFonts w:cstheme="minorHAnsi"/>
        </w:rPr>
        <w:lastRenderedPageBreak/>
        <w:t>The first method employed by LGBT activists is based on the biblical claim that no one is righteous, that we have all sinned and fallen short of God's glory (Romans 3:23), and that we all live on God's grace. In that case, we</w:t>
      </w:r>
      <w:r w:rsidR="00D17916" w:rsidRPr="00D847FD">
        <w:rPr>
          <w:rFonts w:cstheme="minorHAnsi"/>
        </w:rPr>
        <w:t xml:space="preserve"> </w:t>
      </w:r>
      <w:r w:rsidRPr="00D847FD">
        <w:rPr>
          <w:rFonts w:cstheme="minorHAnsi"/>
        </w:rPr>
        <w:t>agree that we live in such a way that sin has access to our lives. This gives LGBT proponents a framework to argue and justify that, because we</w:t>
      </w:r>
      <w:r w:rsidR="00D17916" w:rsidRPr="00D847FD">
        <w:rPr>
          <w:rFonts w:cstheme="minorHAnsi"/>
        </w:rPr>
        <w:t xml:space="preserve"> hav</w:t>
      </w:r>
      <w:r w:rsidRPr="00D847FD">
        <w:rPr>
          <w:rFonts w:cstheme="minorHAnsi"/>
        </w:rPr>
        <w:t>e all sinned, regardless of the sin, we can all repent and go on with our lives</w:t>
      </w:r>
      <w:r w:rsidR="00D17916" w:rsidRPr="00D847FD">
        <w:rPr>
          <w:rFonts w:cstheme="minorHAnsi"/>
        </w:rPr>
        <w:t xml:space="preserve"> [</w:t>
      </w:r>
      <w:r w:rsidR="00D17916" w:rsidRPr="00C12F10">
        <w:rPr>
          <w:rStyle w:val="FootnoteReference"/>
          <w:rFonts w:cstheme="minorHAnsi"/>
          <w:vertAlign w:val="baseline"/>
        </w:rPr>
        <w:footnoteReference w:id="5"/>
      </w:r>
      <w:r w:rsidR="00D17916" w:rsidRPr="00D847FD">
        <w:rPr>
          <w:rFonts w:cstheme="minorHAnsi"/>
        </w:rPr>
        <w:t>]</w:t>
      </w:r>
      <w:r w:rsidRPr="00D847FD">
        <w:rPr>
          <w:rFonts w:cstheme="minorHAnsi"/>
        </w:rPr>
        <w:t>. This is important in reaching a conclusion that allows for either a compromise or a state of refusal by the church.</w:t>
      </w:r>
    </w:p>
    <w:p w14:paraId="2BFFAF54" w14:textId="713DAA42" w:rsidR="00977724" w:rsidRPr="00D847FD" w:rsidRDefault="00F832EE" w:rsidP="00D847FD">
      <w:pPr>
        <w:spacing w:before="120" w:after="100" w:afterAutospacing="1" w:line="360" w:lineRule="auto"/>
        <w:jc w:val="both"/>
        <w:rPr>
          <w:rFonts w:cstheme="minorHAnsi"/>
        </w:rPr>
      </w:pPr>
      <w:r w:rsidRPr="00F832EE">
        <w:rPr>
          <w:rFonts w:cstheme="minorHAnsi"/>
        </w:rPr>
        <w:t>In a similar vein, the fact that the Bible calls us to unite despite our differences provides fertile ground for the LGBT community within the church to advance its agenda. There are numerous texts in the Bible that emphasize the importance of believers' unity. Because their main concern is acceptance and accommodation in the church, the organization claims that excluding them violates biblical unity principles. Church leaders have moved fast to construct a framework that supports unity, based on the assumption that there are multiple conflicts in the church.</w:t>
      </w:r>
      <w:r w:rsidR="005D278A" w:rsidRPr="00D847FD">
        <w:rPr>
          <w:rFonts w:cstheme="minorHAnsi"/>
        </w:rPr>
        <w:t xml:space="preserve"> According to LGBT proponents</w:t>
      </w:r>
      <w:r w:rsidR="00D17916" w:rsidRPr="00D847FD">
        <w:rPr>
          <w:rFonts w:cstheme="minorHAnsi"/>
        </w:rPr>
        <w:t xml:space="preserve"> [</w:t>
      </w:r>
      <w:r w:rsidR="00D17916" w:rsidRPr="00F832EE">
        <w:rPr>
          <w:rStyle w:val="FootnoteReference"/>
          <w:rFonts w:cstheme="minorHAnsi"/>
          <w:vertAlign w:val="baseline"/>
        </w:rPr>
        <w:footnoteReference w:id="6"/>
      </w:r>
      <w:r w:rsidR="00D17916" w:rsidRPr="00D847FD">
        <w:rPr>
          <w:rFonts w:cstheme="minorHAnsi"/>
        </w:rPr>
        <w:t>]</w:t>
      </w:r>
      <w:r w:rsidR="005D278A" w:rsidRPr="00D847FD">
        <w:rPr>
          <w:rFonts w:cstheme="minorHAnsi"/>
        </w:rPr>
        <w:t>, the church should act promptly to recognize their innocence and bring them together with the rest of the congregation. The church</w:t>
      </w:r>
      <w:r w:rsidR="000D5B5F">
        <w:rPr>
          <w:rFonts w:cstheme="minorHAnsi"/>
        </w:rPr>
        <w:t>’s</w:t>
      </w:r>
      <w:r w:rsidR="005D278A" w:rsidRPr="00D847FD">
        <w:rPr>
          <w:rFonts w:cstheme="minorHAnsi"/>
        </w:rPr>
        <w:t xml:space="preserve"> leadership has been accused of focusing on other topics while isolating homosexuality-related issues the majority of the time. The complexity of homosexuality has made it hard for the church to bring everyone together, and even those who may accept the idea are dying quietly alongside it.</w:t>
      </w:r>
    </w:p>
    <w:p w14:paraId="60D23F3A" w14:textId="45432FA5" w:rsidR="00C9453E" w:rsidRPr="00D847FD" w:rsidRDefault="00F85F30" w:rsidP="00D847FD">
      <w:pPr>
        <w:spacing w:before="120" w:after="100" w:afterAutospacing="1" w:line="360" w:lineRule="auto"/>
        <w:jc w:val="both"/>
        <w:rPr>
          <w:rFonts w:cstheme="minorHAnsi"/>
        </w:rPr>
      </w:pPr>
      <w:r w:rsidRPr="00D847FD">
        <w:rPr>
          <w:rFonts w:cstheme="minorHAnsi"/>
        </w:rPr>
        <w:t xml:space="preserve">For a long time, the fact that the </w:t>
      </w:r>
      <w:r w:rsidR="000D5B5F">
        <w:rPr>
          <w:rFonts w:cstheme="minorHAnsi"/>
        </w:rPr>
        <w:t>B</w:t>
      </w:r>
      <w:r w:rsidRPr="00D847FD">
        <w:rPr>
          <w:rFonts w:cstheme="minorHAnsi"/>
        </w:rPr>
        <w:t xml:space="preserve">ible was written by human authors and so contains various faults has been a topic of debate and, according to some, reformation in Christianity. These kinds of speculations and arguments have aided proponents of the LGBT community’s acceptance in the church. They claim that because the </w:t>
      </w:r>
      <w:r w:rsidR="000D5B5F">
        <w:rPr>
          <w:rFonts w:cstheme="minorHAnsi"/>
        </w:rPr>
        <w:t>B</w:t>
      </w:r>
      <w:r w:rsidRPr="00D847FD">
        <w:rPr>
          <w:rFonts w:cstheme="minorHAnsi"/>
        </w:rPr>
        <w:t xml:space="preserve">ible includes so many inaccuracies, even portions that explicitly condemn them should be changed. Others believe that the people who wrote the </w:t>
      </w:r>
      <w:r w:rsidR="000D5B5F">
        <w:rPr>
          <w:rFonts w:cstheme="minorHAnsi"/>
        </w:rPr>
        <w:t>B</w:t>
      </w:r>
      <w:r w:rsidRPr="00D847FD">
        <w:rPr>
          <w:rFonts w:cstheme="minorHAnsi"/>
        </w:rPr>
        <w:t>ible did</w:t>
      </w:r>
      <w:r w:rsidR="00417BC0" w:rsidRPr="00D847FD">
        <w:rPr>
          <w:rFonts w:cstheme="minorHAnsi"/>
        </w:rPr>
        <w:t xml:space="preserve"> </w:t>
      </w:r>
      <w:r w:rsidRPr="00D847FD">
        <w:rPr>
          <w:rFonts w:cstheme="minorHAnsi"/>
        </w:rPr>
        <w:t>n</w:t>
      </w:r>
      <w:r w:rsidR="00417BC0" w:rsidRPr="00D847FD">
        <w:rPr>
          <w:rFonts w:cstheme="minorHAnsi"/>
        </w:rPr>
        <w:t>o</w:t>
      </w:r>
      <w:r w:rsidRPr="00D847FD">
        <w:rPr>
          <w:rFonts w:cstheme="minorHAnsi"/>
        </w:rPr>
        <w:t>t know how to express their concerns, as well as a failure to grasp that some things change through time.</w:t>
      </w:r>
      <w:r w:rsidR="00417BC0" w:rsidRPr="00D847FD">
        <w:rPr>
          <w:rFonts w:cstheme="minorHAnsi"/>
        </w:rPr>
        <w:t xml:space="preserve"> </w:t>
      </w:r>
      <w:r w:rsidRPr="00D847FD">
        <w:rPr>
          <w:rFonts w:cstheme="minorHAnsi"/>
        </w:rPr>
        <w:t xml:space="preserve">As a result, they argue that some verses were added to the Bible without taking into account the reality that people are born with different perspectives, but are all God's creation. They say that God loves everyone and makes no distinctions. This contrasts with the bible's use of harsh </w:t>
      </w:r>
      <w:r w:rsidRPr="00D847FD">
        <w:rPr>
          <w:rFonts w:cstheme="minorHAnsi"/>
        </w:rPr>
        <w:lastRenderedPageBreak/>
        <w:t xml:space="preserve">language toward specific groups of individuals who demonstrate various characteristics. In a similar line, some people wonder if the fact that the </w:t>
      </w:r>
      <w:r w:rsidR="000D5B5F">
        <w:rPr>
          <w:rFonts w:cstheme="minorHAnsi"/>
        </w:rPr>
        <w:t>B</w:t>
      </w:r>
      <w:r w:rsidRPr="00D847FD">
        <w:rPr>
          <w:rFonts w:cstheme="minorHAnsi"/>
        </w:rPr>
        <w:t>ible's history suggests that certain books should be included and others should be excluded proves that the bible is</w:t>
      </w:r>
      <w:r w:rsidR="00417BC0" w:rsidRPr="00D847FD">
        <w:rPr>
          <w:rFonts w:cstheme="minorHAnsi"/>
        </w:rPr>
        <w:t xml:space="preserve"> </w:t>
      </w:r>
      <w:r w:rsidRPr="00D847FD">
        <w:rPr>
          <w:rFonts w:cstheme="minorHAnsi"/>
        </w:rPr>
        <w:t>n</w:t>
      </w:r>
      <w:r w:rsidR="00417BC0" w:rsidRPr="00D847FD">
        <w:rPr>
          <w:rFonts w:cstheme="minorHAnsi"/>
        </w:rPr>
        <w:t>o</w:t>
      </w:r>
      <w:r w:rsidRPr="00D847FD">
        <w:rPr>
          <w:rFonts w:cstheme="minorHAnsi"/>
        </w:rPr>
        <w:t>t perfect</w:t>
      </w:r>
      <w:r w:rsidR="004176DA" w:rsidRPr="00D847FD">
        <w:rPr>
          <w:rFonts w:cstheme="minorHAnsi"/>
        </w:rPr>
        <w:t xml:space="preserve"> [</w:t>
      </w:r>
      <w:r w:rsidR="003268D3" w:rsidRPr="00F832EE">
        <w:rPr>
          <w:rStyle w:val="FootnoteReference"/>
          <w:rFonts w:cstheme="minorHAnsi"/>
          <w:vertAlign w:val="baseline"/>
        </w:rPr>
        <w:footnoteReference w:id="7"/>
      </w:r>
      <w:r w:rsidR="004176DA" w:rsidRPr="00D847FD">
        <w:rPr>
          <w:rFonts w:cstheme="minorHAnsi"/>
        </w:rPr>
        <w:t>].</w:t>
      </w:r>
      <w:r w:rsidR="00417BC0" w:rsidRPr="00D847FD">
        <w:rPr>
          <w:rFonts w:cstheme="minorHAnsi"/>
        </w:rPr>
        <w:t xml:space="preserve"> On the other hand, a</w:t>
      </w:r>
      <w:r w:rsidR="00C9453E" w:rsidRPr="00D847FD">
        <w:rPr>
          <w:rFonts w:cstheme="minorHAnsi"/>
        </w:rPr>
        <w:t>ccording to the debate that has validated Christians who oppose homosexuality, those who engage in sexual relations with a partner of the same sex, or who are bisexual, or who are drawn to animals, are led by lust and pervasiveness.</w:t>
      </w:r>
      <w:r w:rsidR="00014460" w:rsidRPr="00D847FD">
        <w:rPr>
          <w:rFonts w:cstheme="minorHAnsi"/>
        </w:rPr>
        <w:t xml:space="preserve"> </w:t>
      </w:r>
    </w:p>
    <w:p w14:paraId="29A461DE" w14:textId="7F1FE611" w:rsidR="00014460" w:rsidRPr="00D847FD" w:rsidRDefault="00014460" w:rsidP="00D847FD">
      <w:pPr>
        <w:spacing w:before="120" w:after="100" w:afterAutospacing="1" w:line="360" w:lineRule="auto"/>
        <w:jc w:val="both"/>
        <w:rPr>
          <w:rFonts w:cstheme="minorHAnsi"/>
        </w:rPr>
      </w:pPr>
      <w:r w:rsidRPr="00D847FD">
        <w:rPr>
          <w:rFonts w:cstheme="minorHAnsi"/>
        </w:rPr>
        <w:t>When it comes to articulating how an intersex person should be treated and the type of relationship they should have, Christians are at a loss. As a result, the homosexual community now has a voice, stating that God created everything beautiful for a reason and that He knows and loves everyone, no matter what humanity believes. Spiritual leaders have been approached for their opinions on such matters, but they have either stayed silent or are divided on their reactions to the dilemma [</w:t>
      </w:r>
      <w:r w:rsidR="003268D3" w:rsidRPr="00F832EE">
        <w:rPr>
          <w:rStyle w:val="FootnoteReference"/>
          <w:rFonts w:cstheme="minorHAnsi"/>
          <w:vertAlign w:val="baseline"/>
        </w:rPr>
        <w:footnoteReference w:id="8"/>
      </w:r>
      <w:r w:rsidRPr="00D847FD">
        <w:rPr>
          <w:rFonts w:cstheme="minorHAnsi"/>
        </w:rPr>
        <w:t>].</w:t>
      </w:r>
    </w:p>
    <w:p w14:paraId="6D36008D" w14:textId="1F8FBA84" w:rsidR="000305EB" w:rsidRPr="000D5B5F" w:rsidRDefault="000305EB" w:rsidP="00D847FD">
      <w:pPr>
        <w:spacing w:before="120" w:after="100" w:afterAutospacing="1" w:line="360" w:lineRule="auto"/>
        <w:ind w:firstLine="0"/>
        <w:rPr>
          <w:rFonts w:cstheme="minorHAnsi"/>
          <w:b/>
          <w:bCs/>
          <w:i/>
          <w:iCs/>
        </w:rPr>
      </w:pPr>
      <w:r w:rsidRPr="000D5B5F">
        <w:rPr>
          <w:rFonts w:cstheme="minorHAnsi"/>
          <w:b/>
          <w:bCs/>
          <w:i/>
          <w:iCs/>
        </w:rPr>
        <w:t xml:space="preserve">Contemporary </w:t>
      </w:r>
      <w:r w:rsidR="000D5B5F" w:rsidRPr="000D5B5F">
        <w:rPr>
          <w:rFonts w:cstheme="minorHAnsi"/>
          <w:b/>
          <w:bCs/>
          <w:i/>
          <w:iCs/>
        </w:rPr>
        <w:t>Perspectives</w:t>
      </w:r>
      <w:r w:rsidRPr="000D5B5F">
        <w:rPr>
          <w:rFonts w:cstheme="minorHAnsi"/>
          <w:b/>
          <w:bCs/>
          <w:i/>
          <w:iCs/>
        </w:rPr>
        <w:t xml:space="preserve"> to Resolving the Dilemma</w:t>
      </w:r>
    </w:p>
    <w:p w14:paraId="2CB83B28" w14:textId="27489841" w:rsidR="0063480F" w:rsidRPr="00D847FD" w:rsidRDefault="0063480F" w:rsidP="00D847FD">
      <w:pPr>
        <w:spacing w:before="120" w:after="100" w:afterAutospacing="1" w:line="360" w:lineRule="auto"/>
        <w:jc w:val="both"/>
        <w:rPr>
          <w:rFonts w:cstheme="minorHAnsi"/>
        </w:rPr>
      </w:pPr>
      <w:r w:rsidRPr="00D847FD">
        <w:rPr>
          <w:rFonts w:cstheme="minorHAnsi"/>
        </w:rPr>
        <w:t>In their book</w:t>
      </w:r>
      <w:r w:rsidR="00741F61" w:rsidRPr="00D847FD">
        <w:rPr>
          <w:rFonts w:cstheme="minorHAnsi"/>
        </w:rPr>
        <w:t xml:space="preserve">: </w:t>
      </w:r>
      <w:r w:rsidR="00741F61" w:rsidRPr="00D847FD">
        <w:rPr>
          <w:rFonts w:cstheme="minorHAnsi"/>
          <w:color w:val="4A4A4A"/>
        </w:rPr>
        <w:t> </w:t>
      </w:r>
      <w:hyperlink r:id="rId9" w:tgtFrame="_blank" w:history="1">
        <w:r w:rsidR="00741F61" w:rsidRPr="00D847FD">
          <w:rPr>
            <w:rStyle w:val="Hyperlink"/>
            <w:rFonts w:cstheme="minorHAnsi"/>
            <w:i/>
            <w:iCs/>
            <w:color w:val="auto"/>
            <w:u w:val="none"/>
          </w:rPr>
          <w:t>God and the Gay Christian</w:t>
        </w:r>
      </w:hyperlink>
      <w:r w:rsidRPr="00D847FD">
        <w:rPr>
          <w:rFonts w:cstheme="minorHAnsi"/>
          <w:color w:val="auto"/>
        </w:rPr>
        <w:t>, V</w:t>
      </w:r>
      <w:r w:rsidRPr="00D847FD">
        <w:rPr>
          <w:rFonts w:cstheme="minorHAnsi"/>
        </w:rPr>
        <w:t xml:space="preserve">ines and Wilson </w:t>
      </w:r>
      <w:r w:rsidR="00741F61" w:rsidRPr="00D847FD">
        <w:rPr>
          <w:rFonts w:cstheme="minorHAnsi"/>
        </w:rPr>
        <w:t>argue that</w:t>
      </w:r>
      <w:r w:rsidRPr="00D847FD">
        <w:rPr>
          <w:rFonts w:cstheme="minorHAnsi"/>
        </w:rPr>
        <w:t xml:space="preserve"> they do not believe </w:t>
      </w:r>
      <w:r w:rsidR="00741F61" w:rsidRPr="00D847FD">
        <w:rPr>
          <w:rFonts w:cstheme="minorHAnsi"/>
        </w:rPr>
        <w:t xml:space="preserve">that </w:t>
      </w:r>
      <w:r w:rsidRPr="00D847FD">
        <w:rPr>
          <w:rFonts w:cstheme="minorHAnsi"/>
        </w:rPr>
        <w:t>the Bible teaches that all same-sex relationships are bad. According to Vines</w:t>
      </w:r>
      <w:r w:rsidR="00741F61" w:rsidRPr="00D847FD">
        <w:rPr>
          <w:rFonts w:cstheme="minorHAnsi"/>
        </w:rPr>
        <w:t xml:space="preserve"> [</w:t>
      </w:r>
      <w:r w:rsidR="00741F61" w:rsidRPr="00C12F10">
        <w:rPr>
          <w:rStyle w:val="FootnoteReference"/>
          <w:rFonts w:cstheme="minorHAnsi"/>
          <w:vertAlign w:val="baseline"/>
        </w:rPr>
        <w:footnoteReference w:id="9"/>
      </w:r>
      <w:r w:rsidR="00741F61" w:rsidRPr="00C12F10">
        <w:rPr>
          <w:rFonts w:cstheme="minorHAnsi"/>
        </w:rPr>
        <w:t>]</w:t>
      </w:r>
      <w:r w:rsidRPr="00D847FD">
        <w:rPr>
          <w:rFonts w:cstheme="minorHAnsi"/>
        </w:rPr>
        <w:t>, while the Levitical rule prohibits homosexuality (Leviticus 18:22), it also prohibits eating shellfish (Leviticus 11:9-12). Yet, he adds, Christians no longer regard shellfish as wicked, so why can't the same be said of homosexuality? Vines opposes the New Testament idea that the sacrifice system and ritual purity were completed in Christ and are no longer binding, but that the moral rule of the Old Testament is</w:t>
      </w:r>
      <w:r w:rsidR="00741F61" w:rsidRPr="00D847FD">
        <w:rPr>
          <w:rFonts w:cstheme="minorHAnsi"/>
        </w:rPr>
        <w:t xml:space="preserve"> </w:t>
      </w:r>
      <w:r w:rsidRPr="00D847FD">
        <w:rPr>
          <w:rFonts w:cstheme="minorHAnsi"/>
        </w:rPr>
        <w:t>still in force. Even if the same book of the Bible tells us that certain of those Mosaic regulations - the ceremonial — are no longer binding on us, Hebrews 10:16 tells us that the Holy Spirit writes "God's laws" on Christians' hearts (so they are plainly still in effect). Since the period of the New Testament, all branches of the church have agreed on this viewpoint.</w:t>
      </w:r>
    </w:p>
    <w:p w14:paraId="6F011ECF" w14:textId="0EB8FF7B" w:rsidR="0063480F" w:rsidRPr="00D847FD" w:rsidRDefault="00741F61" w:rsidP="00D847FD">
      <w:pPr>
        <w:spacing w:before="120" w:after="100" w:afterAutospacing="1" w:line="360" w:lineRule="auto"/>
        <w:jc w:val="both"/>
        <w:rPr>
          <w:rFonts w:cstheme="minorHAnsi"/>
        </w:rPr>
      </w:pPr>
      <w:r w:rsidRPr="00D847FD">
        <w:rPr>
          <w:rFonts w:cstheme="minorHAnsi"/>
        </w:rPr>
        <w:lastRenderedPageBreak/>
        <w:t xml:space="preserve">In the book, </w:t>
      </w:r>
      <w:r w:rsidR="0063480F" w:rsidRPr="00D847FD">
        <w:rPr>
          <w:rFonts w:cstheme="minorHAnsi"/>
        </w:rPr>
        <w:t>Vines refuses to acknowledge this old distinction between ceremonial and moral law</w:t>
      </w:r>
      <w:r w:rsidR="000305EB" w:rsidRPr="00D847FD">
        <w:rPr>
          <w:rFonts w:cstheme="minorHAnsi"/>
        </w:rPr>
        <w:t>.</w:t>
      </w:r>
      <w:r w:rsidR="0063480F" w:rsidRPr="00D847FD">
        <w:rPr>
          <w:rFonts w:cstheme="minorHAnsi"/>
        </w:rPr>
        <w:t xml:space="preserve"> </w:t>
      </w:r>
      <w:r w:rsidR="000305EB" w:rsidRPr="00D847FD">
        <w:rPr>
          <w:rFonts w:cstheme="minorHAnsi"/>
        </w:rPr>
        <w:t>H</w:t>
      </w:r>
      <w:r w:rsidR="0063480F" w:rsidRPr="00D847FD">
        <w:rPr>
          <w:rFonts w:cstheme="minorHAnsi"/>
        </w:rPr>
        <w:t>e do</w:t>
      </w:r>
      <w:r w:rsidR="000305EB" w:rsidRPr="00D847FD">
        <w:rPr>
          <w:rFonts w:cstheme="minorHAnsi"/>
        </w:rPr>
        <w:t>es</w:t>
      </w:r>
      <w:r w:rsidR="0063480F" w:rsidRPr="00D847FD">
        <w:rPr>
          <w:rFonts w:cstheme="minorHAnsi"/>
        </w:rPr>
        <w:t xml:space="preserve"> far more than offer a different interpretation of the Old Testament; he fundamentally alter</w:t>
      </w:r>
      <w:r w:rsidR="000305EB" w:rsidRPr="00D847FD">
        <w:rPr>
          <w:rFonts w:cstheme="minorHAnsi"/>
        </w:rPr>
        <w:t>s</w:t>
      </w:r>
      <w:r w:rsidR="0063480F" w:rsidRPr="00D847FD">
        <w:rPr>
          <w:rFonts w:cstheme="minorHAnsi"/>
        </w:rPr>
        <w:t xml:space="preserve"> </w:t>
      </w:r>
      <w:r w:rsidR="000305EB" w:rsidRPr="00D847FD">
        <w:rPr>
          <w:rFonts w:cstheme="minorHAnsi"/>
        </w:rPr>
        <w:t>the</w:t>
      </w:r>
      <w:r w:rsidR="0063480F" w:rsidRPr="00D847FD">
        <w:rPr>
          <w:rFonts w:cstheme="minorHAnsi"/>
        </w:rPr>
        <w:t xml:space="preserve"> understanding of biblical authority. When he says, "Christians no longer regard eating shellfish as wrong," and then applies this to homosexuality, he is assuming that Christians, not the Bible, have the authority to decide which parts of the Bible are essentially out of date. This decisively shifts the ultimate power to define right and wrong away from the biblical text and toward the individual Christian.</w:t>
      </w:r>
    </w:p>
    <w:p w14:paraId="543C48CA" w14:textId="77777777" w:rsidR="000D5B5F" w:rsidRPr="000D5B5F" w:rsidRDefault="00166053" w:rsidP="000D5B5F">
      <w:pPr>
        <w:spacing w:before="120" w:after="100" w:afterAutospacing="1" w:line="360" w:lineRule="auto"/>
        <w:jc w:val="both"/>
        <w:rPr>
          <w:rFonts w:cstheme="minorHAnsi"/>
        </w:rPr>
      </w:pPr>
      <w:r w:rsidRPr="00D847FD">
        <w:rPr>
          <w:rFonts w:cstheme="minorHAnsi"/>
        </w:rPr>
        <w:t xml:space="preserve">The conventional perspective is that, while there are parts of the Bible that Christians no longer have to follow, if the Bible is our final authority, only the Bible can tell us what those parts are. Although the restrictions against homosexuality are re-stated in the New Testament (Romans 1, 1 Corinthians 6, 1 Timothy 1), Jesus and the rest of the New Testament teach us that the clean rules and ceremonial code are no longer in effect. In Wilson's </w:t>
      </w:r>
      <w:r w:rsidR="00C962DE" w:rsidRPr="00D847FD">
        <w:rPr>
          <w:rFonts w:cstheme="minorHAnsi"/>
        </w:rPr>
        <w:t>opinion [</w:t>
      </w:r>
      <w:r w:rsidR="00C962DE" w:rsidRPr="00F832EE">
        <w:rPr>
          <w:rStyle w:val="FootnoteReference"/>
          <w:rFonts w:cstheme="minorHAnsi"/>
          <w:vertAlign w:val="baseline"/>
        </w:rPr>
        <w:footnoteReference w:id="10"/>
      </w:r>
      <w:r w:rsidR="00C962DE" w:rsidRPr="00D847FD">
        <w:rPr>
          <w:rFonts w:cstheme="minorHAnsi"/>
        </w:rPr>
        <w:t>]</w:t>
      </w:r>
      <w:r w:rsidRPr="00D847FD">
        <w:rPr>
          <w:rFonts w:cstheme="minorHAnsi"/>
        </w:rPr>
        <w:t>, the prevalent argument</w:t>
      </w:r>
      <w:r w:rsidR="00C962DE" w:rsidRPr="00D847FD">
        <w:rPr>
          <w:rFonts w:cstheme="minorHAnsi"/>
        </w:rPr>
        <w:t xml:space="preserve"> is</w:t>
      </w:r>
      <w:r w:rsidRPr="00D847FD">
        <w:rPr>
          <w:rFonts w:cstheme="minorHAnsi"/>
        </w:rPr>
        <w:t xml:space="preserve"> that history is going toward greater individual freedom and equality, and that refusing to allow same-sex partnerships is a futile attempt to halt inevitable historical progress. </w:t>
      </w:r>
      <w:r w:rsidR="000D5B5F" w:rsidRPr="000D5B5F">
        <w:rPr>
          <w:rFonts w:cstheme="minorHAnsi"/>
        </w:rPr>
        <w:t>Wilson says that "complex dynamics" in history have shown Christians wrong regarding slavery, and that something similar is happening now with sexual orientations. He argues that the church should adapt to the changes in society because we are all made in the image of God, and love and unity come first.</w:t>
      </w:r>
    </w:p>
    <w:p w14:paraId="00442895" w14:textId="27C1462D" w:rsidR="00C962DE" w:rsidRPr="00D847FD" w:rsidRDefault="000D5B5F" w:rsidP="000D5B5F">
      <w:pPr>
        <w:spacing w:before="120" w:after="100" w:afterAutospacing="1" w:line="360" w:lineRule="auto"/>
        <w:jc w:val="both"/>
        <w:rPr>
          <w:rFonts w:cstheme="minorHAnsi"/>
        </w:rPr>
      </w:pPr>
      <w:r w:rsidRPr="000D5B5F">
        <w:rPr>
          <w:rFonts w:cstheme="minorHAnsi"/>
        </w:rPr>
        <w:t>While the issue of Christian ethics and sexual orientation remains a dilemma, most denominations are slowly adapting to allow various sexual orientations to find their place in the church. They insist that it is not their place to tell anyone to love or change them. They accept people just as Christ accepted them and are becoming more accommodating in accepting those who wish to join their fold, at the expense of the Christian code of sexual ethics.</w:t>
      </w:r>
    </w:p>
    <w:sectPr w:rsidR="00C962DE" w:rsidRPr="00D847FD" w:rsidSect="00AF4A92">
      <w:headerReference w:type="default" r:id="rId10"/>
      <w:headerReference w:type="first" r:id="rId11"/>
      <w:footnotePr>
        <w:pos w:val="beneathText"/>
      </w:footnotePr>
      <w:pgSz w:w="12240" w:h="15840"/>
      <w:pgMar w:top="1440" w:right="1440" w:bottom="1440" w:left="1440" w:header="720" w:footer="720" w:gutter="0"/>
      <w:pgNumType w:start="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ED78D9B" w14:textId="77777777" w:rsidR="00A14DC3" w:rsidRDefault="00A14DC3">
      <w:pPr>
        <w:spacing w:line="240" w:lineRule="auto"/>
      </w:pPr>
      <w:r>
        <w:separator/>
      </w:r>
    </w:p>
    <w:p w14:paraId="0E604F8C" w14:textId="77777777" w:rsidR="00A14DC3" w:rsidRDefault="00A14DC3"/>
  </w:endnote>
  <w:endnote w:type="continuationSeparator" w:id="0">
    <w:p w14:paraId="4E8D6A36" w14:textId="77777777" w:rsidR="00A14DC3" w:rsidRDefault="00A14DC3">
      <w:pPr>
        <w:spacing w:line="240" w:lineRule="auto"/>
      </w:pPr>
      <w:r>
        <w:continuationSeparator/>
      </w:r>
    </w:p>
    <w:p w14:paraId="223073D5" w14:textId="77777777" w:rsidR="00A14DC3" w:rsidRDefault="00A14DC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10022FF" w:usb1="C000E47F" w:usb2="00000029" w:usb3="00000000" w:csb0="000001D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FA4D877" w14:textId="77777777" w:rsidR="00A14DC3" w:rsidRDefault="00A14DC3">
      <w:pPr>
        <w:spacing w:line="240" w:lineRule="auto"/>
      </w:pPr>
      <w:r>
        <w:separator/>
      </w:r>
    </w:p>
    <w:p w14:paraId="721145B6" w14:textId="77777777" w:rsidR="00A14DC3" w:rsidRDefault="00A14DC3"/>
  </w:footnote>
  <w:footnote w:type="continuationSeparator" w:id="0">
    <w:p w14:paraId="3E11B15D" w14:textId="77777777" w:rsidR="00A14DC3" w:rsidRDefault="00A14DC3">
      <w:pPr>
        <w:spacing w:line="240" w:lineRule="auto"/>
      </w:pPr>
      <w:r>
        <w:continuationSeparator/>
      </w:r>
    </w:p>
    <w:p w14:paraId="47CE11C1" w14:textId="77777777" w:rsidR="00A14DC3" w:rsidRDefault="00A14DC3"/>
  </w:footnote>
  <w:footnote w:id="1">
    <w:p w14:paraId="15C99926" w14:textId="795A66C9" w:rsidR="00B01732" w:rsidRPr="008873A0" w:rsidRDefault="00B01732" w:rsidP="00C12F10">
      <w:pPr>
        <w:pStyle w:val="FootnoteText"/>
        <w:ind w:firstLine="0"/>
        <w:rPr>
          <w:rFonts w:cstheme="minorHAnsi"/>
          <w:color w:val="auto"/>
          <w:sz w:val="20"/>
        </w:rPr>
      </w:pPr>
      <w:r w:rsidRPr="008873A0">
        <w:rPr>
          <w:rStyle w:val="FootnoteReference"/>
          <w:rFonts w:cstheme="minorHAnsi"/>
          <w:color w:val="auto"/>
          <w:sz w:val="20"/>
        </w:rPr>
        <w:footnoteRef/>
      </w:r>
      <w:r w:rsidRPr="008873A0">
        <w:rPr>
          <w:rFonts w:cstheme="minorHAnsi"/>
          <w:color w:val="auto"/>
          <w:sz w:val="20"/>
        </w:rPr>
        <w:t xml:space="preserve"> Nilson, J. (2001). </w:t>
      </w:r>
      <w:r w:rsidRPr="008873A0">
        <w:rPr>
          <w:rFonts w:cstheme="minorHAnsi"/>
          <w:i/>
          <w:iCs/>
          <w:color w:val="auto"/>
          <w:sz w:val="20"/>
        </w:rPr>
        <w:t xml:space="preserve">The Church and homosexuality: </w:t>
      </w:r>
      <w:r w:rsidRPr="008873A0">
        <w:rPr>
          <w:rFonts w:cstheme="minorHAnsi"/>
          <w:color w:val="auto"/>
          <w:sz w:val="20"/>
        </w:rPr>
        <w:t>A Lonerganian approach. Collegeville, MN: The Liturgual Press</w:t>
      </w:r>
    </w:p>
  </w:footnote>
  <w:footnote w:id="2">
    <w:p w14:paraId="08856C9D" w14:textId="0C11EF70" w:rsidR="003268D3" w:rsidRPr="008873A0" w:rsidRDefault="003268D3" w:rsidP="00667079">
      <w:pPr>
        <w:autoSpaceDE w:val="0"/>
        <w:autoSpaceDN w:val="0"/>
        <w:adjustRightInd w:val="0"/>
        <w:spacing w:line="240" w:lineRule="auto"/>
        <w:ind w:firstLine="0"/>
        <w:rPr>
          <w:rFonts w:cstheme="minorHAnsi"/>
          <w:sz w:val="20"/>
          <w:szCs w:val="20"/>
        </w:rPr>
      </w:pPr>
      <w:r w:rsidRPr="008873A0">
        <w:rPr>
          <w:rStyle w:val="FootnoteReference"/>
          <w:rFonts w:cstheme="minorHAnsi"/>
          <w:color w:val="auto"/>
          <w:sz w:val="20"/>
          <w:szCs w:val="20"/>
        </w:rPr>
        <w:footnoteRef/>
      </w:r>
      <w:r w:rsidRPr="008873A0">
        <w:rPr>
          <w:rFonts w:cstheme="minorHAnsi"/>
          <w:color w:val="auto"/>
          <w:sz w:val="20"/>
          <w:szCs w:val="20"/>
        </w:rPr>
        <w:t xml:space="preserve"> </w:t>
      </w:r>
      <w:proofErr w:type="spellStart"/>
      <w:r w:rsidR="00667079" w:rsidRPr="008873A0">
        <w:rPr>
          <w:rFonts w:cstheme="minorHAnsi"/>
          <w:sz w:val="20"/>
          <w:szCs w:val="20"/>
        </w:rPr>
        <w:t>Grenz</w:t>
      </w:r>
      <w:proofErr w:type="spellEnd"/>
      <w:r w:rsidR="00667079" w:rsidRPr="008873A0">
        <w:rPr>
          <w:rFonts w:cstheme="minorHAnsi"/>
          <w:sz w:val="20"/>
          <w:szCs w:val="20"/>
        </w:rPr>
        <w:t xml:space="preserve">, Stanley. </w:t>
      </w:r>
      <w:r w:rsidR="00667079" w:rsidRPr="008873A0">
        <w:rPr>
          <w:rFonts w:cstheme="minorHAnsi"/>
          <w:sz w:val="20"/>
          <w:szCs w:val="20"/>
        </w:rPr>
        <w:t xml:space="preserve">(1997). </w:t>
      </w:r>
      <w:r w:rsidR="00667079" w:rsidRPr="008873A0">
        <w:rPr>
          <w:rFonts w:cstheme="minorHAnsi"/>
          <w:i/>
          <w:iCs/>
          <w:sz w:val="20"/>
          <w:szCs w:val="20"/>
        </w:rPr>
        <w:t>Sexual Ethics: An Evangelical Perspective</w:t>
      </w:r>
      <w:r w:rsidR="00667079" w:rsidRPr="008873A0">
        <w:rPr>
          <w:rFonts w:cstheme="minorHAnsi"/>
          <w:sz w:val="20"/>
          <w:szCs w:val="20"/>
        </w:rPr>
        <w:t>. Louisville: Westminster</w:t>
      </w:r>
      <w:r w:rsidR="00667079" w:rsidRPr="008873A0">
        <w:rPr>
          <w:rFonts w:cstheme="minorHAnsi"/>
          <w:sz w:val="20"/>
          <w:szCs w:val="20"/>
        </w:rPr>
        <w:t xml:space="preserve"> </w:t>
      </w:r>
      <w:r w:rsidR="00667079" w:rsidRPr="008873A0">
        <w:rPr>
          <w:rFonts w:cstheme="minorHAnsi"/>
          <w:sz w:val="20"/>
          <w:szCs w:val="20"/>
        </w:rPr>
        <w:t>John Knox Press.</w:t>
      </w:r>
    </w:p>
  </w:footnote>
  <w:footnote w:id="3">
    <w:p w14:paraId="180C6E9D" w14:textId="10FE4ACB" w:rsidR="003268D3" w:rsidRPr="008873A0" w:rsidRDefault="003268D3" w:rsidP="00C12F10">
      <w:pPr>
        <w:autoSpaceDE w:val="0"/>
        <w:autoSpaceDN w:val="0"/>
        <w:adjustRightInd w:val="0"/>
        <w:spacing w:line="240" w:lineRule="auto"/>
        <w:ind w:firstLine="0"/>
        <w:rPr>
          <w:rFonts w:cstheme="minorHAnsi"/>
          <w:color w:val="auto"/>
          <w:sz w:val="20"/>
          <w:szCs w:val="20"/>
        </w:rPr>
      </w:pPr>
      <w:r w:rsidRPr="008873A0">
        <w:rPr>
          <w:rStyle w:val="FootnoteReference"/>
          <w:rFonts w:cstheme="minorHAnsi"/>
          <w:color w:val="auto"/>
          <w:sz w:val="20"/>
          <w:szCs w:val="20"/>
        </w:rPr>
        <w:footnoteRef/>
      </w:r>
      <w:r w:rsidRPr="008873A0">
        <w:rPr>
          <w:rFonts w:cstheme="minorHAnsi"/>
          <w:color w:val="auto"/>
          <w:sz w:val="20"/>
          <w:szCs w:val="20"/>
        </w:rPr>
        <w:t xml:space="preserve"> Kohut A. (2013). </w:t>
      </w:r>
      <w:r w:rsidRPr="008873A0">
        <w:rPr>
          <w:rFonts w:cstheme="minorHAnsi"/>
          <w:i/>
          <w:iCs/>
          <w:color w:val="auto"/>
          <w:sz w:val="20"/>
          <w:szCs w:val="20"/>
        </w:rPr>
        <w:t>The global divide on homosexuality</w:t>
      </w:r>
      <w:r w:rsidRPr="008873A0">
        <w:rPr>
          <w:rFonts w:cstheme="minorHAnsi"/>
          <w:color w:val="auto"/>
          <w:sz w:val="20"/>
          <w:szCs w:val="20"/>
        </w:rPr>
        <w:t>: Greater acceptance in more secular and affluent countries. Pew Research Center; Washington, DC.</w:t>
      </w:r>
    </w:p>
  </w:footnote>
  <w:footnote w:id="4">
    <w:p w14:paraId="2B67BA0B" w14:textId="115EDE98" w:rsidR="003268D3" w:rsidRPr="008873A0" w:rsidRDefault="003268D3" w:rsidP="00C12F10">
      <w:pPr>
        <w:autoSpaceDE w:val="0"/>
        <w:autoSpaceDN w:val="0"/>
        <w:adjustRightInd w:val="0"/>
        <w:spacing w:line="240" w:lineRule="auto"/>
        <w:ind w:firstLine="0"/>
        <w:rPr>
          <w:rFonts w:cstheme="minorHAnsi"/>
          <w:i/>
          <w:iCs/>
          <w:color w:val="auto"/>
          <w:sz w:val="20"/>
          <w:szCs w:val="20"/>
        </w:rPr>
      </w:pPr>
      <w:r w:rsidRPr="008873A0">
        <w:rPr>
          <w:rStyle w:val="FootnoteReference"/>
          <w:rFonts w:cstheme="minorHAnsi"/>
          <w:color w:val="auto"/>
          <w:sz w:val="20"/>
          <w:szCs w:val="20"/>
        </w:rPr>
        <w:footnoteRef/>
      </w:r>
      <w:r w:rsidRPr="008873A0">
        <w:rPr>
          <w:rFonts w:cstheme="minorHAnsi"/>
          <w:color w:val="auto"/>
          <w:sz w:val="20"/>
          <w:szCs w:val="20"/>
        </w:rPr>
        <w:t xml:space="preserve"> Lee, J. (2012). </w:t>
      </w:r>
      <w:r w:rsidRPr="008873A0">
        <w:rPr>
          <w:rFonts w:cstheme="minorHAnsi"/>
          <w:i/>
          <w:iCs/>
          <w:color w:val="auto"/>
          <w:sz w:val="20"/>
          <w:szCs w:val="20"/>
        </w:rPr>
        <w:t>Torn: Rescuing the gospel from the gays-vs.-Christians debate</w:t>
      </w:r>
      <w:r w:rsidRPr="008873A0">
        <w:rPr>
          <w:rFonts w:cstheme="minorHAnsi"/>
          <w:color w:val="auto"/>
          <w:sz w:val="20"/>
          <w:szCs w:val="20"/>
        </w:rPr>
        <w:t>. New York, NY: Jericho Books.</w:t>
      </w:r>
    </w:p>
  </w:footnote>
  <w:footnote w:id="5">
    <w:p w14:paraId="7037D4B5" w14:textId="31196717" w:rsidR="00D17916" w:rsidRPr="008873A0" w:rsidRDefault="00D17916" w:rsidP="00C12F10">
      <w:pPr>
        <w:pStyle w:val="FootnoteText"/>
        <w:ind w:firstLine="0"/>
        <w:rPr>
          <w:rFonts w:cstheme="minorHAnsi"/>
          <w:color w:val="auto"/>
          <w:sz w:val="20"/>
        </w:rPr>
      </w:pPr>
      <w:r w:rsidRPr="008873A0">
        <w:rPr>
          <w:rStyle w:val="FootnoteReference"/>
          <w:rFonts w:cstheme="minorHAnsi"/>
          <w:color w:val="auto"/>
          <w:sz w:val="20"/>
        </w:rPr>
        <w:footnoteRef/>
      </w:r>
      <w:r w:rsidRPr="008873A0">
        <w:rPr>
          <w:rFonts w:cstheme="minorHAnsi"/>
          <w:color w:val="auto"/>
          <w:sz w:val="20"/>
        </w:rPr>
        <w:t xml:space="preserve"> Cornwall, S. (2011). </w:t>
      </w:r>
      <w:r w:rsidRPr="008873A0">
        <w:rPr>
          <w:rFonts w:cstheme="minorHAnsi"/>
          <w:i/>
          <w:iCs/>
          <w:color w:val="auto"/>
          <w:sz w:val="20"/>
        </w:rPr>
        <w:t>Controversies in queer theology</w:t>
      </w:r>
      <w:r w:rsidRPr="008873A0">
        <w:rPr>
          <w:rFonts w:cstheme="minorHAnsi"/>
          <w:color w:val="auto"/>
          <w:sz w:val="20"/>
        </w:rPr>
        <w:t xml:space="preserve">. London, England: SCM Press. </w:t>
      </w:r>
    </w:p>
  </w:footnote>
  <w:footnote w:id="6">
    <w:p w14:paraId="6F8C63D6" w14:textId="77777777" w:rsidR="00D17916" w:rsidRPr="008873A0" w:rsidRDefault="00D17916" w:rsidP="00C12F10">
      <w:pPr>
        <w:autoSpaceDE w:val="0"/>
        <w:autoSpaceDN w:val="0"/>
        <w:adjustRightInd w:val="0"/>
        <w:spacing w:line="240" w:lineRule="auto"/>
        <w:ind w:firstLine="0"/>
        <w:rPr>
          <w:rFonts w:cstheme="minorHAnsi"/>
          <w:color w:val="auto"/>
          <w:sz w:val="20"/>
          <w:szCs w:val="20"/>
        </w:rPr>
      </w:pPr>
      <w:r w:rsidRPr="008873A0">
        <w:rPr>
          <w:rStyle w:val="FootnoteReference"/>
          <w:rFonts w:cstheme="minorHAnsi"/>
          <w:color w:val="auto"/>
          <w:sz w:val="20"/>
          <w:szCs w:val="20"/>
        </w:rPr>
        <w:footnoteRef/>
      </w:r>
      <w:r w:rsidRPr="008873A0">
        <w:rPr>
          <w:rFonts w:cstheme="minorHAnsi"/>
          <w:color w:val="auto"/>
          <w:sz w:val="20"/>
          <w:szCs w:val="20"/>
        </w:rPr>
        <w:t xml:space="preserve"> Leong, P. (2006). “</w:t>
      </w:r>
      <w:r w:rsidRPr="008873A0">
        <w:rPr>
          <w:rFonts w:cstheme="minorHAnsi"/>
          <w:i/>
          <w:iCs/>
          <w:color w:val="auto"/>
          <w:sz w:val="20"/>
          <w:szCs w:val="20"/>
        </w:rPr>
        <w:t xml:space="preserve">Religion, Flesh, and </w:t>
      </w:r>
      <w:proofErr w:type="gramStart"/>
      <w:r w:rsidRPr="008873A0">
        <w:rPr>
          <w:rFonts w:cstheme="minorHAnsi"/>
          <w:i/>
          <w:iCs/>
          <w:color w:val="auto"/>
          <w:sz w:val="20"/>
          <w:szCs w:val="20"/>
        </w:rPr>
        <w:t xml:space="preserve">Blood </w:t>
      </w:r>
      <w:r w:rsidRPr="008873A0">
        <w:rPr>
          <w:rFonts w:cstheme="minorHAnsi"/>
          <w:color w:val="auto"/>
          <w:sz w:val="20"/>
          <w:szCs w:val="20"/>
        </w:rPr>
        <w:t>:</w:t>
      </w:r>
      <w:proofErr w:type="gramEnd"/>
      <w:r w:rsidRPr="008873A0">
        <w:rPr>
          <w:rFonts w:cstheme="minorHAnsi"/>
          <w:color w:val="auto"/>
          <w:sz w:val="20"/>
          <w:szCs w:val="20"/>
        </w:rPr>
        <w:t xml:space="preserve"> Re-Creating Religious Culture in the Context of HIV/AIDS,” Sociology of Religion 67, no. 3 298–99.</w:t>
      </w:r>
    </w:p>
  </w:footnote>
  <w:footnote w:id="7">
    <w:p w14:paraId="4BA97735" w14:textId="64B01344" w:rsidR="003268D3" w:rsidRPr="008873A0" w:rsidRDefault="003268D3" w:rsidP="00C12F10">
      <w:pPr>
        <w:autoSpaceDE w:val="0"/>
        <w:autoSpaceDN w:val="0"/>
        <w:adjustRightInd w:val="0"/>
        <w:spacing w:line="240" w:lineRule="auto"/>
        <w:ind w:firstLine="0"/>
        <w:rPr>
          <w:rFonts w:cstheme="minorHAnsi"/>
          <w:color w:val="auto"/>
          <w:sz w:val="20"/>
          <w:szCs w:val="20"/>
        </w:rPr>
      </w:pPr>
      <w:r w:rsidRPr="008873A0">
        <w:rPr>
          <w:rStyle w:val="FootnoteReference"/>
          <w:rFonts w:cstheme="minorHAnsi"/>
          <w:color w:val="auto"/>
          <w:sz w:val="20"/>
          <w:szCs w:val="20"/>
        </w:rPr>
        <w:footnoteRef/>
      </w:r>
      <w:r w:rsidRPr="008873A0">
        <w:rPr>
          <w:rFonts w:cstheme="minorHAnsi"/>
          <w:color w:val="auto"/>
          <w:sz w:val="20"/>
          <w:szCs w:val="20"/>
        </w:rPr>
        <w:t xml:space="preserve"> Melissa M. W. (2002). “</w:t>
      </w:r>
      <w:r w:rsidRPr="008873A0">
        <w:rPr>
          <w:rFonts w:cstheme="minorHAnsi"/>
          <w:i/>
          <w:iCs/>
          <w:color w:val="auto"/>
          <w:sz w:val="20"/>
          <w:szCs w:val="20"/>
        </w:rPr>
        <w:t>When Sheila’s a Lesbian</w:t>
      </w:r>
      <w:r w:rsidRPr="008873A0">
        <w:rPr>
          <w:rFonts w:cstheme="minorHAnsi"/>
          <w:color w:val="auto"/>
          <w:sz w:val="20"/>
          <w:szCs w:val="20"/>
        </w:rPr>
        <w:t>: Religious Individualism among LGBT Christians,” Sociology of Religion, 63, no. 4 504–505.</w:t>
      </w:r>
    </w:p>
  </w:footnote>
  <w:footnote w:id="8">
    <w:p w14:paraId="2BE72F5F" w14:textId="7FAE9594" w:rsidR="003268D3" w:rsidRPr="008873A0" w:rsidRDefault="003268D3" w:rsidP="00C12F10">
      <w:pPr>
        <w:autoSpaceDE w:val="0"/>
        <w:autoSpaceDN w:val="0"/>
        <w:adjustRightInd w:val="0"/>
        <w:spacing w:line="240" w:lineRule="auto"/>
        <w:ind w:firstLine="0"/>
        <w:rPr>
          <w:rFonts w:cstheme="minorHAnsi"/>
          <w:i/>
          <w:iCs/>
          <w:color w:val="auto"/>
          <w:sz w:val="20"/>
          <w:szCs w:val="20"/>
        </w:rPr>
      </w:pPr>
      <w:r w:rsidRPr="008873A0">
        <w:rPr>
          <w:rStyle w:val="FootnoteReference"/>
          <w:rFonts w:cstheme="minorHAnsi"/>
          <w:color w:val="auto"/>
          <w:sz w:val="20"/>
          <w:szCs w:val="20"/>
        </w:rPr>
        <w:footnoteRef/>
      </w:r>
      <w:r w:rsidRPr="008873A0">
        <w:rPr>
          <w:rFonts w:cstheme="minorHAnsi"/>
          <w:color w:val="auto"/>
          <w:sz w:val="20"/>
          <w:szCs w:val="20"/>
        </w:rPr>
        <w:t xml:space="preserve"> Kaoma, K. (2014). </w:t>
      </w:r>
      <w:r w:rsidRPr="008873A0">
        <w:rPr>
          <w:rFonts w:cstheme="minorHAnsi"/>
          <w:i/>
          <w:iCs/>
          <w:color w:val="auto"/>
          <w:sz w:val="20"/>
          <w:szCs w:val="20"/>
        </w:rPr>
        <w:t xml:space="preserve">The paradox and tension of moral claims: </w:t>
      </w:r>
      <w:r w:rsidRPr="008873A0">
        <w:rPr>
          <w:rFonts w:cstheme="minorHAnsi"/>
          <w:color w:val="auto"/>
          <w:sz w:val="20"/>
          <w:szCs w:val="20"/>
        </w:rPr>
        <w:t>Evangelical Christianity, the politicization and globalization of</w:t>
      </w:r>
      <w:r w:rsidRPr="008873A0">
        <w:rPr>
          <w:rFonts w:cstheme="minorHAnsi"/>
          <w:i/>
          <w:iCs/>
          <w:color w:val="auto"/>
          <w:sz w:val="20"/>
          <w:szCs w:val="20"/>
        </w:rPr>
        <w:t xml:space="preserve"> </w:t>
      </w:r>
      <w:r w:rsidRPr="008873A0">
        <w:rPr>
          <w:rFonts w:cstheme="minorHAnsi"/>
          <w:color w:val="auto"/>
          <w:sz w:val="20"/>
          <w:szCs w:val="20"/>
        </w:rPr>
        <w:t>sexual politics in sub-Saharan Africa. Critical Research on Religion 2(3): 227‒245.</w:t>
      </w:r>
    </w:p>
  </w:footnote>
  <w:footnote w:id="9">
    <w:p w14:paraId="1480EA9B" w14:textId="796809B0" w:rsidR="00741F61" w:rsidRPr="008873A0" w:rsidRDefault="00741F61" w:rsidP="00C12F10">
      <w:pPr>
        <w:pStyle w:val="FootnoteText"/>
        <w:ind w:firstLine="0"/>
        <w:rPr>
          <w:rFonts w:cstheme="minorHAnsi"/>
          <w:color w:val="auto"/>
          <w:sz w:val="20"/>
        </w:rPr>
      </w:pPr>
      <w:r w:rsidRPr="008873A0">
        <w:rPr>
          <w:rStyle w:val="FootnoteReference"/>
          <w:rFonts w:cstheme="minorHAnsi"/>
          <w:color w:val="auto"/>
          <w:sz w:val="20"/>
        </w:rPr>
        <w:footnoteRef/>
      </w:r>
      <w:r w:rsidRPr="008873A0">
        <w:rPr>
          <w:rFonts w:cstheme="minorHAnsi"/>
          <w:color w:val="auto"/>
          <w:sz w:val="20"/>
        </w:rPr>
        <w:t xml:space="preserve"> Vines, Matthew, (2014). </w:t>
      </w:r>
      <w:hyperlink r:id="rId1" w:tgtFrame="_blank" w:history="1">
        <w:r w:rsidRPr="008873A0">
          <w:rPr>
            <w:rStyle w:val="Hyperlink"/>
            <w:rFonts w:cstheme="minorHAnsi"/>
            <w:i/>
            <w:iCs/>
            <w:color w:val="auto"/>
            <w:sz w:val="20"/>
            <w:u w:val="none"/>
          </w:rPr>
          <w:t>God and the Gay Christian: The Biblical Case in Support of Same Sex Relationships</w:t>
        </w:r>
      </w:hyperlink>
      <w:r w:rsidRPr="008873A0">
        <w:rPr>
          <w:rStyle w:val="Emphasis"/>
          <w:rFonts w:cstheme="minorHAnsi"/>
          <w:color w:val="auto"/>
          <w:sz w:val="20"/>
        </w:rPr>
        <w:t>,</w:t>
      </w:r>
      <w:r w:rsidRPr="008873A0">
        <w:rPr>
          <w:rFonts w:cstheme="minorHAnsi"/>
          <w:color w:val="auto"/>
          <w:sz w:val="20"/>
        </w:rPr>
        <w:t> Convergent Books.</w:t>
      </w:r>
    </w:p>
  </w:footnote>
  <w:footnote w:id="10">
    <w:p w14:paraId="697CF141" w14:textId="00577086" w:rsidR="00C962DE" w:rsidRPr="008873A0" w:rsidRDefault="00C962DE" w:rsidP="00667079">
      <w:pPr>
        <w:autoSpaceDE w:val="0"/>
        <w:autoSpaceDN w:val="0"/>
        <w:adjustRightInd w:val="0"/>
        <w:spacing w:line="240" w:lineRule="auto"/>
        <w:ind w:firstLine="0"/>
        <w:rPr>
          <w:rFonts w:cstheme="minorHAnsi"/>
          <w:i/>
          <w:iCs/>
          <w:sz w:val="20"/>
          <w:szCs w:val="20"/>
        </w:rPr>
      </w:pPr>
      <w:r w:rsidRPr="008873A0">
        <w:rPr>
          <w:rStyle w:val="FootnoteReference"/>
          <w:rFonts w:cstheme="minorHAnsi"/>
          <w:color w:val="auto"/>
          <w:sz w:val="20"/>
          <w:szCs w:val="20"/>
        </w:rPr>
        <w:footnoteRef/>
      </w:r>
      <w:r w:rsidRPr="008873A0">
        <w:rPr>
          <w:rFonts w:cstheme="minorHAnsi"/>
          <w:color w:val="auto"/>
          <w:sz w:val="20"/>
          <w:szCs w:val="20"/>
        </w:rPr>
        <w:t xml:space="preserve"> </w:t>
      </w:r>
      <w:r w:rsidR="00667079" w:rsidRPr="008873A0">
        <w:rPr>
          <w:rFonts w:cstheme="minorHAnsi"/>
          <w:sz w:val="20"/>
          <w:szCs w:val="20"/>
        </w:rPr>
        <w:t>Powell, Mark Allan</w:t>
      </w:r>
      <w:r w:rsidR="00667079" w:rsidRPr="008873A0">
        <w:rPr>
          <w:rFonts w:cstheme="minorHAnsi"/>
          <w:sz w:val="20"/>
          <w:szCs w:val="20"/>
        </w:rPr>
        <w:t xml:space="preserve">. (2003). </w:t>
      </w:r>
      <w:r w:rsidR="00667079" w:rsidRPr="008873A0">
        <w:rPr>
          <w:rFonts w:cstheme="minorHAnsi"/>
          <w:sz w:val="20"/>
          <w:szCs w:val="20"/>
        </w:rPr>
        <w:t xml:space="preserve">“The Bible and Homosexuality.” In </w:t>
      </w:r>
      <w:r w:rsidR="00667079" w:rsidRPr="008873A0">
        <w:rPr>
          <w:rFonts w:cstheme="minorHAnsi"/>
          <w:i/>
          <w:iCs/>
          <w:sz w:val="20"/>
          <w:szCs w:val="20"/>
        </w:rPr>
        <w:t>Faithful Conversation: Christian</w:t>
      </w:r>
      <w:r w:rsidR="00667079" w:rsidRPr="008873A0">
        <w:rPr>
          <w:rFonts w:cstheme="minorHAnsi"/>
          <w:i/>
          <w:iCs/>
          <w:sz w:val="20"/>
          <w:szCs w:val="20"/>
        </w:rPr>
        <w:t xml:space="preserve"> </w:t>
      </w:r>
      <w:r w:rsidR="00667079" w:rsidRPr="008873A0">
        <w:rPr>
          <w:rFonts w:cstheme="minorHAnsi"/>
          <w:i/>
          <w:iCs/>
          <w:sz w:val="20"/>
          <w:szCs w:val="20"/>
        </w:rPr>
        <w:t>Perspectives on Homosexuality</w:t>
      </w:r>
      <w:r w:rsidR="00667079" w:rsidRPr="008873A0">
        <w:rPr>
          <w:rFonts w:cstheme="minorHAnsi"/>
          <w:sz w:val="20"/>
          <w:szCs w:val="20"/>
        </w:rPr>
        <w:t>, edited by James M. Childs, 19-40. Minneapolis:</w:t>
      </w:r>
      <w:r w:rsidR="00667079" w:rsidRPr="008873A0">
        <w:rPr>
          <w:rFonts w:cstheme="minorHAnsi"/>
          <w:sz w:val="20"/>
          <w:szCs w:val="20"/>
        </w:rPr>
        <w:t xml:space="preserve"> </w:t>
      </w:r>
      <w:r w:rsidR="00667079" w:rsidRPr="008873A0">
        <w:rPr>
          <w:rFonts w:cstheme="minorHAnsi"/>
          <w:sz w:val="20"/>
          <w:szCs w:val="20"/>
        </w:rPr>
        <w:t>Fortress Press.</w:t>
      </w:r>
      <w:r w:rsidR="008873A0" w:rsidRPr="008873A0">
        <w:rPr>
          <w:rFonts w:cstheme="minorHAnsi"/>
          <w:sz w:val="20"/>
          <w:szCs w:val="20"/>
        </w:rPr>
        <w:t xml:space="preserve"> </w:t>
      </w:r>
      <w:bookmarkStart w:id="0" w:name="_GoBack"/>
      <w:bookmarkEnd w:id="0"/>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GridTable2-Accent1"/>
      <w:tblW w:w="0" w:type="auto"/>
      <w:tblLook w:val="04A0" w:firstRow="1" w:lastRow="0" w:firstColumn="1" w:lastColumn="0" w:noHBand="0" w:noVBand="1"/>
      <w:tblDescription w:val="Header layout table"/>
    </w:tblPr>
    <w:tblGrid>
      <w:gridCol w:w="8280"/>
      <w:gridCol w:w="1080"/>
    </w:tblGrid>
    <w:tr w:rsidR="004D6B86" w14:paraId="1BE27F8C" w14:textId="77777777" w:rsidTr="008A78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80" w:type="dxa"/>
        </w:tcPr>
        <w:p w14:paraId="207F5847" w14:textId="1EBBC758" w:rsidR="004D6B86" w:rsidRPr="00170521" w:rsidRDefault="00A14DC3" w:rsidP="00170521">
          <w:pPr>
            <w:pStyle w:val="Header"/>
          </w:pPr>
          <w:sdt>
            <w:sdtPr>
              <w:alias w:val="Enter shortened title:"/>
              <w:tag w:val="Enter shortened title:"/>
              <w:id w:val="-582528332"/>
              <w15:dataBinding w:prefixMappings="xmlns:ns0='http://schemas.microsoft.com/temp/samples' " w:xpath="/ns0:employees[1]/ns0:employee[1]/ns0:CustomerName[1]" w:storeItemID="{B98E728A-96FF-4995-885C-5AF887AB0C35}"/>
              <w15:appearance w15:val="hidden"/>
            </w:sdtPr>
            <w:sdtEndPr/>
            <w:sdtContent>
              <w:r w:rsidR="00667079" w:rsidRPr="005218E6">
                <w:t>Christian Ethics and Sexual Orientation</w:t>
              </w:r>
            </w:sdtContent>
          </w:sdt>
        </w:p>
      </w:tc>
      <w:tc>
        <w:tcPr>
          <w:tcW w:w="1080" w:type="dxa"/>
        </w:tcPr>
        <w:p w14:paraId="506A5F9A" w14:textId="77777777" w:rsidR="004D6B86" w:rsidRDefault="00345333">
          <w:pPr>
            <w:pStyle w:val="Header"/>
            <w:jc w:val="right"/>
            <w:cnfStyle w:val="100000000000" w:firstRow="1" w:lastRow="0" w:firstColumn="0" w:lastColumn="0" w:oddVBand="0" w:evenVBand="0" w:oddHBand="0" w:evenHBand="0" w:firstRowFirstColumn="0" w:firstRowLastColumn="0" w:lastRowFirstColumn="0" w:lastRowLastColumn="0"/>
          </w:pPr>
          <w:r>
            <w:fldChar w:fldCharType="begin"/>
          </w:r>
          <w:r>
            <w:instrText xml:space="preserve"> PAGE   \* MERGEFORMAT </w:instrText>
          </w:r>
          <w:r>
            <w:fldChar w:fldCharType="separate"/>
          </w:r>
          <w:r w:rsidR="00C925C8">
            <w:rPr>
              <w:noProof/>
            </w:rPr>
            <w:t>2</w:t>
          </w:r>
          <w:r>
            <w:rPr>
              <w:noProof/>
            </w:rPr>
            <w:fldChar w:fldCharType="end"/>
          </w:r>
        </w:p>
      </w:tc>
    </w:tr>
  </w:tbl>
  <w:p w14:paraId="5B43E736" w14:textId="77777777" w:rsidR="004D6B86" w:rsidRDefault="004D6B8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GridTable2-Accent1"/>
      <w:tblW w:w="0" w:type="auto"/>
      <w:tblLook w:val="04A0" w:firstRow="1" w:lastRow="0" w:firstColumn="1" w:lastColumn="0" w:noHBand="0" w:noVBand="1"/>
      <w:tblDescription w:val="Header layout table"/>
    </w:tblPr>
    <w:tblGrid>
      <w:gridCol w:w="8280"/>
      <w:gridCol w:w="1080"/>
    </w:tblGrid>
    <w:tr w:rsidR="004D6B86" w14:paraId="612177A7" w14:textId="77777777" w:rsidTr="008A78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80" w:type="dxa"/>
        </w:tcPr>
        <w:p w14:paraId="351B2F79" w14:textId="0B321351" w:rsidR="004D6B86" w:rsidRPr="009F0414" w:rsidRDefault="00961AE5" w:rsidP="00504F88">
          <w:pPr>
            <w:pStyle w:val="Header"/>
          </w:pPr>
          <w:r>
            <w:t xml:space="preserve">Running head: </w:t>
          </w:r>
          <w:sdt>
            <w:sdtPr>
              <w:alias w:val="Enter shortened title:"/>
              <w:tag w:val="Enter shortened title:"/>
              <w:id w:val="-211583021"/>
              <w15:dataBinding w:prefixMappings="xmlns:ns0='http://schemas.microsoft.com/temp/samples' " w:xpath="/ns0:employees[1]/ns0:employee[1]/ns0:CustomerName[1]" w:storeItemID="{B98E728A-96FF-4995-885C-5AF887AB0C35}"/>
              <w15:appearance w15:val="hidden"/>
            </w:sdtPr>
            <w:sdtEndPr/>
            <w:sdtContent>
              <w:r w:rsidR="00667079" w:rsidRPr="005218E6">
                <w:t>Christian Ethics and Sexual Orientation</w:t>
              </w:r>
            </w:sdtContent>
          </w:sdt>
        </w:p>
      </w:tc>
      <w:tc>
        <w:tcPr>
          <w:tcW w:w="1080" w:type="dxa"/>
        </w:tcPr>
        <w:p w14:paraId="6EF8FD7C" w14:textId="77777777" w:rsidR="004D6B86" w:rsidRDefault="00345333">
          <w:pPr>
            <w:pStyle w:val="Header"/>
            <w:jc w:val="right"/>
            <w:cnfStyle w:val="100000000000" w:firstRow="1" w:lastRow="0" w:firstColumn="0" w:lastColumn="0" w:oddVBand="0" w:evenVBand="0" w:oddHBand="0" w:evenHBand="0" w:firstRowFirstColumn="0" w:firstRowLastColumn="0" w:lastRowFirstColumn="0" w:lastRowLastColumn="0"/>
          </w:pPr>
          <w:r>
            <w:fldChar w:fldCharType="begin"/>
          </w:r>
          <w:r>
            <w:instrText xml:space="preserve"> PAGE   \* MERGEFORMAT </w:instrText>
          </w:r>
          <w:r>
            <w:fldChar w:fldCharType="separate"/>
          </w:r>
          <w:r w:rsidR="00C925C8">
            <w:rPr>
              <w:noProof/>
            </w:rPr>
            <w:t>1</w:t>
          </w:r>
          <w:r>
            <w:rPr>
              <w:noProof/>
            </w:rPr>
            <w:fldChar w:fldCharType="end"/>
          </w:r>
        </w:p>
      </w:tc>
    </w:tr>
  </w:tbl>
  <w:p w14:paraId="5BF83A60" w14:textId="77777777" w:rsidR="004D6B86" w:rsidRDefault="004D6B86" w:rsidP="002C627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1"/>
  <w:proofState w:spelling="clean" w:grammar="clean"/>
  <w:attachedTemplate r:id="rId1"/>
  <w:defaultTabStop w:val="720"/>
  <w:characterSpacingControl w:val="doNotCompress"/>
  <w:hdrShapeDefaults>
    <o:shapedefaults v:ext="edit" spidmax="2049"/>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0096"/>
    <w:rsid w:val="00006BBA"/>
    <w:rsid w:val="0001010E"/>
    <w:rsid w:val="00014460"/>
    <w:rsid w:val="000217F5"/>
    <w:rsid w:val="000305EB"/>
    <w:rsid w:val="00097169"/>
    <w:rsid w:val="000D2150"/>
    <w:rsid w:val="000D5B5F"/>
    <w:rsid w:val="000E66DB"/>
    <w:rsid w:val="00114BFA"/>
    <w:rsid w:val="001602E3"/>
    <w:rsid w:val="00160C0C"/>
    <w:rsid w:val="00166053"/>
    <w:rsid w:val="001664A2"/>
    <w:rsid w:val="00170521"/>
    <w:rsid w:val="001A61BA"/>
    <w:rsid w:val="001B4848"/>
    <w:rsid w:val="001F447A"/>
    <w:rsid w:val="001F7399"/>
    <w:rsid w:val="00212319"/>
    <w:rsid w:val="00225BE3"/>
    <w:rsid w:val="00274E0A"/>
    <w:rsid w:val="0029382F"/>
    <w:rsid w:val="002B6153"/>
    <w:rsid w:val="002C627C"/>
    <w:rsid w:val="00307586"/>
    <w:rsid w:val="003268D3"/>
    <w:rsid w:val="00336906"/>
    <w:rsid w:val="00345333"/>
    <w:rsid w:val="003A06C6"/>
    <w:rsid w:val="003E36B1"/>
    <w:rsid w:val="003E4162"/>
    <w:rsid w:val="003F7CBD"/>
    <w:rsid w:val="00412AFD"/>
    <w:rsid w:val="004176DA"/>
    <w:rsid w:val="00417BC0"/>
    <w:rsid w:val="00424A5F"/>
    <w:rsid w:val="00473E82"/>
    <w:rsid w:val="00481CF8"/>
    <w:rsid w:val="00492C2D"/>
    <w:rsid w:val="004A3D87"/>
    <w:rsid w:val="004B18A9"/>
    <w:rsid w:val="004D4F8C"/>
    <w:rsid w:val="004D6B86"/>
    <w:rsid w:val="004F00C1"/>
    <w:rsid w:val="00504F88"/>
    <w:rsid w:val="0055242C"/>
    <w:rsid w:val="00595412"/>
    <w:rsid w:val="005B3EAA"/>
    <w:rsid w:val="005D278A"/>
    <w:rsid w:val="005E0465"/>
    <w:rsid w:val="0061747E"/>
    <w:rsid w:val="0063480F"/>
    <w:rsid w:val="00641876"/>
    <w:rsid w:val="00645290"/>
    <w:rsid w:val="006573E4"/>
    <w:rsid w:val="00667079"/>
    <w:rsid w:val="00684C26"/>
    <w:rsid w:val="006B015B"/>
    <w:rsid w:val="006C162F"/>
    <w:rsid w:val="006D7EE9"/>
    <w:rsid w:val="007244DE"/>
    <w:rsid w:val="00731FB5"/>
    <w:rsid w:val="00735E52"/>
    <w:rsid w:val="00741F61"/>
    <w:rsid w:val="0078203C"/>
    <w:rsid w:val="0081390C"/>
    <w:rsid w:val="00816831"/>
    <w:rsid w:val="00837D67"/>
    <w:rsid w:val="008747E8"/>
    <w:rsid w:val="008873A0"/>
    <w:rsid w:val="008A2A83"/>
    <w:rsid w:val="008A78F1"/>
    <w:rsid w:val="008C5222"/>
    <w:rsid w:val="00910F0E"/>
    <w:rsid w:val="009112A2"/>
    <w:rsid w:val="00961AE5"/>
    <w:rsid w:val="009740B6"/>
    <w:rsid w:val="00977724"/>
    <w:rsid w:val="009A2C38"/>
    <w:rsid w:val="009F0414"/>
    <w:rsid w:val="00A14DC3"/>
    <w:rsid w:val="00A4757D"/>
    <w:rsid w:val="00A77F6B"/>
    <w:rsid w:val="00A81BB2"/>
    <w:rsid w:val="00AA5C05"/>
    <w:rsid w:val="00AF4A92"/>
    <w:rsid w:val="00B01732"/>
    <w:rsid w:val="00B03BA4"/>
    <w:rsid w:val="00B20096"/>
    <w:rsid w:val="00BB2537"/>
    <w:rsid w:val="00C12F10"/>
    <w:rsid w:val="00C3438C"/>
    <w:rsid w:val="00C5686B"/>
    <w:rsid w:val="00C65D80"/>
    <w:rsid w:val="00C74024"/>
    <w:rsid w:val="00C83B15"/>
    <w:rsid w:val="00C925C8"/>
    <w:rsid w:val="00C9453E"/>
    <w:rsid w:val="00C962DE"/>
    <w:rsid w:val="00CB7F84"/>
    <w:rsid w:val="00CF1B55"/>
    <w:rsid w:val="00D17916"/>
    <w:rsid w:val="00D847FD"/>
    <w:rsid w:val="00DB2E59"/>
    <w:rsid w:val="00DB358F"/>
    <w:rsid w:val="00DC0EA1"/>
    <w:rsid w:val="00DC44F1"/>
    <w:rsid w:val="00DC7828"/>
    <w:rsid w:val="00DE624D"/>
    <w:rsid w:val="00DF6D26"/>
    <w:rsid w:val="00E7305D"/>
    <w:rsid w:val="00EA780C"/>
    <w:rsid w:val="00EB69D3"/>
    <w:rsid w:val="00EE5794"/>
    <w:rsid w:val="00F1225B"/>
    <w:rsid w:val="00F31D66"/>
    <w:rsid w:val="00F363EC"/>
    <w:rsid w:val="00F413AC"/>
    <w:rsid w:val="00F832EE"/>
    <w:rsid w:val="00F85F30"/>
    <w:rsid w:val="00FE725C"/>
  </w:rsids>
  <m:mathPr>
    <m:mathFont m:val="Cambria Math"/>
    <m:brkBin m:val="before"/>
    <m:brkBinSub m:val="--"/>
    <m:smallFrac m:val="0"/>
    <m:dispDef/>
    <m:lMargin m:val="0"/>
    <m:rMargin m:val="0"/>
    <m:defJc m:val="centerGroup"/>
    <m:wrapIndent m:val="1440"/>
    <m:intLim m:val="subSup"/>
    <m:naryLim m:val="undOvr"/>
  </m:mathPr>
  <w:attachedSchema w:val="http://schemas.microsoft.com/temp/samples"/>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150EADDC"/>
  <w15:chartTrackingRefBased/>
  <w15:docId w15:val="{DB2289E3-EC97-420A-83E1-CC404563F6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5" w:qFormat="1"/>
    <w:lsdException w:name="heading 8" w:semiHidden="1" w:uiPriority="5" w:qFormat="1"/>
    <w:lsdException w:name="heading 9" w:semiHidden="1" w:uiPriority="5"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8"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25C8"/>
  </w:style>
  <w:style w:type="paragraph" w:styleId="Heading1">
    <w:name w:val="heading 1"/>
    <w:basedOn w:val="Normal"/>
    <w:next w:val="Normal"/>
    <w:link w:val="Heading1Char"/>
    <w:uiPriority w:val="5"/>
    <w:qFormat/>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5"/>
    <w:qFormat/>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5"/>
    <w:qFormat/>
    <w:pPr>
      <w:keepNext/>
      <w:keepLines/>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5"/>
    <w:qFormat/>
    <w:pPr>
      <w:keepNext/>
      <w:keepLines/>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5"/>
    <w:qFormat/>
    <w:pPr>
      <w:keepNext/>
      <w:keepLines/>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5"/>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2"/>
    <w:qFormat/>
    <w:pPr>
      <w:pageBreakBefore/>
      <w:ind w:firstLine="0"/>
      <w:jc w:val="center"/>
      <w:outlineLvl w:val="0"/>
    </w:pPr>
    <w:rPr>
      <w:rFonts w:asciiTheme="majorHAnsi" w:eastAsiaTheme="majorEastAsia" w:hAnsiTheme="majorHAnsi" w:cstheme="majorBidi"/>
    </w:rPr>
  </w:style>
  <w:style w:type="paragraph" w:styleId="Header">
    <w:name w:val="header"/>
    <w:basedOn w:val="Normal"/>
    <w:link w:val="HeaderChar"/>
    <w:uiPriority w:val="99"/>
    <w:qFormat/>
    <w:pPr>
      <w:spacing w:line="240" w:lineRule="auto"/>
      <w:ind w:firstLine="0"/>
    </w:pPr>
  </w:style>
  <w:style w:type="character" w:customStyle="1" w:styleId="HeaderChar">
    <w:name w:val="Header Char"/>
    <w:basedOn w:val="DefaultParagraphFont"/>
    <w:link w:val="Header"/>
    <w:uiPriority w:val="99"/>
    <w:rsid w:val="00DB2E59"/>
  </w:style>
  <w:style w:type="character" w:styleId="PlaceholderText">
    <w:name w:val="Placeholder Text"/>
    <w:basedOn w:val="DefaultParagraphFont"/>
    <w:uiPriority w:val="99"/>
    <w:semiHidden/>
    <w:rsid w:val="00EB69D3"/>
    <w:rPr>
      <w:color w:val="000000" w:themeColor="text1"/>
    </w:rPr>
  </w:style>
  <w:style w:type="paragraph" w:styleId="NoSpacing">
    <w:name w:val="No Spacing"/>
    <w:aliases w:val="No Indent"/>
    <w:uiPriority w:val="3"/>
    <w:qFormat/>
    <w:pPr>
      <w:ind w:firstLine="0"/>
    </w:pPr>
  </w:style>
  <w:style w:type="character" w:customStyle="1" w:styleId="Heading1Char">
    <w:name w:val="Heading 1 Char"/>
    <w:basedOn w:val="DefaultParagraphFont"/>
    <w:link w:val="Heading1"/>
    <w:uiPriority w:val="5"/>
    <w:rsid w:val="00DB2E59"/>
    <w:rPr>
      <w:rFonts w:asciiTheme="majorHAnsi" w:eastAsiaTheme="majorEastAsia" w:hAnsiTheme="majorHAnsi" w:cstheme="majorBidi"/>
      <w:b/>
      <w:bCs/>
    </w:rPr>
  </w:style>
  <w:style w:type="character" w:customStyle="1" w:styleId="Heading2Char">
    <w:name w:val="Heading 2 Char"/>
    <w:basedOn w:val="DefaultParagraphFont"/>
    <w:link w:val="Heading2"/>
    <w:uiPriority w:val="5"/>
    <w:rsid w:val="00DB2E59"/>
    <w:rPr>
      <w:rFonts w:asciiTheme="majorHAnsi" w:eastAsiaTheme="majorEastAsia" w:hAnsiTheme="majorHAnsi" w:cstheme="majorBidi"/>
      <w:b/>
      <w:bCs/>
    </w:rPr>
  </w:style>
  <w:style w:type="paragraph" w:styleId="Title">
    <w:name w:val="Title"/>
    <w:basedOn w:val="Normal"/>
    <w:next w:val="Normal"/>
    <w:link w:val="TitleChar"/>
    <w:uiPriority w:val="1"/>
    <w:qFormat/>
    <w:pPr>
      <w:spacing w:before="2400"/>
      <w:ind w:firstLine="0"/>
      <w:contextualSpacing/>
      <w:jc w:val="center"/>
    </w:pPr>
    <w:rPr>
      <w:rFonts w:asciiTheme="majorHAnsi" w:eastAsiaTheme="majorEastAsia" w:hAnsiTheme="majorHAnsi" w:cstheme="majorBidi"/>
    </w:rPr>
  </w:style>
  <w:style w:type="character" w:customStyle="1" w:styleId="TitleChar">
    <w:name w:val="Title Char"/>
    <w:basedOn w:val="DefaultParagraphFont"/>
    <w:link w:val="Title"/>
    <w:uiPriority w:val="1"/>
    <w:rPr>
      <w:rFonts w:asciiTheme="majorHAnsi" w:eastAsiaTheme="majorEastAsia" w:hAnsiTheme="majorHAnsi" w:cstheme="majorBidi"/>
    </w:rPr>
  </w:style>
  <w:style w:type="character" w:styleId="Emphasis">
    <w:name w:val="Emphasis"/>
    <w:basedOn w:val="DefaultParagraphFont"/>
    <w:uiPriority w:val="20"/>
    <w:qFormat/>
    <w:rPr>
      <w:i/>
      <w:iCs/>
    </w:rPr>
  </w:style>
  <w:style w:type="character" w:customStyle="1" w:styleId="Heading3Char">
    <w:name w:val="Heading 3 Char"/>
    <w:basedOn w:val="DefaultParagraphFont"/>
    <w:link w:val="Heading3"/>
    <w:uiPriority w:val="5"/>
    <w:rsid w:val="00DB2E59"/>
    <w:rPr>
      <w:rFonts w:asciiTheme="majorHAnsi" w:eastAsiaTheme="majorEastAsia" w:hAnsiTheme="majorHAnsi" w:cstheme="majorBidi"/>
      <w:b/>
      <w:bCs/>
    </w:rPr>
  </w:style>
  <w:style w:type="character" w:customStyle="1" w:styleId="Heading4Char">
    <w:name w:val="Heading 4 Char"/>
    <w:basedOn w:val="DefaultParagraphFont"/>
    <w:link w:val="Heading4"/>
    <w:uiPriority w:val="5"/>
    <w:rsid w:val="00DB2E59"/>
    <w:rPr>
      <w:rFonts w:asciiTheme="majorHAnsi" w:eastAsiaTheme="majorEastAsia" w:hAnsiTheme="majorHAnsi" w:cstheme="majorBidi"/>
      <w:b/>
      <w:bCs/>
      <w:i/>
      <w:iCs/>
    </w:rPr>
  </w:style>
  <w:style w:type="character" w:customStyle="1" w:styleId="Heading5Char">
    <w:name w:val="Heading 5 Char"/>
    <w:basedOn w:val="DefaultParagraphFont"/>
    <w:link w:val="Heading5"/>
    <w:uiPriority w:val="5"/>
    <w:rsid w:val="00DB2E59"/>
    <w:rPr>
      <w:rFonts w:asciiTheme="majorHAnsi" w:eastAsiaTheme="majorEastAsia" w:hAnsiTheme="majorHAnsi" w:cstheme="majorBidi"/>
      <w:i/>
      <w:iCs/>
    </w:rPr>
  </w:style>
  <w:style w:type="paragraph" w:styleId="BalloonText">
    <w:name w:val="Balloon Text"/>
    <w:basedOn w:val="Normal"/>
    <w:link w:val="BalloonTextChar"/>
    <w:uiPriority w:val="99"/>
    <w:semiHidden/>
    <w:unhideWhenUsed/>
    <w:rsid w:val="00EB69D3"/>
    <w:pPr>
      <w:spacing w:line="240" w:lineRule="auto"/>
      <w:ind w:firstLine="0"/>
    </w:pPr>
    <w:rPr>
      <w:rFonts w:ascii="Segoe UI" w:hAnsi="Segoe UI" w:cs="Segoe UI"/>
      <w:sz w:val="22"/>
      <w:szCs w:val="18"/>
    </w:rPr>
  </w:style>
  <w:style w:type="character" w:customStyle="1" w:styleId="BalloonTextChar">
    <w:name w:val="Balloon Text Char"/>
    <w:basedOn w:val="DefaultParagraphFont"/>
    <w:link w:val="BalloonText"/>
    <w:uiPriority w:val="99"/>
    <w:semiHidden/>
    <w:rsid w:val="00EB69D3"/>
    <w:rPr>
      <w:rFonts w:ascii="Segoe UI" w:hAnsi="Segoe UI" w:cs="Segoe UI"/>
      <w:sz w:val="22"/>
      <w:szCs w:val="18"/>
    </w:rPr>
  </w:style>
  <w:style w:type="paragraph" w:styleId="Bibliography">
    <w:name w:val="Bibliography"/>
    <w:basedOn w:val="Normal"/>
    <w:next w:val="Normal"/>
    <w:uiPriority w:val="6"/>
    <w:unhideWhenUsed/>
    <w:qFormat/>
    <w:pPr>
      <w:ind w:left="720" w:hanging="720"/>
    </w:pPr>
  </w:style>
  <w:style w:type="paragraph" w:styleId="BlockText">
    <w:name w:val="Block Text"/>
    <w:basedOn w:val="Normal"/>
    <w:uiPriority w:val="99"/>
    <w:semiHidden/>
    <w:unhideWhenUsed/>
    <w:rsid w:val="003F7CBD"/>
    <w:pPr>
      <w:pBdr>
        <w:top w:val="single" w:sz="2" w:space="10" w:color="000000" w:themeColor="text2" w:shadow="1"/>
        <w:left w:val="single" w:sz="2" w:space="10" w:color="000000" w:themeColor="text2" w:shadow="1"/>
        <w:bottom w:val="single" w:sz="2" w:space="10" w:color="000000" w:themeColor="text2" w:shadow="1"/>
        <w:right w:val="single" w:sz="2" w:space="10" w:color="000000" w:themeColor="text2" w:shadow="1"/>
      </w:pBdr>
      <w:ind w:left="1152" w:right="1152" w:firstLine="0"/>
    </w:pPr>
    <w:rPr>
      <w:i/>
      <w:iCs/>
      <w:color w:val="000000" w:themeColor="text2"/>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rsid w:val="00EB69D3"/>
    <w:pPr>
      <w:spacing w:after="120"/>
      <w:ind w:firstLine="0"/>
    </w:pPr>
    <w:rPr>
      <w:sz w:val="22"/>
      <w:szCs w:val="16"/>
    </w:rPr>
  </w:style>
  <w:style w:type="character" w:customStyle="1" w:styleId="BodyText3Char">
    <w:name w:val="Body Text 3 Char"/>
    <w:basedOn w:val="DefaultParagraphFont"/>
    <w:link w:val="BodyText3"/>
    <w:uiPriority w:val="99"/>
    <w:semiHidden/>
    <w:rsid w:val="00EB69D3"/>
    <w:rPr>
      <w:sz w:val="22"/>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rsid w:val="00EB69D3"/>
    <w:pPr>
      <w:spacing w:after="120"/>
      <w:ind w:left="360" w:firstLine="0"/>
    </w:pPr>
    <w:rPr>
      <w:sz w:val="22"/>
      <w:szCs w:val="16"/>
    </w:rPr>
  </w:style>
  <w:style w:type="character" w:customStyle="1" w:styleId="BodyTextIndent3Char">
    <w:name w:val="Body Text Indent 3 Char"/>
    <w:basedOn w:val="DefaultParagraphFont"/>
    <w:link w:val="BodyTextIndent3"/>
    <w:uiPriority w:val="99"/>
    <w:semiHidden/>
    <w:rsid w:val="00EB69D3"/>
    <w:rPr>
      <w:sz w:val="22"/>
      <w:szCs w:val="16"/>
    </w:rPr>
  </w:style>
  <w:style w:type="paragraph" w:styleId="Caption">
    <w:name w:val="caption"/>
    <w:basedOn w:val="Normal"/>
    <w:next w:val="Normal"/>
    <w:uiPriority w:val="35"/>
    <w:semiHidden/>
    <w:unhideWhenUsed/>
    <w:qFormat/>
    <w:rsid w:val="00EB69D3"/>
    <w:pPr>
      <w:spacing w:after="200" w:line="240" w:lineRule="auto"/>
      <w:ind w:firstLine="0"/>
    </w:pPr>
    <w:rPr>
      <w:i/>
      <w:iCs/>
      <w:color w:val="000000" w:themeColor="text2"/>
      <w:sz w:val="22"/>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semiHidden/>
    <w:unhideWhenUsed/>
    <w:rsid w:val="00EB69D3"/>
    <w:pPr>
      <w:spacing w:line="240" w:lineRule="auto"/>
      <w:ind w:firstLine="0"/>
    </w:pPr>
    <w:rPr>
      <w:sz w:val="22"/>
      <w:szCs w:val="20"/>
    </w:rPr>
  </w:style>
  <w:style w:type="character" w:customStyle="1" w:styleId="CommentTextChar">
    <w:name w:val="Comment Text Char"/>
    <w:basedOn w:val="DefaultParagraphFont"/>
    <w:link w:val="CommentText"/>
    <w:uiPriority w:val="99"/>
    <w:semiHidden/>
    <w:rsid w:val="00EB69D3"/>
    <w:rPr>
      <w:sz w:val="22"/>
      <w:szCs w:val="20"/>
    </w:rPr>
  </w:style>
  <w:style w:type="paragraph" w:styleId="CommentSubject">
    <w:name w:val="annotation subject"/>
    <w:basedOn w:val="CommentText"/>
    <w:next w:val="CommentText"/>
    <w:link w:val="CommentSubjectChar"/>
    <w:uiPriority w:val="99"/>
    <w:semiHidden/>
    <w:unhideWhenUsed/>
    <w:rsid w:val="00EB69D3"/>
    <w:rPr>
      <w:b/>
      <w:bCs/>
    </w:rPr>
  </w:style>
  <w:style w:type="character" w:customStyle="1" w:styleId="CommentSubjectChar">
    <w:name w:val="Comment Subject Char"/>
    <w:basedOn w:val="CommentTextChar"/>
    <w:link w:val="CommentSubject"/>
    <w:uiPriority w:val="99"/>
    <w:semiHidden/>
    <w:rsid w:val="00EB69D3"/>
    <w:rPr>
      <w:b/>
      <w:bCs/>
      <w:sz w:val="22"/>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rsid w:val="00EB69D3"/>
    <w:pPr>
      <w:spacing w:line="240" w:lineRule="auto"/>
      <w:ind w:firstLine="0"/>
    </w:pPr>
    <w:rPr>
      <w:rFonts w:ascii="Segoe UI" w:hAnsi="Segoe UI" w:cs="Segoe UI"/>
      <w:sz w:val="22"/>
      <w:szCs w:val="16"/>
    </w:rPr>
  </w:style>
  <w:style w:type="character" w:customStyle="1" w:styleId="DocumentMapChar">
    <w:name w:val="Document Map Char"/>
    <w:basedOn w:val="DefaultParagraphFont"/>
    <w:link w:val="DocumentMap"/>
    <w:uiPriority w:val="99"/>
    <w:semiHidden/>
    <w:rsid w:val="00EB69D3"/>
    <w:rPr>
      <w:rFonts w:ascii="Segoe UI" w:hAnsi="Segoe UI" w:cs="Segoe UI"/>
      <w:sz w:val="22"/>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rsid w:val="00EB69D3"/>
    <w:pPr>
      <w:spacing w:line="240" w:lineRule="auto"/>
    </w:pPr>
    <w:rPr>
      <w:sz w:val="22"/>
      <w:szCs w:val="20"/>
    </w:rPr>
  </w:style>
  <w:style w:type="character" w:customStyle="1" w:styleId="FootnoteTextChar">
    <w:name w:val="Footnote Text Char"/>
    <w:basedOn w:val="DefaultParagraphFont"/>
    <w:link w:val="FootnoteText"/>
    <w:uiPriority w:val="99"/>
    <w:semiHidden/>
    <w:rsid w:val="00EB69D3"/>
    <w:rPr>
      <w:sz w:val="22"/>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rsid w:val="00EB69D3"/>
    <w:pPr>
      <w:spacing w:line="240" w:lineRule="auto"/>
      <w:ind w:firstLine="0"/>
    </w:pPr>
    <w:rPr>
      <w:rFonts w:asciiTheme="majorHAnsi" w:eastAsiaTheme="majorEastAsia" w:hAnsiTheme="majorHAnsi" w:cstheme="majorBidi"/>
      <w:sz w:val="22"/>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5"/>
    <w:semiHidden/>
    <w:rsid w:val="00336906"/>
    <w:rPr>
      <w:rFonts w:asciiTheme="majorHAnsi" w:eastAsiaTheme="majorEastAsia" w:hAnsiTheme="majorHAnsi" w:cstheme="majorBidi"/>
      <w:color w:val="6E6E6E" w:themeColor="accent1" w:themeShade="7F"/>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rsid w:val="00EB69D3"/>
    <w:pPr>
      <w:spacing w:line="240" w:lineRule="auto"/>
      <w:ind w:firstLine="0"/>
    </w:pPr>
    <w:rPr>
      <w:rFonts w:ascii="Consolas" w:hAnsi="Consolas" w:cs="Consolas"/>
      <w:sz w:val="22"/>
      <w:szCs w:val="20"/>
    </w:rPr>
  </w:style>
  <w:style w:type="character" w:customStyle="1" w:styleId="HTMLPreformattedChar">
    <w:name w:val="HTML Preformatted Char"/>
    <w:basedOn w:val="DefaultParagraphFont"/>
    <w:link w:val="HTMLPreformatted"/>
    <w:uiPriority w:val="99"/>
    <w:semiHidden/>
    <w:rsid w:val="00EB69D3"/>
    <w:rPr>
      <w:rFonts w:ascii="Consolas" w:hAnsi="Consolas" w:cs="Consolas"/>
      <w:sz w:val="22"/>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rsid w:val="00EB69D3"/>
    <w:pPr>
      <w:pBdr>
        <w:top w:val="single" w:sz="4" w:space="10" w:color="6E6E6E" w:themeColor="accent1" w:themeShade="80"/>
        <w:bottom w:val="single" w:sz="4" w:space="10" w:color="6E6E6E" w:themeColor="accent1" w:themeShade="80"/>
      </w:pBdr>
      <w:spacing w:before="360" w:after="360"/>
      <w:ind w:left="864" w:right="864" w:firstLine="0"/>
      <w:jc w:val="center"/>
    </w:pPr>
    <w:rPr>
      <w:i/>
      <w:iCs/>
      <w:color w:val="6E6E6E" w:themeColor="accent1" w:themeShade="80"/>
    </w:rPr>
  </w:style>
  <w:style w:type="character" w:customStyle="1" w:styleId="IntenseQuoteChar">
    <w:name w:val="Intense Quote Char"/>
    <w:basedOn w:val="DefaultParagraphFont"/>
    <w:link w:val="IntenseQuote"/>
    <w:uiPriority w:val="30"/>
    <w:semiHidden/>
    <w:rsid w:val="00EB69D3"/>
    <w:rPr>
      <w:i/>
      <w:iCs/>
      <w:color w:val="6E6E6E" w:themeColor="accent1" w:themeShade="80"/>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8"/>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8"/>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semiHidden/>
    <w:unhideWhenUsed/>
    <w:qFormat/>
    <w:pPr>
      <w:ind w:left="720" w:firstLine="0"/>
      <w:contextualSpacing/>
    </w:pPr>
  </w:style>
  <w:style w:type="paragraph" w:styleId="MacroText">
    <w:name w:val="macro"/>
    <w:link w:val="MacroTextChar"/>
    <w:uiPriority w:val="99"/>
    <w:semiHidden/>
    <w:unhideWhenUsed/>
    <w:rsid w:val="00EB69D3"/>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2"/>
      <w:szCs w:val="20"/>
    </w:rPr>
  </w:style>
  <w:style w:type="character" w:customStyle="1" w:styleId="MacroTextChar">
    <w:name w:val="Macro Text Char"/>
    <w:basedOn w:val="DefaultParagraphFont"/>
    <w:link w:val="MacroText"/>
    <w:uiPriority w:val="99"/>
    <w:semiHidden/>
    <w:rsid w:val="00EB69D3"/>
    <w:rPr>
      <w:rFonts w:ascii="Consolas" w:hAnsi="Consolas" w:cs="Consolas"/>
      <w:kern w:val="24"/>
      <w:sz w:val="22"/>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rsid w:val="00EB69D3"/>
    <w:pPr>
      <w:spacing w:line="240" w:lineRule="auto"/>
      <w:ind w:firstLine="0"/>
    </w:pPr>
    <w:rPr>
      <w:rFonts w:ascii="Consolas" w:hAnsi="Consolas" w:cs="Consolas"/>
      <w:sz w:val="22"/>
      <w:szCs w:val="21"/>
    </w:rPr>
  </w:style>
  <w:style w:type="character" w:customStyle="1" w:styleId="PlainTextChar">
    <w:name w:val="Plain Text Char"/>
    <w:basedOn w:val="DefaultParagraphFont"/>
    <w:link w:val="PlainText"/>
    <w:uiPriority w:val="99"/>
    <w:semiHidden/>
    <w:rsid w:val="00EB69D3"/>
    <w:rPr>
      <w:rFonts w:ascii="Consolas" w:hAnsi="Consolas" w:cs="Consolas"/>
      <w:sz w:val="22"/>
      <w:szCs w:val="21"/>
    </w:rPr>
  </w:style>
  <w:style w:type="paragraph" w:styleId="Quote">
    <w:name w:val="Quote"/>
    <w:basedOn w:val="Normal"/>
    <w:next w:val="Normal"/>
    <w:link w:val="QuoteChar"/>
    <w:uiPriority w:val="29"/>
    <w:semiHidden/>
    <w:unhideWhenUsed/>
    <w:qFormat/>
    <w:pPr>
      <w:spacing w:before="200" w:after="160"/>
      <w:ind w:left="864" w:right="864" w:firstLine="0"/>
      <w:jc w:val="center"/>
    </w:pPr>
    <w:rPr>
      <w:i/>
      <w:iCs/>
      <w:color w:val="404040" w:themeColor="text1" w:themeTint="BF"/>
    </w:rPr>
  </w:style>
  <w:style w:type="character" w:customStyle="1" w:styleId="QuoteChar">
    <w:name w:val="Quote Char"/>
    <w:basedOn w:val="DefaultParagraphFont"/>
    <w:link w:val="Quote"/>
    <w:uiPriority w:val="29"/>
    <w:semiHidden/>
    <w:rPr>
      <w:i/>
      <w:iCs/>
      <w:color w:val="404040" w:themeColor="text1" w:themeTint="BF"/>
      <w:kern w:val="24"/>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qFormat/>
    <w:rPr>
      <w:vertAlign w:val="superscript"/>
    </w:rPr>
  </w:style>
  <w:style w:type="table" w:customStyle="1" w:styleId="APAReport">
    <w:name w:val="APA Report"/>
    <w:basedOn w:val="TableNormal"/>
    <w:uiPriority w:val="99"/>
    <w:rsid w:val="003F7CBD"/>
    <w:pPr>
      <w:spacing w:line="240" w:lineRule="auto"/>
      <w:ind w:firstLine="0"/>
    </w:pPr>
    <w:tblPr>
      <w:tblBorders>
        <w:top w:val="single" w:sz="12" w:space="0" w:color="auto"/>
        <w:bottom w:val="single" w:sz="12" w:space="0" w:color="auto"/>
      </w:tblBorders>
    </w:tblPr>
    <w:tblStylePr w:type="firstRow">
      <w:rPr>
        <w:rFonts w:asciiTheme="majorHAnsi" w:hAnsiTheme="majorHAnsi"/>
      </w:rPr>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7"/>
    <w:qFormat/>
    <w:pPr>
      <w:spacing w:before="240"/>
      <w:ind w:firstLine="0"/>
      <w:contextualSpacing/>
    </w:pPr>
  </w:style>
  <w:style w:type="paragraph" w:styleId="Footer">
    <w:name w:val="footer"/>
    <w:basedOn w:val="Normal"/>
    <w:link w:val="FooterChar"/>
    <w:uiPriority w:val="99"/>
    <w:qFormat/>
    <w:pPr>
      <w:tabs>
        <w:tab w:val="center" w:pos="4680"/>
        <w:tab w:val="right" w:pos="9360"/>
      </w:tabs>
      <w:spacing w:line="240" w:lineRule="auto"/>
    </w:pPr>
  </w:style>
  <w:style w:type="character" w:customStyle="1" w:styleId="FooterChar">
    <w:name w:val="Footer Char"/>
    <w:basedOn w:val="DefaultParagraphFont"/>
    <w:link w:val="Footer"/>
    <w:uiPriority w:val="99"/>
    <w:rsid w:val="00DB2E59"/>
  </w:style>
  <w:style w:type="character" w:styleId="CommentReference">
    <w:name w:val="annotation reference"/>
    <w:basedOn w:val="DefaultParagraphFont"/>
    <w:uiPriority w:val="99"/>
    <w:semiHidden/>
    <w:unhideWhenUsed/>
    <w:rsid w:val="00EB69D3"/>
    <w:rPr>
      <w:sz w:val="22"/>
      <w:szCs w:val="16"/>
    </w:rPr>
  </w:style>
  <w:style w:type="paragraph" w:styleId="EndnoteText">
    <w:name w:val="endnote text"/>
    <w:basedOn w:val="Normal"/>
    <w:link w:val="EndnoteTextChar"/>
    <w:uiPriority w:val="99"/>
    <w:semiHidden/>
    <w:unhideWhenUsed/>
    <w:qFormat/>
    <w:rsid w:val="00EB69D3"/>
    <w:pPr>
      <w:spacing w:line="240" w:lineRule="auto"/>
    </w:pPr>
    <w:rPr>
      <w:sz w:val="22"/>
      <w:szCs w:val="20"/>
    </w:rPr>
  </w:style>
  <w:style w:type="character" w:customStyle="1" w:styleId="EndnoteTextChar">
    <w:name w:val="Endnote Text Char"/>
    <w:basedOn w:val="DefaultParagraphFont"/>
    <w:link w:val="EndnoteText"/>
    <w:uiPriority w:val="99"/>
    <w:semiHidden/>
    <w:rsid w:val="00EB69D3"/>
    <w:rPr>
      <w:sz w:val="22"/>
      <w:szCs w:val="20"/>
    </w:rPr>
  </w:style>
  <w:style w:type="character" w:styleId="HTMLCode">
    <w:name w:val="HTML Code"/>
    <w:basedOn w:val="DefaultParagraphFont"/>
    <w:uiPriority w:val="99"/>
    <w:semiHidden/>
    <w:unhideWhenUsed/>
    <w:rsid w:val="00EB69D3"/>
    <w:rPr>
      <w:rFonts w:ascii="Consolas" w:hAnsi="Consolas"/>
      <w:sz w:val="22"/>
      <w:szCs w:val="20"/>
    </w:rPr>
  </w:style>
  <w:style w:type="character" w:styleId="HTMLKeyboard">
    <w:name w:val="HTML Keyboard"/>
    <w:basedOn w:val="DefaultParagraphFont"/>
    <w:uiPriority w:val="99"/>
    <w:semiHidden/>
    <w:unhideWhenUsed/>
    <w:rsid w:val="00EB69D3"/>
    <w:rPr>
      <w:rFonts w:ascii="Consolas" w:hAnsi="Consolas"/>
      <w:sz w:val="22"/>
      <w:szCs w:val="20"/>
    </w:rPr>
  </w:style>
  <w:style w:type="character" w:styleId="HTMLTypewriter">
    <w:name w:val="HTML Typewriter"/>
    <w:basedOn w:val="DefaultParagraphFont"/>
    <w:uiPriority w:val="99"/>
    <w:semiHidden/>
    <w:unhideWhenUsed/>
    <w:rsid w:val="00EB69D3"/>
    <w:rPr>
      <w:rFonts w:ascii="Consolas" w:hAnsi="Consolas"/>
      <w:sz w:val="22"/>
      <w:szCs w:val="20"/>
    </w:rPr>
  </w:style>
  <w:style w:type="paragraph" w:styleId="TOCHeading">
    <w:name w:val="TOC Heading"/>
    <w:basedOn w:val="Heading1"/>
    <w:next w:val="Normal"/>
    <w:uiPriority w:val="39"/>
    <w:semiHidden/>
    <w:unhideWhenUsed/>
    <w:qFormat/>
    <w:rsid w:val="00EB69D3"/>
    <w:pPr>
      <w:spacing w:before="240"/>
      <w:ind w:firstLine="720"/>
      <w:jc w:val="left"/>
      <w:outlineLvl w:val="9"/>
    </w:pPr>
    <w:rPr>
      <w:b w:val="0"/>
      <w:bCs w:val="0"/>
      <w:color w:val="6E6E6E" w:themeColor="accent1" w:themeShade="80"/>
      <w:sz w:val="32"/>
      <w:szCs w:val="32"/>
    </w:rPr>
  </w:style>
  <w:style w:type="character" w:styleId="IntenseReference">
    <w:name w:val="Intense Reference"/>
    <w:basedOn w:val="DefaultParagraphFont"/>
    <w:uiPriority w:val="32"/>
    <w:semiHidden/>
    <w:unhideWhenUsed/>
    <w:qFormat/>
    <w:rsid w:val="00EB69D3"/>
    <w:rPr>
      <w:b/>
      <w:bCs/>
      <w:caps w:val="0"/>
      <w:smallCaps/>
      <w:color w:val="6E6E6E" w:themeColor="accent1" w:themeShade="80"/>
      <w:spacing w:val="5"/>
    </w:rPr>
  </w:style>
  <w:style w:type="character" w:styleId="IntenseEmphasis">
    <w:name w:val="Intense Emphasis"/>
    <w:basedOn w:val="DefaultParagraphFont"/>
    <w:uiPriority w:val="21"/>
    <w:semiHidden/>
    <w:unhideWhenUsed/>
    <w:qFormat/>
    <w:rsid w:val="00EB69D3"/>
    <w:rPr>
      <w:i/>
      <w:iCs/>
      <w:color w:val="6E6E6E" w:themeColor="accent1" w:themeShade="80"/>
    </w:rPr>
  </w:style>
  <w:style w:type="table" w:styleId="GridTable4-Accent4">
    <w:name w:val="Grid Table 4 Accent 4"/>
    <w:basedOn w:val="TableNormal"/>
    <w:uiPriority w:val="49"/>
    <w:rsid w:val="003F7CBD"/>
    <w:pPr>
      <w:spacing w:line="240" w:lineRule="auto"/>
    </w:p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color w:val="FFFFFF" w:themeColor="background1"/>
      </w:rPr>
      <w:tblPr/>
      <w:tcPr>
        <w:tcBorders>
          <w:top w:val="single" w:sz="4" w:space="0" w:color="808080" w:themeColor="accent4"/>
          <w:left w:val="single" w:sz="4" w:space="0" w:color="808080" w:themeColor="accent4"/>
          <w:bottom w:val="single" w:sz="4" w:space="0" w:color="808080" w:themeColor="accent4"/>
          <w:right w:val="single" w:sz="4" w:space="0" w:color="808080" w:themeColor="accent4"/>
          <w:insideH w:val="nil"/>
          <w:insideV w:val="nil"/>
        </w:tcBorders>
        <w:shd w:val="clear" w:color="auto" w:fill="808080" w:themeFill="accent4"/>
      </w:tcPr>
    </w:tblStylePr>
    <w:tblStylePr w:type="lastRow">
      <w:rPr>
        <w:b/>
        <w:bCs/>
      </w:rPr>
      <w:tblPr/>
      <w:tcPr>
        <w:tcBorders>
          <w:top w:val="double" w:sz="4" w:space="0" w:color="808080" w:themeColor="accent4"/>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GridTable2-Accent1">
    <w:name w:val="Grid Table 2 Accent 1"/>
    <w:basedOn w:val="TableNormal"/>
    <w:uiPriority w:val="47"/>
    <w:rsid w:val="008A78F1"/>
    <w:pPr>
      <w:spacing w:line="240" w:lineRule="auto"/>
    </w:pPr>
    <w:tblPr>
      <w:tblStyleRowBandSize w:val="1"/>
      <w:tblStyleColBandSize w:val="1"/>
      <w:tblBorders>
        <w:top w:val="single" w:sz="2" w:space="0" w:color="EAEAEA" w:themeColor="accent1" w:themeTint="99"/>
        <w:bottom w:val="single" w:sz="2" w:space="0" w:color="EAEAEA" w:themeColor="accent1" w:themeTint="99"/>
        <w:insideH w:val="single" w:sz="2" w:space="0" w:color="EAEAEA" w:themeColor="accent1" w:themeTint="99"/>
        <w:insideV w:val="single" w:sz="2" w:space="0" w:color="EAEAEA" w:themeColor="accent1" w:themeTint="99"/>
      </w:tblBorders>
      <w:tblCellMar>
        <w:left w:w="0" w:type="dxa"/>
        <w:right w:w="0" w:type="dxa"/>
      </w:tblCellMar>
    </w:tblPr>
    <w:tblStylePr w:type="firstRow">
      <w:rPr>
        <w:b w:val="0"/>
        <w:bCs/>
        <w:i w:val="0"/>
      </w:rPr>
      <w:tblPr/>
      <w:tcPr>
        <w:tcBorders>
          <w:top w:val="nil"/>
          <w:left w:val="nil"/>
          <w:bottom w:val="nil"/>
          <w:right w:val="nil"/>
          <w:insideH w:val="nil"/>
          <w:insideV w:val="nil"/>
          <w:tl2br w:val="nil"/>
          <w:tr2bl w:val="nil"/>
        </w:tcBorders>
        <w:shd w:val="clear" w:color="auto" w:fill="FFFFFF" w:themeFill="background1"/>
      </w:tcPr>
    </w:tblStylePr>
    <w:tblStylePr w:type="lastRow">
      <w:rPr>
        <w:b/>
        <w:bCs/>
      </w:rPr>
      <w:tblPr/>
      <w:tcPr>
        <w:tcBorders>
          <w:top w:val="double" w:sz="2" w:space="0" w:color="EAEAEA"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8F8F8" w:themeFill="accent1" w:themeFillTint="33"/>
      </w:tcPr>
    </w:tblStylePr>
    <w:tblStylePr w:type="band1Horz">
      <w:tblPr/>
      <w:tcPr>
        <w:shd w:val="clear" w:color="auto" w:fill="F8F8F8" w:themeFill="accent1" w:themeFillTint="33"/>
      </w:tcPr>
    </w:tblStylePr>
  </w:style>
  <w:style w:type="character" w:styleId="Hyperlink">
    <w:name w:val="Hyperlink"/>
    <w:basedOn w:val="DefaultParagraphFont"/>
    <w:uiPriority w:val="99"/>
    <w:semiHidden/>
    <w:unhideWhenUsed/>
    <w:rsid w:val="00741F6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304388639">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https://www.amazon.com/God-Gay-Christian-Biblical-Relationships/dp/160142518X"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www.amazon.com/God-Gay-Christian-Biblical-Relationships/dp/160142518X"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Roaming\Microsoft\Templates\APA%20style%20paper.dotx" TargetMode="External"/></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6C6C6C"/>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employees xmlns="http://schemas.microsoft.com/temp/samples">
  <employee>
    <CustomerName>&lt;?xml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wp14"&gt;&lt;w:body&gt;&lt;w:p w:rsidR="00000000" w:rsidRDefault="00DC0EA1"&gt;&lt;w:r w:rsidRPr="005218E6"&gt;&lt;w:t&gt;Christian Ethics and Sexual Orientation&lt;/w:t&gt;&lt;/w:r&gt;&lt;/w:p&gt;&lt;w:sectPr w:rsidR="00000000"&gt;&lt;w:pgSz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Id="rId2" Type="http://schemas.openxmlformats.org/officeDocument/2006/relationships/styles" Target="styles.xml"/&gt;&lt;Relationship Id="rId1" Type="http://schemas.openxmlformats.org/officeDocument/2006/relationships/numbering" Target="numbering.xml"/&gt;&lt;/Relationships&gt;&lt;/pkg:xmlData&gt;&lt;/pkg:part&gt;&lt;pkg:part pkg:name="/word/numbering.xml" pkg:contentType="application/vnd.openxmlformats-officedocument.wordprocessingml.numbering+xml"&gt;&lt;pkg:xmlData&gt;&lt;w:numbering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wp14"&gt;&lt;w:abstractNum w:abstractNumId="0" w15:restartNumberingAfterBreak="0"&gt;&lt;w:nsid w:val="FFFFFF7C"/&gt;&lt;w:multiLevelType w:val="singleLevel"/&gt;&lt;w:tmpl w:val="6ED08D94"/&gt;&lt;w:lvl w:ilvl="0"&gt;&lt;w:start w:val="1"/&gt;&lt;w:numFmt w:val="decimal"/&gt;&lt;w:pStyle w:val="ListNumber5"/&gt;&lt;w:lvlText w:val="%1."/&gt;&lt;w:lvlJc w:val="left"/&gt;&lt;w:pPr&gt;&lt;w:tabs&gt;&lt;w:tab w:val="num" w:pos="1800"/&gt;&lt;/w:tabs&gt;&lt;w:ind w:left="1800" w:hanging="360"/&gt;&lt;/w:pPr&gt;&lt;/w:lvl&gt;&lt;/w:abstractNum&gt;&lt;w:abstractNum w:abstractNumId="1" w15:restartNumberingAfterBreak="0"&gt;&lt;w:nsid w:val="FFFFFF7D"/&gt;&lt;w:multiLevelType w:val="singleLevel"/&gt;&lt;w:tmpl w:val="3D5203EE"/&gt;&lt;w:lvl w:ilvl="0"&gt;&lt;w:start w:val="1"/&gt;&lt;w:numFmt w:val="decimal"/&gt;&lt;w:pStyle w:val="ListNumber4"/&gt;&lt;w:lvlText w:val="%1."/&gt;&lt;w:lvlJc w:val="left"/&gt;&lt;w:pPr&gt;&lt;w:tabs&gt;&lt;w:tab w:val="num" w:pos="1440"/&gt;&lt;/w:tabs&gt;&lt;w:ind w:left="1440" w:hanging="360"/&gt;&lt;/w:pPr&gt;&lt;/w:lvl&gt;&lt;/w:abstractNum&gt;&lt;w:abstractNum w:abstractNumId="2" w15:restartNumberingAfterBreak="0"&gt;&lt;w:nsid w:val="FFFFFF7E"/&gt;&lt;w:multiLevelType w:val="singleLevel"/&gt;&lt;w:tmpl w:val="F2DC96EC"/&gt;&lt;w:lvl w:ilvl="0"&gt;&lt;w:start w:val="1"/&gt;&lt;w:numFmt w:val="decimal"/&gt;&lt;w:pStyle w:val="ListNumber3"/&gt;&lt;w:lvlText w:val="%1."/&gt;&lt;w:lvlJc w:val="left"/&gt;&lt;w:pPr&gt;&lt;w:tabs&gt;&lt;w:tab w:val="num" w:pos="1080"/&gt;&lt;/w:tabs&gt;&lt;w:ind w:left="1080" w:hanging="360"/&gt;&lt;/w:pPr&gt;&lt;/w:lvl&gt;&lt;/w:abstractNum&gt;&lt;w:abstractNum w:abstractNumId="3" w15:restartNumberingAfterBreak="0"&gt;&lt;w:nsid w:val="FFFFFF7F"/&gt;&lt;w:multiLevelType w:val="singleLevel"/&gt;&lt;w:tmpl w:val="94D2CA36"/&gt;&lt;w:lvl w:ilvl="0"&gt;&lt;w:start w:val="1"/&gt;&lt;w:numFmt w:val="decimal"/&gt;&lt;w:pStyle w:val="ListNumber2"/&gt;&lt;w:lvlText w:val="%1."/&gt;&lt;w:lvlJc w:val="left"/&gt;&lt;w:pPr&gt;&lt;w:tabs&gt;&lt;w:tab w:val="num" w:pos="720"/&gt;&lt;/w:tabs&gt;&lt;w:ind w:left="720" w:hanging="360"/&gt;&lt;/w:pPr&gt;&lt;/w:lvl&gt;&lt;/w:abstractNum&gt;&lt;w:abstractNum w:abstractNumId="4" w15:restartNumberingAfterBreak="0"&gt;&lt;w:nsid w:val="FFFFFF80"/&gt;&lt;w:multiLevelType w:val="singleLevel"/&gt;&lt;w:tmpl w:val="17BCEBA6"/&gt;&lt;w:lvl w:ilvl="0"&gt;&lt;w:start w:val="1"/&gt;&lt;w:numFmt w:val="bullet"/&gt;&lt;w:pStyle w:val="ListBullet5"/&gt;&lt;w:lvlText w:val=""/&gt;&lt;w:lvlJc w:val="left"/&gt;&lt;w:pPr&gt;&lt;w:tabs&gt;&lt;w:tab w:val="num" w:pos="1800"/&gt;&lt;/w:tabs&gt;&lt;w:ind w:left="1800" w:hanging="360"/&gt;&lt;/w:pPr&gt;&lt;w:rPr&gt;&lt;w:rFonts w:ascii="Symbol" w:hAnsi="Symbol" w:hint="default"/&gt;&lt;/w:rPr&gt;&lt;/w:lvl&gt;&lt;/w:abstractNum&gt;&lt;w:abstractNum w:abstractNumId="5" w15:restartNumberingAfterBreak="0"&gt;&lt;w:nsid w:val="FFFFFF81"/&gt;&lt;w:multiLevelType w:val="singleLevel"/&gt;&lt;w:tmpl w:val="7D386FFE"/&gt;&lt;w:lvl w:ilvl="0"&gt;&lt;w:start w:val="1"/&gt;&lt;w:numFmt w:val="bullet"/&gt;&lt;w:pStyle w:val="ListBullet4"/&gt;&lt;w:lvlText w:val=""/&gt;&lt;w:lvlJc w:val="left"/&gt;&lt;w:pPr&gt;&lt;w:tabs&gt;&lt;w:tab w:val="num" w:pos="1440"/&gt;&lt;/w:tabs&gt;&lt;w:ind w:left="1440" w:hanging="360"/&gt;&lt;/w:pPr&gt;&lt;w:rPr&gt;&lt;w:rFonts w:ascii="Symbol" w:hAnsi="Symbol" w:hint="default"/&gt;&lt;/w:rPr&gt;&lt;/w:lvl&gt;&lt;/w:abstractNum&gt;&lt;w:abstractNum w:abstractNumId="6" w15:restartNumberingAfterBreak="0"&gt;&lt;w:nsid w:val="FFFFFF82"/&gt;&lt;w:multiLevelType w:val="singleLevel"/&gt;&lt;w:tmpl w:val="D73A80FE"/&gt;&lt;w:lvl w:ilvl="0"&gt;&lt;w:start w:val="1"/&gt;&lt;w:numFmt w:val="bullet"/&gt;&lt;w:pStyle w:val="ListBullet3"/&gt;&lt;w:lvlText w:val=""/&gt;&lt;w:lvlJc w:val="left"/&gt;&lt;w:pPr&gt;&lt;w:tabs&gt;&lt;w:tab w:val="num" w:pos="1080"/&gt;&lt;/w:tabs&gt;&lt;w:ind w:left="1080" w:hanging="360"/&gt;&lt;/w:pPr&gt;&lt;w:rPr&gt;&lt;w:rFonts w:ascii="Symbol" w:hAnsi="Symbol" w:hint="default"/&gt;&lt;/w:rPr&gt;&lt;/w:lvl&gt;&lt;/w:abstractNum&gt;&lt;w:abstractNum w:abstractNumId="7" w15:restartNumberingAfterBreak="0"&gt;&lt;w:nsid w:val="FFFFFF83"/&gt;&lt;w:multiLevelType w:val="singleLevel"/&gt;&lt;w:tmpl w:val="0AB08068"/&gt;&lt;w:lvl w:ilvl="0"&gt;&lt;w:start w:val="1"/&gt;&lt;w:numFmt w:val="bullet"/&gt;&lt;w:pStyle w:val="ListBullet2"/&gt;&lt;w:lvlText w:val=""/&gt;&lt;w:lvlJc w:val="left"/&gt;&lt;w:pPr&gt;&lt;w:tabs&gt;&lt;w:tab w:val="num" w:pos="720"/&gt;&lt;/w:tabs&gt;&lt;w:ind w:left="720" w:hanging="360"/&gt;&lt;/w:pPr&gt;&lt;w:rPr&gt;&lt;w:rFonts w:ascii="Symbol" w:hAnsi="Symbol" w:hint="default"/&gt;&lt;/w:rPr&gt;&lt;/w:lvl&gt;&lt;/w:abstractNum&gt;&lt;w:abstractNum w:abstractNumId="8" w15:restartNumberingAfterBreak="0"&gt;&lt;w:nsid w:val="FFFFFF88"/&gt;&lt;w:multiLevelType w:val="singleLevel"/&gt;&lt;w:tmpl w:val="D6E00290"/&gt;&lt;w:lvl w:ilvl="0"&gt;&lt;w:start w:val="1"/&gt;&lt;w:numFmt w:val="decimal"/&gt;&lt;w:pStyle w:val="ListNumber"/&gt;&lt;w:lvlText w:val="%1."/&gt;&lt;w:lvlJc w:val="left"/&gt;&lt;w:pPr&gt;&lt;w:tabs&gt;&lt;w:tab w:val="num" w:pos="1080"/&gt;&lt;/w:tabs&gt;&lt;w:ind w:left="1080" w:hanging="360"/&gt;&lt;/w:pPr&gt;&lt;w:rPr&gt;&lt;w:rFonts w:hint="default"/&gt;&lt;/w:rPr&gt;&lt;/w:lvl&gt;&lt;/w:abstractNum&gt;&lt;w:abstractNum w:abstractNumId="9" w15:restartNumberingAfterBreak="0"&gt;&lt;w:nsid w:val="FFFFFF89"/&gt;&lt;w:multiLevelType w:val="singleLevel"/&gt;&lt;w:tmpl w:val="D6FC344C"/&gt;&lt;w:lvl w:ilvl="0"&gt;&lt;w:start w:val="1"/&gt;&lt;w:numFmt w:val="bullet"/&gt;&lt;w:pStyle w:val="ListBullet"/&gt;&lt;w:lvlText w:val=""/&gt;&lt;w:lvlJc w:val="left"/&gt;&lt;w:pPr&gt;&lt;w:tabs&gt;&lt;w:tab w:val="num" w:pos="1080"/&gt;&lt;/w:tabs&gt;&lt;w:ind w:left="1080" w:hanging="360"/&gt;&lt;/w:pPr&gt;&lt;w:rPr&gt;&lt;w:rFonts w:ascii="Symbol" w:hAnsi="Symbol" w:hint="default"/&gt;&lt;/w:rPr&gt;&lt;/w:lvl&gt;&lt;/w:abstractNum&gt;&lt;w:num w:numId="1"&gt;&lt;w:abstractNumId w:val="9"/&gt;&lt;/w:num&gt;&lt;w:num w:numId="2"&gt;&lt;w:abstractNumId w:val="7"/&gt;&lt;/w:num&gt;&lt;w:num w:numId="3"&gt;&lt;w:abstractNumId w:val="6"/&gt;&lt;/w:num&gt;&lt;w:num w:numId="4"&gt;&lt;w:abstractNumId w:val="5"/&gt;&lt;/w:num&gt;&lt;w:num w:numId="5"&gt;&lt;w:abstractNumId w:val="4"/&gt;&lt;/w:num&gt;&lt;w:num w:numId="6"&gt;&lt;w:abstractNumId w:val="8"/&gt;&lt;/w:num&gt;&lt;w:num w:numId="7"&gt;&lt;w:abstractNumId w:val="3"/&gt;&lt;/w:num&gt;&lt;w:num w:numId="8"&gt;&lt;w:abstractNumId w:val="2"/&gt;&lt;/w:num&gt;&lt;w:num w:numId="9"&gt;&lt;w:abstractNumId w:val="1"/&gt;&lt;/w:num&gt;&lt;w:num w:numId="10"&gt;&lt;w:abstractNumId w:val="0"/&gt;&lt;/w:num&gt;&lt;w:num w:numId="11"&gt;&lt;w:abstractNumId w:val="9"/&gt;&lt;w:lvlOverride w:ilvl="0"&gt;&lt;w:startOverride w:val="1"/&gt;&lt;/w:lvlOverride&gt;&lt;/w:num&gt;&lt;/w:numbering&gt;&lt;/pkg:xmlData&gt;&lt;/pkg:part&gt;&lt;pkg:part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w16cid"&gt;&lt;w:docDefaults&gt;&lt;w:rPrDefault&gt;&lt;w:rPr&gt;&lt;w:rFonts w:asciiTheme="minorHAnsi" w:eastAsiaTheme="minorEastAsia" w:hAnsiTheme="minorHAnsi" w:cstheme="minorBidi"/&gt;&lt;w:color w:val="000000" w:themeColor="text1"/&gt;&lt;w:sz w:val="24"/&gt;&lt;w:szCs w:val="24"/&gt;&lt;w:lang w:val="en-US" w:eastAsia="ja-JP" w:bidi="ar-SA"/&gt;&lt;/w:rPr&gt;&lt;/w:rPrDefault&gt;&lt;w:pPrDefault&gt;&lt;w:pPr&gt;&lt;w:spacing w:line="480" w:lineRule="auto"/&gt;&lt;w:ind w:firstLine="720"/&gt;&lt;/w:pPr&gt;&lt;/w:pPrDefault&gt;&lt;/w:docDefaults&gt;&lt;w:style w:type="paragraph" w:default="1" w:styleId="Normal"&gt;&lt;w:name w:val="Normal"/&gt;&lt;w:qFormat/&gt;&lt;w:rsid w:val="00C925C8"/&gt;&lt;/w:style&gt;&lt;w:style w:type="paragraph" w:styleId="Heading1"&gt;&lt;w:name w:val="heading 1"/&gt;&lt;w:basedOn w:val="Normal"/&gt;&lt;w:next w:val="Normal"/&gt;&lt;w:link w:val="Heading1Char"/&gt;&lt;w:uiPriority w:val="5"/&gt;&lt;w:qFormat/&gt;&lt;w:pPr&gt;&lt;w:keepNext/&gt;&lt;w:keepLines/&gt;&lt;w:ind w:firstLine="0"/&gt;&lt;w:jc w:val="center"/&gt;&lt;w:outlineLvl w:val="0"/&gt;&lt;/w:pPr&gt;&lt;w:rPr&gt;&lt;w:rFonts w:asciiTheme="majorHAnsi" w:eastAsiaTheme="majorEastAsia" w:hAnsiTheme="majorHAnsi" w:cstheme="majorBidi"/&gt;&lt;w:b/&gt;&lt;w:bCs/&gt;&lt;/w:rPr&gt;&lt;/w:style&gt;&lt;w:style w:type="paragraph" w:styleId="Heading2"&gt;&lt;w:name w:val="heading 2"/&gt;&lt;w:basedOn w:val="Normal"/&gt;&lt;w:next w:val="Normal"/&gt;&lt;w:link w:val="Heading2Char"/&gt;&lt;w:uiPriority w:val="5"/&gt;&lt;w:qFormat/&gt;&lt;w:pPr&gt;&lt;w:keepNext/&gt;&lt;w:keepLines/&gt;&lt;w:ind w:firstLine="0"/&gt;&lt;w:outlineLvl w:val="1"/&gt;&lt;/w:pPr&gt;&lt;w:rPr&gt;&lt;w:rFonts w:asciiTheme="majorHAnsi" w:eastAsiaTheme="majorEastAsia" w:hAnsiTheme="majorHAnsi" w:cstheme="majorBidi"/&gt;&lt;w:b/&gt;&lt;w:bCs/&gt;&lt;/w:rPr&gt;&lt;/w:style&gt;&lt;w:style w:type="paragraph" w:styleId="Heading3"&gt;&lt;w:name w:val="heading 3"/&gt;&lt;w:basedOn w:val="Normal"/&gt;&lt;w:next w:val="Normal"/&gt;&lt;w:link w:val="Heading3Char"/&gt;&lt;w:uiPriority w:val="5"/&gt;&lt;w:qFormat/&gt;&lt;w:pPr&gt;&lt;w:keepNext/&gt;&lt;w:keepLines/&gt;&lt;w:outlineLvl w:val="2"/&gt;&lt;/w:pPr&gt;&lt;w:rPr&gt;&lt;w:rFonts w:asciiTheme="majorHAnsi" w:eastAsiaTheme="majorEastAsia" w:hAnsiTheme="majorHAnsi" w:cstheme="majorBidi"/&gt;&lt;w:b/&gt;&lt;w:bCs/&gt;&lt;/w:rPr&gt;&lt;/w:style&gt;&lt;w:style w:type="paragraph" w:styleId="Heading4"&gt;&lt;w:name w:val="heading 4"/&gt;&lt;w:basedOn w:val="Normal"/&gt;&lt;w:next w:val="Normal"/&gt;&lt;w:link w:val="Heading4Char"/&gt;&lt;w:uiPriority w:val="5"/&gt;&lt;w:qFormat/&gt;&lt;w:pPr&gt;&lt;w:keepNext/&gt;&lt;w:keepLines/&gt;&lt;w:outlineLvl w:val="3"/&gt;&lt;/w:pPr&gt;&lt;w:rPr&gt;&lt;w:rFonts w:asciiTheme="majorHAnsi" w:eastAsiaTheme="majorEastAsia" w:hAnsiTheme="majorHAnsi" w:cstheme="majorBidi"/&gt;&lt;w:b/&gt;&lt;w:bCs/&gt;&lt;w:i/&gt;&lt;w:iCs/&gt;&lt;/w:rPr&gt;&lt;/w:style&gt;&lt;w:style w:type="paragraph" w:styleId="Heading5"&gt;&lt;w:name w:val="heading 5"/&gt;&lt;w:basedOn w:val="Normal"/&gt;&lt;w:next w:val="Normal"/&gt;&lt;w:link w:val="Heading5Char"/&gt;&lt;w:uiPriority w:val="5"/&gt;&lt;w:qFormat/&gt;&lt;w:pPr&gt;&lt;w:keepNext/&gt;&lt;w:keepLines/&gt;&lt;w:outlineLvl w:val="4"/&gt;&lt;/w:pPr&gt;&lt;w:rPr&gt;&lt;w:rFonts w:asciiTheme="majorHAnsi" w:eastAsiaTheme="majorEastAsia" w:hAnsiTheme="majorHAnsi" w:cstheme="majorBidi"/&gt;&lt;w:i/&gt;&lt;w:iCs/&gt;&lt;/w:rPr&gt;&lt;/w:style&gt;&lt;w:style w:type="paragraph" w:styleId="Heading6"&gt;&lt;w:name w:val="heading 6"/&gt;&lt;w:basedOn w:val="Normal"/&gt;&lt;w:next w:val="Normal"/&gt;&lt;w:link w:val="Heading6Char"/&gt;&lt;w:uiPriority w:val="5"/&gt;&lt;w:semiHidden/&gt;&lt;w:qFormat/&gt;&lt;w:pPr&gt;&lt;w:keepNext/&gt;&lt;w:keepLines/&gt;&lt;w:spacing w:before="40"/&gt;&lt;w:ind w:firstLine="0"/&gt;&lt;w:outlineLvl w:val="5"/&gt;&lt;/w:pPr&gt;&lt;w:rPr&gt;&lt;w:rFonts w:asciiTheme="majorHAnsi" w:eastAsiaTheme="majorEastAsia" w:hAnsiTheme="majorHAnsi" w:cstheme="majorBidi"/&gt;&lt;w:color w:val="6E6E6E" w:themeColor="accent1" w:themeShade="7F"/&gt;&lt;/w:rPr&gt;&lt;/w:style&gt;&lt;w:style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 w:type="paragraph" w:customStyle="1" w:styleId="SectionTitle"&gt;&lt;w:name w:val="Section Title"/&gt;&lt;w:basedOn w:val="Normal"/&gt;&lt;w:next w:val="Normal"/&gt;&lt;w:uiPriority w:val="2"/&gt;&lt;w:qFormat/&gt;&lt;w:pPr&gt;&lt;w:pageBreakBefore/&gt;&lt;w:ind w:firstLine="0"/&gt;&lt;w:jc w:val="center"/&gt;&lt;w:outlineLvl w:val="0"/&gt;&lt;/w:pPr&gt;&lt;w:rPr&gt;&lt;w:rFonts w:asciiTheme="majorHAnsi" w:eastAsiaTheme="majorEastAsia" w:hAnsiTheme="majorHAnsi" w:cstheme="majorBidi"/&gt;&lt;/w:rPr&gt;&lt;/w:style&gt;&lt;w:style w:type="paragraph" w:styleId="Header"&gt;&lt;w:name w:val="header"/&gt;&lt;w:basedOn w:val="Normal"/&gt;&lt;w:link w:val="HeaderChar"/&gt;&lt;w:uiPriority w:val="99"/&gt;&lt;w:qFormat/&gt;&lt;w:pPr&gt;&lt;w:spacing w:line="240" w:lineRule="auto"/&gt;&lt;w:ind w:firstLine="0"/&gt;&lt;/w:pPr&gt;&lt;/w:style&gt;&lt;w:style w:type="character" w:customStyle="1" w:styleId="HeaderChar"&gt;&lt;w:name w:val="Header Char"/&gt;&lt;w:basedOn w:val="DefaultParagraphFont"/&gt;&lt;w:link w:val="Header"/&gt;&lt;w:uiPriority w:val="99"/&gt;&lt;w:rsid w:val="00DB2E59"/&gt;&lt;/w:style&gt;&lt;w:style w:type="character" w:styleId="PlaceholderText"&gt;&lt;w:name w:val="Placeholder Text"/&gt;&lt;w:basedOn w:val="DefaultParagraphFont"/&gt;&lt;w:uiPriority w:val="99"/&gt;&lt;w:semiHidden/&gt;&lt;w:rsid w:val="00EB69D3"/&gt;&lt;w:rPr&gt;&lt;w:color w:val="000000" w:themeColor="text1"/&gt;&lt;/w:rPr&gt;&lt;/w:style&gt;&lt;w:style w:type="paragraph" w:styleId="NoSpacing"&gt;&lt;w:name w:val="No Spacing"/&gt;&lt;w:aliases w:val="No Indent"/&gt;&lt;w:uiPriority w:val="3"/&gt;&lt;w:qFormat/&gt;&lt;w:pPr&gt;&lt;w:ind w:firstLine="0"/&gt;&lt;/w:pPr&gt;&lt;/w:style&gt;&lt;w:style w:type="character" w:customStyle="1" w:styleId="Heading1Char"&gt;&lt;w:name w:val="Heading 1 Char"/&gt;&lt;w:basedOn w:val="DefaultParagraphFont"/&gt;&lt;w:link w:val="Heading1"/&gt;&lt;w:uiPriority w:val="5"/&gt;&lt;w:rsid w:val="00DB2E59"/&gt;&lt;w:rPr&gt;&lt;w:rFonts w:asciiTheme="majorHAnsi" w:eastAsiaTheme="majorEastAsia" w:hAnsiTheme="majorHAnsi" w:cstheme="majorBidi"/&gt;&lt;w:b/&gt;&lt;w:bCs/&gt;&lt;/w:rPr&gt;&lt;/w:style&gt;&lt;w:style w:type="character" w:customStyle="1" w:styleId="Heading2Char"&gt;&lt;w:name w:val="Heading 2 Char"/&gt;&lt;w:basedOn w:val="DefaultParagraphFont"/&gt;&lt;w:link w:val="Heading2"/&gt;&lt;w:uiPriority w:val="5"/&gt;&lt;w:rsid w:val="00DB2E59"/&gt;&lt;w:rPr&gt;&lt;w:rFonts w:asciiTheme="majorHAnsi" w:eastAsiaTheme="majorEastAsia" w:hAnsiTheme="majorHAnsi" w:cstheme="majorBidi"/&gt;&lt;w:b/&gt;&lt;w:bCs/&gt;&lt;/w:rPr&gt;&lt;/w:style&gt;&lt;w:style w:type="paragraph" w:styleId="Title"&gt;&lt;w:name w:val="Title"/&gt;&lt;w:basedOn w:val="Normal"/&gt;&lt;w:next w:val="Normal"/&gt;&lt;w:link w:val="TitleChar"/&gt;&lt;w:uiPriority w:val="1"/&gt;&lt;w:qFormat/&gt;&lt;w:pPr&gt;&lt;w:spacing w:before="2400"/&gt;&lt;w:ind w:firstLine="0"/&gt;&lt;w:contextualSpacing/&gt;&lt;w:jc w:val="center"/&gt;&lt;/w:pPr&gt;&lt;w:rPr&gt;&lt;w:rFonts w:asciiTheme="majorHAnsi" w:eastAsiaTheme="majorEastAsia" w:hAnsiTheme="majorHAnsi" w:cstheme="majorBidi"/&gt;&lt;/w:rPr&gt;&lt;/w:style&gt;&lt;w:style w:type="character" w:customStyle="1" w:styleId="TitleChar"&gt;&lt;w:name w:val="Title Char"/&gt;&lt;w:basedOn w:val="DefaultParagraphFont"/&gt;&lt;w:link w:val="Title"/&gt;&lt;w:uiPriority w:val="1"/&gt;&lt;w:rPr&gt;&lt;w:rFonts w:asciiTheme="majorHAnsi" w:eastAsiaTheme="majorEastAsia" w:hAnsiTheme="majorHAnsi" w:cstheme="majorBidi"/&gt;&lt;/w:rPr&gt;&lt;/w:style&gt;&lt;w:style w:type="character" w:styleId="Emphasis"&gt;&lt;w:name w:val="Emphasis"/&gt;&lt;w:basedOn w:val="DefaultParagraphFont"/&gt;&lt;w:uiPriority w:val="4"/&gt;&lt;w:qFormat/&gt;&lt;w:rPr&gt;&lt;w:i/&gt;&lt;w:iCs/&gt;&lt;/w:rPr&gt;&lt;/w:style&gt;&lt;w:style w:type="character" w:customStyle="1" w:styleId="Heading3Char"&gt;&lt;w:name w:val="Heading 3 Char"/&gt;&lt;w:basedOn w:val="DefaultParagraphFont"/&gt;&lt;w:link w:val="Heading3"/&gt;&lt;w:uiPriority w:val="5"/&gt;&lt;w:rsid w:val="00DB2E59"/&gt;&lt;w:rPr&gt;&lt;w:rFonts w:asciiTheme="majorHAnsi" w:eastAsiaTheme="majorEastAsia" w:hAnsiTheme="majorHAnsi" w:cstheme="majorBidi"/&gt;&lt;w:b/&gt;&lt;w:bCs/&gt;&lt;/w:rPr&gt;&lt;/w:style&gt;&lt;w:style w:type="character" w:customStyle="1" w:styleId="Heading4Char"&gt;&lt;w:name w:val="Heading 4 Char"/&gt;&lt;w:basedOn w:val="DefaultParagraphFont"/&gt;&lt;w:link w:val="Heading4"/&gt;&lt;w:uiPriority w:val="5"/&gt;&lt;w:rsid w:val="00DB2E59"/&gt;&lt;w:rPr&gt;&lt;w:rFonts w:asciiTheme="majorHAnsi" w:eastAsiaTheme="majorEastAsia" w:hAnsiTheme="majorHAnsi" w:cstheme="majorBidi"/&gt;&lt;w:b/&gt;&lt;w:bCs/&gt;&lt;w:i/&gt;&lt;w:iCs/&gt;&lt;/w:rPr&gt;&lt;/w:style&gt;&lt;w:style w:type="character" w:customStyle="1" w:styleId="Heading5Char"&gt;&lt;w:name w:val="Heading 5 Char"/&gt;&lt;w:basedOn w:val="DefaultParagraphFont"/&gt;&lt;w:link w:val="Heading5"/&gt;&lt;w:uiPriority w:val="5"/&gt;&lt;w:rsid w:val="00DB2E59"/&gt;&lt;w:rPr&gt;&lt;w:rFonts w:asciiTheme="majorHAnsi" w:eastAsiaTheme="majorEastAsia" w:hAnsiTheme="majorHAnsi" w:cstheme="majorBidi"/&gt;&lt;w:i/&gt;&lt;w:iCs/&gt;&lt;/w:rPr&gt;&lt;/w:style&gt;&lt;w:style w:type="paragraph" w:styleId="BalloonText"&gt;&lt;w:name w:val="Balloon Text"/&gt;&lt;w:basedOn w:val="Normal"/&gt;&lt;w:link w:val="BalloonTextChar"/&gt;&lt;w:uiPriority w:val="99"/&gt;&lt;w:semiHidden/&gt;&lt;w:unhideWhenUsed/&gt;&lt;w:rsid w:val="00EB69D3"/&gt;&lt;w:pPr&gt;&lt;w:spacing w:line="240" w:lineRule="auto"/&gt;&lt;w:ind w:firstLine="0"/&gt;&lt;/w:pPr&gt;&lt;w:rPr&gt;&lt;w:rFonts w:ascii="Segoe UI" w:hAnsi="Segoe UI" w:cs="Segoe UI"/&gt;&lt;w:sz w:val="22"/&gt;&lt;w:szCs w:val="18"/&gt;&lt;/w:rPr&gt;&lt;/w:style&gt;&lt;w:style w:type="character" w:customStyle="1" w:styleId="BalloonTextChar"&gt;&lt;w:name w:val="Balloon Text Char"/&gt;&lt;w:basedOn w:val="DefaultParagraphFont"/&gt;&lt;w:link w:val="BalloonText"/&gt;&lt;w:uiPriority w:val="99"/&gt;&lt;w:semiHidden/&gt;&lt;w:rsid w:val="00EB69D3"/&gt;&lt;w:rPr&gt;&lt;w:rFonts w:ascii="Segoe UI" w:hAnsi="Segoe UI" w:cs="Segoe UI"/&gt;&lt;w:sz w:val="22"/&gt;&lt;w:szCs w:val="18"/&gt;&lt;/w:rPr&gt;&lt;/w:style&gt;&lt;w:style w:type="paragraph" w:styleId="Bibliography"&gt;&lt;w:name w:val="Bibliography"/&gt;&lt;w:basedOn w:val="Normal"/&gt;&lt;w:next w:val="Normal"/&gt;&lt;w:uiPriority w:val="6"/&gt;&lt;w:unhideWhenUsed/&gt;&lt;w:qFormat/&gt;&lt;w:pPr&gt;&lt;w:ind w:left="720" w:hanging="720"/&gt;&lt;/w:pPr&gt;&lt;/w:style&gt;&lt;w:style w:type="paragraph" w:styleId="BlockText"&gt;&lt;w:name w:val="Block Text"/&gt;&lt;w:basedOn w:val="Normal"/&gt;&lt;w:uiPriority w:val="99"/&gt;&lt;w:semiHidden/&gt;&lt;w:unhideWhenUsed/&gt;&lt;w:rsid w:val="003F7CBD"/&gt;&lt;w:pPr&gt;&lt;w:pBdr&gt;&lt;w:top w:val="single" w:sz="2" w:space="10" w:color="000000" w:themeColor="text2" w:shadow="1"/&gt;&lt;w:left w:val="single" w:sz="2" w:space="10" w:color="000000" w:themeColor="text2" w:shadow="1"/&gt;&lt;w:bottom w:val="single" w:sz="2" w:space="10" w:color="000000" w:themeColor="text2" w:shadow="1"/&gt;&lt;w:right w:val="single" w:sz="2" w:space="10" w:color="000000" w:themeColor="text2" w:shadow="1"/&gt;&lt;/w:pBdr&gt;&lt;w:ind w:left="1152" w:right="1152" w:firstLine="0"/&gt;&lt;/w:pPr&gt;&lt;w:rPr&gt;&lt;w:i/&gt;&lt;w:iCs/&gt;&lt;w:color w:val="000000" w:themeColor="text2"/&gt;&lt;/w:rPr&gt;&lt;/w:style&gt;&lt;w:style w:type="paragraph" w:styleId="BodyText"&gt;&lt;w:name w:val="Body Text"/&gt;&lt;w:basedOn w:val="Normal"/&gt;&lt;w:link w:val="BodyTextChar"/&gt;&lt;w:uiPriority w:val="99"/&gt;&lt;w:semiHidden/&gt;&lt;w:unhideWhenUsed/&gt;&lt;w:pPr&gt;&lt;w:spacing w:after="120"/&gt;&lt;w:ind w:firstLine="0"/&gt;&lt;/w:pPr&gt;&lt;/w:style&gt;&lt;w:style w:type="character" w:customStyle="1" w:styleId="BodyTextChar"&gt;&lt;w:name w:val="Body Text Char"/&gt;&lt;w:basedOn w:val="DefaultParagraphFont"/&gt;&lt;w:link w:val="BodyText"/&gt;&lt;w:uiPriority w:val="99"/&gt;&lt;w:semiHidden/&gt;&lt;w:rPr&gt;&lt;w:kern w:val="24"/&gt;&lt;/w:rPr&gt;&lt;/w:style&gt;&lt;w:style w:type="paragraph" w:styleId="BodyText2"&gt;&lt;w:name w:val="Body Text 2"/&gt;&lt;w:basedOn w:val="Normal"/&gt;&lt;w:link w:val="BodyText2Char"/&gt;&lt;w:uiPriority w:val="99"/&gt;&lt;w:semiHidden/&gt;&lt;w:unhideWhenUsed/&gt;&lt;w:pPr&gt;&lt;w:spacing w:after="120"/&gt;&lt;w:ind w:firstLine="0"/&gt;&lt;/w:pPr&gt;&lt;/w:style&gt;&lt;w:style w:type="character" w:customStyle="1" w:styleId="BodyText2Char"&gt;&lt;w:name w:val="Body Text 2 Char"/&gt;&lt;w:basedOn w:val="DefaultParagraphFont"/&gt;&lt;w:link w:val="BodyText2"/&gt;&lt;w:uiPriority w:val="99"/&gt;&lt;w:semiHidden/&gt;&lt;w:rPr&gt;&lt;w:kern w:val="24"/&gt;&lt;/w:rPr&gt;&lt;/w:style&gt;&lt;w:style w:type="paragraph" w:styleId="BodyText3"&gt;&lt;w:name w:val="Body Text 3"/&gt;&lt;w:basedOn w:val="Normal"/&gt;&lt;w:link w:val="BodyText3Char"/&gt;&lt;w:uiPriority w:val="99"/&gt;&lt;w:semiHidden/&gt;&lt;w:unhideWhenUsed/&gt;&lt;w:rsid w:val="00EB69D3"/&gt;&lt;w:pPr&gt;&lt;w:spacing w:after="120"/&gt;&lt;w:ind w:firstLine="0"/&gt;&lt;/w:pPr&gt;&lt;w:rPr&gt;&lt;w:sz w:val="22"/&gt;&lt;w:szCs w:val="16"/&gt;&lt;/w:rPr&gt;&lt;/w:style&gt;&lt;w:style w:type="character" w:customStyle="1" w:styleId="BodyText3Char"&gt;&lt;w:name w:val="Body Text 3 Char"/&gt;&lt;w:basedOn w:val="DefaultParagraphFont"/&gt;&lt;w:link w:val="BodyText3"/&gt;&lt;w:uiPriority w:val="99"/&gt;&lt;w:semiHidden/&gt;&lt;w:rsid w:val="00EB69D3"/&gt;&lt;w:rPr&gt;&lt;w:sz w:val="22"/&gt;&lt;w:szCs w:val="16"/&gt;&lt;/w:rPr&gt;&lt;/w:style&gt;&lt;w:style w:type="paragraph" w:styleId="BodyTextFirstIndent"&gt;&lt;w:name w:val="Body Text First Indent"/&gt;&lt;w:basedOn w:val="BodyText"/&gt;&lt;w:link w:val="BodyTextFirstIndentChar"/&gt;&lt;w:uiPriority w:val="99"/&gt;&lt;w:semiHidden/&gt;&lt;w:unhideWhenUsed/&gt;&lt;w:pPr&gt;&lt;w:spacing w:after="0"/&gt;&lt;/w:pPr&gt;&lt;/w:style&gt;&lt;w:style w:type="character" w:customStyle="1" w:styleId="BodyTextFirstIndentChar"&gt;&lt;w:name w:val="Body Text First Indent Char"/&gt;&lt;w:basedOn w:val="BodyTextChar"/&gt;&lt;w:link w:val="BodyTextFirstIndent"/&gt;&lt;w:uiPriority w:val="99"/&gt;&lt;w:semiHidden/&gt;&lt;w:rPr&gt;&lt;w:kern w:val="24"/&gt;&lt;/w:rPr&gt;&lt;/w:style&gt;&lt;w:style w:type="paragraph" w:styleId="BodyTextIndent"&gt;&lt;w:name w:val="Body Text Indent"/&gt;&lt;w:basedOn w:val="Normal"/&gt;&lt;w:link w:val="BodyTextIndentChar"/&gt;&lt;w:uiPriority w:val="99"/&gt;&lt;w:semiHidden/&gt;&lt;w:unhideWhenUsed/&gt;&lt;w:pPr&gt;&lt;w:spacing w:after="120"/&gt;&lt;w:ind w:left="360" w:firstLine="0"/&gt;&lt;/w:pPr&gt;&lt;/w:style&gt;&lt;w:style w:type="character" w:customStyle="1" w:styleId="BodyTextIndentChar"&gt;&lt;w:name w:val="Body Text Indent Char"/&gt;&lt;w:basedOn w:val="DefaultParagraphFont"/&gt;&lt;w:link w:val="BodyTextIndent"/&gt;&lt;w:uiPriority w:val="99"/&gt;&lt;w:semiHidden/&gt;&lt;w:rPr&gt;&lt;w:kern w:val="24"/&gt;&lt;/w:rPr&gt;&lt;/w:style&gt;&lt;w:style w:type="paragraph" w:styleId="BodyTextFirstIndent2"&gt;&lt;w:name w:val="Body Text First Indent 2"/&gt;&lt;w:basedOn w:val="BodyTextIndent"/&gt;&lt;w:link w:val="BodyTextFirstIndent2Char"/&gt;&lt;w:uiPriority w:val="99"/&gt;&lt;w:semiHidden/&gt;&lt;w:unhideWhenUsed/&gt;&lt;w:pPr&gt;&lt;w:spacing w:after="0"/&gt;&lt;/w:pPr&gt;&lt;/w:style&gt;&lt;w:style w:type="character" w:customStyle="1" w:styleId="BodyTextFirstIndent2Char"&gt;&lt;w:name w:val="Body Text First Indent 2 Char"/&gt;&lt;w:basedOn w:val="BodyTextIndentChar"/&gt;&lt;w:link w:val="BodyTextFirstIndent2"/&gt;&lt;w:uiPriority w:val="99"/&gt;&lt;w:semiHidden/&gt;&lt;w:rPr&gt;&lt;w:kern w:val="24"/&gt;&lt;/w:rPr&gt;&lt;/w:style&gt;&lt;w:style w:type="paragraph" w:styleId="BodyTextIndent2"&gt;&lt;w:name w:val="Body Text Indent 2"/&gt;&lt;w:basedOn w:val="Normal"/&gt;&lt;w:link w:val="BodyTextIndent2Char"/&gt;&lt;w:uiPriority w:val="99"/&gt;&lt;w:semiHidden/&gt;&lt;w:unhideWhenUsed/&gt;&lt;w:pPr&gt;&lt;w:spacing w:after="120"/&gt;&lt;w:ind w:left="360" w:firstLine="0"/&gt;&lt;/w:pPr&gt;&lt;/w:style&gt;&lt;w:style w:type="character" w:customStyle="1" w:styleId="BodyTextIndent2Char"&gt;&lt;w:name w:val="Body Text Indent 2 Char"/&gt;&lt;w:basedOn w:val="DefaultParagraphFont"/&gt;&lt;w:link w:val="BodyTextIndent2"/&gt;&lt;w:uiPriority w:val="99"/&gt;&lt;w:semiHidden/&gt;&lt;w:rPr&gt;&lt;w:kern w:val="24"/&gt;&lt;/w:rPr&gt;&lt;/w:style&gt;&lt;w:style w:type="paragraph" w:styleId="BodyTextIndent3"&gt;&lt;w:name w:val="Body Text Indent 3"/&gt;&lt;w:basedOn w:val="Normal"/&gt;&lt;w:link w:val="BodyTextIndent3Char"/&gt;&lt;w:uiPriority w:val="99"/&gt;&lt;w:semiHidden/&gt;&lt;w:unhideWhenUsed/&gt;&lt;w:rsid w:val="00EB69D3"/&gt;&lt;w:pPr&gt;&lt;w:spacing w:after="120"/&gt;&lt;w:ind w:left="360" w:firstLine="0"/&gt;&lt;/w:pPr&gt;&lt;w:rPr&gt;&lt;w:sz w:val="22"/&gt;&lt;w:szCs w:val="16"/&gt;&lt;/w:rPr&gt;&lt;/w:style&gt;&lt;w:style w:type="character" w:customStyle="1" w:styleId="BodyTextIndent3Char"&gt;&lt;w:name w:val="Body Text Indent 3 Char"/&gt;&lt;w:basedOn w:val="DefaultParagraphFont"/&gt;&lt;w:link w:val="BodyTextIndent3"/&gt;&lt;w:uiPriority w:val="99"/&gt;&lt;w:semiHidden/&gt;&lt;w:rsid w:val="00EB69D3"/&gt;&lt;w:rPr&gt;&lt;w:sz w:val="22"/&gt;&lt;w:szCs w:val="16"/&gt;&lt;/w:rPr&gt;&lt;/w:style&gt;&lt;w:style w:type="paragraph" w:styleId="Caption"&gt;&lt;w:name w:val="caption"/&gt;&lt;w:basedOn w:val="Normal"/&gt;&lt;w:next w:val="Normal"/&gt;&lt;w:uiPriority w:val="35"/&gt;&lt;w:semiHidden/&gt;&lt;w:unhideWhenUsed/&gt;&lt;w:qFormat/&gt;&lt;w:rsid w:val="00EB69D3"/&gt;&lt;w:pPr&gt;&lt;w:spacing w:after="200" w:line="240" w:lineRule="auto"/&gt;&lt;w:ind w:firstLine="0"/&gt;&lt;/w:pPr&gt;&lt;w:rPr&gt;&lt;w:i/&gt;&lt;w:iCs/&gt;&lt;w:color w:val="000000" w:themeColor="text2"/&gt;&lt;w:sz w:val="22"/&gt;&lt;w:szCs w:val="18"/&gt;&lt;/w:rPr&gt;&lt;/w:style&gt;&lt;w:style w:type="paragraph" w:styleId="Closing"&gt;&lt;w:name w:val="Closing"/&gt;&lt;w:basedOn w:val="Normal"/&gt;&lt;w:link w:val="ClosingChar"/&gt;&lt;w:uiPriority w:val="99"/&gt;&lt;w:semiHidden/&gt;&lt;w:unhideWhenUsed/&gt;&lt;w:pPr&gt;&lt;w:spacing w:line="240" w:lineRule="auto"/&gt;&lt;w:ind w:left="4320" w:firstLine="0"/&gt;&lt;/w:pPr&gt;&lt;/w:style&gt;&lt;w:style w:type="character" w:customStyle="1" w:styleId="ClosingChar"&gt;&lt;w:name w:val="Closing Char"/&gt;&lt;w:basedOn w:val="DefaultParagraphFont"/&gt;&lt;w:link w:val="Closing"/&gt;&lt;w:uiPriority w:val="99"/&gt;&lt;w:semiHidden/&gt;&lt;w:rPr&gt;&lt;w:kern w:val="24"/&gt;&lt;/w:rPr&gt;&lt;/w:style&gt;&lt;w:style w:type="paragraph" w:styleId="CommentText"&gt;&lt;w:name w:val="annotation text"/&gt;&lt;w:basedOn w:val="Normal"/&gt;&lt;w:link w:val="CommentTextChar"/&gt;&lt;w:uiPriority w:val="99"/&gt;&lt;w:semiHidden/&gt;&lt;w:unhideWhenUsed/&gt;&lt;w:rsid w:val="00EB69D3"/&gt;&lt;w:pPr&gt;&lt;w:spacing w:line="240" w:lineRule="auto"/&gt;&lt;w:ind w:firstLine="0"/&gt;&lt;/w:pPr&gt;&lt;w:rPr&gt;&lt;w:sz w:val="22"/&gt;&lt;w:szCs w:val="20"/&gt;&lt;/w:rPr&gt;&lt;/w:style&gt;&lt;w:style w:type="character" w:customStyle="1" w:styleId="CommentTextChar"&gt;&lt;w:name w:val="Comment Text Char"/&gt;&lt;w:basedOn w:val="DefaultParagraphFont"/&gt;&lt;w:link w:val="CommentText"/&gt;&lt;w:uiPriority w:val="99"/&gt;&lt;w:semiHidden/&gt;&lt;w:rsid w:val="00EB69D3"/&gt;&lt;w:rPr&gt;&lt;w:sz w:val="22"/&gt;&lt;w:szCs w:val="20"/&gt;&lt;/w:rPr&gt;&lt;/w:style&gt;&lt;w:style w:type="paragraph" w:styleId="CommentSubject"&gt;&lt;w:name w:val="annotation subject"/&gt;&lt;w:basedOn w:val="CommentText"/&gt;&lt;w:next w:val="CommentText"/&gt;&lt;w:link w:val="CommentSubjectChar"/&gt;&lt;w:uiPriority w:val="99"/&gt;&lt;w:semiHidden/&gt;&lt;w:unhideWhenUsed/&gt;&lt;w:rsid w:val="00EB69D3"/&gt;&lt;w:rPr&gt;&lt;w:b/&gt;&lt;w:bCs/&gt;&lt;/w:rPr&gt;&lt;/w:style&gt;&lt;w:style w:type="character" w:customStyle="1" w:styleId="CommentSubjectChar"&gt;&lt;w:name w:val="Comment Subject Char"/&gt;&lt;w:basedOn w:val="CommentTextChar"/&gt;&lt;w:link w:val="CommentSubject"/&gt;&lt;w:uiPriority w:val="99"/&gt;&lt;w:semiHidden/&gt;&lt;w:rsid w:val="00EB69D3"/&gt;&lt;w:rPr&gt;&lt;w:b/&gt;&lt;w:bCs/&gt;&lt;w:sz w:val="22"/&gt;&lt;w:szCs w:val="20"/&gt;&lt;/w:rPr&gt;&lt;/w:style&gt;&lt;w:style w:type="paragraph" w:styleId="Date"&gt;&lt;w:name w:val="Date"/&gt;&lt;w:basedOn w:val="Normal"/&gt;&lt;w:next w:val="Normal"/&gt;&lt;w:link w:val="DateChar"/&gt;&lt;w:uiPriority w:val="99"/&gt;&lt;w:semiHidden/&gt;&lt;w:unhideWhenUsed/&gt;&lt;w:pPr&gt;&lt;w:ind w:firstLine="0"/&gt;&lt;/w:pPr&gt;&lt;/w:style&gt;&lt;w:style w:type="character" w:customStyle="1" w:styleId="DateChar"&gt;&lt;w:name w:val="Date Char"/&gt;&lt;w:basedOn w:val="DefaultParagraphFont"/&gt;&lt;w:link w:val="Date"/&gt;&lt;w:uiPriority w:val="99"/&gt;&lt;w:semiHidden/&gt;&lt;w:rPr&gt;&lt;w:kern w:val="24"/&gt;&lt;/w:rPr&gt;&lt;/w:style&gt;&lt;w:style w:type="paragraph" w:styleId="DocumentMap"&gt;&lt;w:name w:val="Document Map"/&gt;&lt;w:basedOn w:val="Normal"/&gt;&lt;w:link w:val="DocumentMapChar"/&gt;&lt;w:uiPriority w:val="99"/&gt;&lt;w:semiHidden/&gt;&lt;w:unhideWhenUsed/&gt;&lt;w:rsid w:val="00EB69D3"/&gt;&lt;w:pPr&gt;&lt;w:spacing w:line="240" w:lineRule="auto"/&gt;&lt;w:ind w:firstLine="0"/&gt;&lt;/w:pPr&gt;&lt;w:rPr&gt;&lt;w:rFonts w:ascii="Segoe UI" w:hAnsi="Segoe UI" w:cs="Segoe UI"/&gt;&lt;w:sz w:val="22"/&gt;&lt;w:szCs w:val="16"/&gt;&lt;/w:rPr&gt;&lt;/w:style&gt;&lt;w:style w:type="character" w:customStyle="1" w:styleId="DocumentMapChar"&gt;&lt;w:name w:val="Document Map Char"/&gt;&lt;w:basedOn w:val="DefaultParagraphFont"/&gt;&lt;w:link w:val="DocumentMap"/&gt;&lt;w:uiPriority w:val="99"/&gt;&lt;w:semiHidden/&gt;&lt;w:rsid w:val="00EB69D3"/&gt;&lt;w:rPr&gt;&lt;w:rFonts w:ascii="Segoe UI" w:hAnsi="Segoe UI" w:cs="Segoe UI"/&gt;&lt;w:sz w:val="22"/&gt;&lt;w:szCs w:val="16"/&gt;&lt;/w:rPr&gt;&lt;/w:style&gt;&lt;w:style w:type="paragraph" w:styleId="E-mailSignature"&gt;&lt;w:name w:val="E-mail Signature"/&gt;&lt;w:basedOn w:val="Normal"/&gt;&lt;w:link w:val="E-mailSignatureChar"/&gt;&lt;w:uiPriority w:val="99"/&gt;&lt;w:semiHidden/&gt;&lt;w:unhideWhenUsed/&gt;&lt;w:pPr&gt;&lt;w:spacing w:line="240" w:lineRule="auto"/&gt;&lt;w:ind w:firstLine="0"/&gt;&lt;/w:pPr&gt;&lt;/w:style&gt;&lt;w:style w:type="character" w:customStyle="1" w:styleId="E-mailSignatureChar"&gt;&lt;w:name w:val="E-mail Signature Char"/&gt;&lt;w:basedOn w:val="DefaultParagraphFont"/&gt;&lt;w:link w:val="E-mailSignature"/&gt;&lt;w:uiPriority w:val="99"/&gt;&lt;w:semiHidden/&gt;&lt;w:rPr&gt;&lt;w:kern w:val="24"/&gt;&lt;/w:rPr&gt;&lt;/w:style&gt;&lt;w:style w:type="paragraph" w:styleId="FootnoteText"&gt;&lt;w:name w:val="footnote text"/&gt;&lt;w:basedOn w:val="Normal"/&gt;&lt;w:link w:val="FootnoteTextChar"/&gt;&lt;w:uiPriority w:val="99"/&gt;&lt;w:semiHidden/&gt;&lt;w:unhideWhenUsed/&gt;&lt;w:rsid w:val="00EB69D3"/&gt;&lt;w:pPr&gt;&lt;w:spacing w:line="240" w:lineRule="auto"/&gt;&lt;/w:pPr&gt;&lt;w:rPr&gt;&lt;w:sz w:val="22"/&gt;&lt;w:szCs w:val="20"/&gt;&lt;/w:rPr&gt;&lt;/w:style&gt;&lt;w:style w:type="character" w:customStyle="1" w:styleId="FootnoteTextChar"&gt;&lt;w:name w:val="Footnote Text Char"/&gt;&lt;w:basedOn w:val="DefaultParagraphFont"/&gt;&lt;w:link w:val="FootnoteText"/&gt;&lt;w:uiPriority w:val="99"/&gt;&lt;w:semiHidden/&gt;&lt;w:rsid w:val="00EB69D3"/&gt;&lt;w:rPr&gt;&lt;w:sz w:val="22"/&gt;&lt;w:szCs w:val="20"/&gt;&lt;/w:rPr&gt;&lt;/w:style&gt;&lt;w:style w:type="paragraph" w:styleId="EnvelopeAddress"&gt;&lt;w:name w:val="envelope address"/&gt;&lt;w:basedOn w:val="Normal"/&gt;&lt;w:uiPriority w:val="99"/&gt;&lt;w:semiHidden/&gt;&lt;w:unhideWhenUsed/&gt;&lt;w:pPr&gt;&lt;w:framePr w:w="7920" w:h="1980" w:hRule="exact" w:hSpace="180" w:wrap="auto" w:hAnchor="page" w:xAlign="center" w:yAlign="bottom"/&gt;&lt;w:spacing w:line="240" w:lineRule="auto"/&gt;&lt;w:ind w:left="2880" w:firstLine="0"/&gt;&lt;/w:pPr&gt;&lt;w:rPr&gt;&lt;w:rFonts w:asciiTheme="majorHAnsi" w:eastAsiaTheme="majorEastAsia" w:hAnsiTheme="majorHAnsi" w:cstheme="majorBidi"/&gt;&lt;/w:rPr&gt;&lt;/w:style&gt;&lt;w:style w:type="paragraph" w:styleId="EnvelopeReturn"&gt;&lt;w:name w:val="envelope return"/&gt;&lt;w:basedOn w:val="Normal"/&gt;&lt;w:uiPriority w:val="99"/&gt;&lt;w:semiHidden/&gt;&lt;w:unhideWhenUsed/&gt;&lt;w:rsid w:val="00EB69D3"/&gt;&lt;w:pPr&gt;&lt;w:spacing w:line="240" w:lineRule="auto"/&gt;&lt;w:ind w:firstLine="0"/&gt;&lt;/w:pPr&gt;&lt;w:rPr&gt;&lt;w:rFonts w:asciiTheme="majorHAnsi" w:eastAsiaTheme="majorEastAsia" w:hAnsiTheme="majorHAnsi" w:cstheme="majorBidi"/&gt;&lt;w:sz w:val="22"/&gt;&lt;w:szCs w:val="20"/&gt;&lt;/w:rPr&gt;&lt;/w:style&gt;&lt;w:style w:type="table" w:styleId="TableGrid"&gt;&lt;w:name w:val="Table Grid"/&gt;&lt;w:basedOn w:val="TableNormal"/&gt;&lt;w:uiPriority w:val="39"/&gt;&lt;w:pPr&gt;&lt;w:spacing w:line="240" w:lineRule="auto"/&gt;&lt;/w:pPr&gt;&lt;w:tblPr&gt;&lt;w:tblBorders&gt;&lt;w:top w:val="single" w:sz="4" w:space="0" w:color="auto"/&gt;&lt;w:left w:val="single" w:sz="4" w:space="0" w:color="auto"/&gt;&lt;w:bottom w:val="single" w:sz="4" w:space="0" w:color="auto"/&gt;&lt;w:right w:val="single" w:sz="4" w:space="0" w:color="auto"/&gt;&lt;w:insideH w:val="single" w:sz="4" w:space="0" w:color="auto"/&gt;&lt;w:insideV w:val="single" w:sz="4" w:space="0" w:color="auto"/&gt;&lt;/w:tblBorders&gt;&lt;/w:tblPr&gt;&lt;/w:style&gt;&lt;w:style w:type="table" w:styleId="TableGridLight"&gt;&lt;w:name w:val="Grid Table Light"/&gt;&lt;w:basedOn w:val="TableNormal"/&gt;&lt;w:uiPriority w:val="40"/&gt;&lt;w:pPr&gt;&lt;w:spacing w:line="240" w:lineRule="auto"/&gt;&lt;/w:pPr&gt;&lt;w:tblPr&gt;&lt;w:tblBorders&gt;&lt;w:top w:val="single" w:sz="4" w:space="0" w:color="BFBFBF" w:themeColor="background1" w:themeShade="BF"/&gt;&lt;w:left w:val="single" w:sz="4" w:space="0" w:color="BFBFBF" w:themeColor="background1" w:themeShade="BF"/&gt;&lt;w:bottom w:val="single" w:sz="4" w:space="0" w:color="BFBFBF" w:themeColor="background1" w:themeShade="BF"/&gt;&lt;w:right w:val="single" w:sz="4" w:space="0" w:color="BFBFBF" w:themeColor="background1" w:themeShade="BF"/&gt;&lt;w:insideH w:val="single" w:sz="4" w:space="0" w:color="BFBFBF" w:themeColor="background1" w:themeShade="BF"/&gt;&lt;w:insideV w:val="single" w:sz="4" w:space="0" w:color="BFBFBF" w:themeColor="background1" w:themeShade="BF"/&gt;&lt;/w:tblBorders&gt;&lt;/w:tblPr&gt;&lt;/w:style&gt;&lt;w:style w:type="character" w:customStyle="1" w:styleId="Heading6Char"&gt;&lt;w:name w:val="Heading 6 Char"/&gt;&lt;w:basedOn w:val="DefaultParagraphFont"/&gt;&lt;w:link w:val="Heading6"/&gt;&lt;w:uiPriority w:val="5"/&gt;&lt;w:semiHidden/&gt;&lt;w:rsid w:val="00336906"/&gt;&lt;w:rPr&gt;&lt;w:rFonts w:asciiTheme="majorHAnsi" w:eastAsiaTheme="majorEastAsia" w:hAnsiTheme="majorHAnsi" w:cstheme="majorBidi"/&gt;&lt;w:color w:val="6E6E6E" w:themeColor="accent1" w:themeShade="7F"/&gt;&lt;/w:rPr&gt;&lt;/w:style&gt;&lt;w:style w:type="paragraph" w:styleId="HTMLAddress"&gt;&lt;w:name w:val="HTML Address"/&gt;&lt;w:basedOn w:val="Normal"/&gt;&lt;w:link w:val="HTMLAddressChar"/&gt;&lt;w:uiPriority w:val="99"/&gt;&lt;w:semiHidden/&gt;&lt;w:unhideWhenUsed/&gt;&lt;w:pPr&gt;&lt;w:spacing w:line="240" w:lineRule="auto"/&gt;&lt;w:ind w:firstLine="0"/&gt;&lt;/w:pPr&gt;&lt;w:rPr&gt;&lt;w:i/&gt;&lt;w:iCs/&gt;&lt;/w:rPr&gt;&lt;/w:style&gt;&lt;w:style w:type="character" w:customStyle="1" w:styleId="HTMLAddressChar"&gt;&lt;w:name w:val="HTML Address Char"/&gt;&lt;w:basedOn w:val="DefaultParagraphFont"/&gt;&lt;w:link w:val="HTMLAddress"/&gt;&lt;w:uiPriority w:val="99"/&gt;&lt;w:semiHidden/&gt;&lt;w:rPr&gt;&lt;w:i/&gt;&lt;w:iCs/&gt;&lt;w:kern w:val="24"/&gt;&lt;/w:rPr&gt;&lt;/w:style&gt;&lt;w:style w:type="paragraph" w:styleId="HTMLPreformatted"&gt;&lt;w:name w:val="HTML Preformatted"/&gt;&lt;w:basedOn w:val="Normal"/&gt;&lt;w:link w:val="HTMLPreformattedChar"/&gt;&lt;w:uiPriority w:val="99"/&gt;&lt;w:semiHidden/&gt;&lt;w:unhideWhenUsed/&gt;&lt;w:rsid w:val="00EB69D3"/&gt;&lt;w:pPr&gt;&lt;w:spacing w:line="240" w:lineRule="auto"/&gt;&lt;w:ind w:firstLine="0"/&gt;&lt;/w:pPr&gt;&lt;w:rPr&gt;&lt;w:rFonts w:ascii="Consolas" w:hAnsi="Consolas" w:cs="Consolas"/&gt;&lt;w:sz w:val="22"/&gt;&lt;w:szCs w:val="20"/&gt;&lt;/w:rPr&gt;&lt;/w:style&gt;&lt;w:style w:type="character" w:customStyle="1" w:styleId="HTMLPreformattedChar"&gt;&lt;w:name w:val="HTML Preformatted Char"/&gt;&lt;w:basedOn w:val="DefaultParagraphFont"/&gt;&lt;w:link w:val="HTMLPreformatted"/&gt;&lt;w:uiPriority w:val="99"/&gt;&lt;w:semiHidden/&gt;&lt;w:rsid w:val="00EB69D3"/&gt;&lt;w:rPr&gt;&lt;w:rFonts w:ascii="Consolas" w:hAnsi="Consolas" w:cs="Consolas"/&gt;&lt;w:sz w:val="22"/&gt;&lt;w:szCs w:val="20"/&gt;&lt;/w:rPr&gt;&lt;/w:style&gt;&lt;w:style w:type="paragraph" w:styleId="Index1"&gt;&lt;w:name w:val="index 1"/&gt;&lt;w:basedOn w:val="Normal"/&gt;&lt;w:next w:val="Normal"/&gt;&lt;w:autoRedefine/&gt;&lt;w:uiPriority w:val="99"/&gt;&lt;w:semiHidden/&gt;&lt;w:unhideWhenUsed/&gt;&lt;w:pPr&gt;&lt;w:spacing w:line="240" w:lineRule="auto"/&gt;&lt;w:ind w:left="240" w:firstLine="0"/&gt;&lt;/w:pPr&gt;&lt;/w:style&gt;&lt;w:style w:type="paragraph" w:styleId="Index2"&gt;&lt;w:name w:val="index 2"/&gt;&lt;w:basedOn w:val="Normal"/&gt;&lt;w:next w:val="Normal"/&gt;&lt;w:autoRedefine/&gt;&lt;w:uiPriority w:val="99"/&gt;&lt;w:semiHidden/&gt;&lt;w:unhideWhenUsed/&gt;&lt;w:pPr&gt;&lt;w:spacing w:line="240" w:lineRule="auto"/&gt;&lt;w:ind w:left="480" w:firstLine="0"/&gt;&lt;/w:pPr&gt;&lt;/w:style&gt;&lt;w:style w:type="paragraph" w:styleId="Index3"&gt;&lt;w:name w:val="index 3"/&gt;&lt;w:basedOn w:val="Normal"/&gt;&lt;w:next w:val="Normal"/&gt;&lt;w:autoRedefine/&gt;&lt;w:uiPriority w:val="99"/&gt;&lt;w:semiHidden/&gt;&lt;w:unhideWhenUsed/&gt;&lt;w:pPr&gt;&lt;w:spacing w:line="240" w:lineRule="auto"/&gt;&lt;w:ind w:left="720" w:firstLine="0"/&gt;&lt;/w:pPr&gt;&lt;/w:style&gt;&lt;w:style w:type="paragraph" w:styleId="Index4"&gt;&lt;w:name w:val="index 4"/&gt;&lt;w:basedOn w:val="Normal"/&gt;&lt;w:next w:val="Normal"/&gt;&lt;w:autoRedefine/&gt;&lt;w:uiPriority w:val="99"/&gt;&lt;w:semiHidden/&gt;&lt;w:unhideWhenUsed/&gt;&lt;w:pPr&gt;&lt;w:spacing w:line="240" w:lineRule="auto"/&gt;&lt;w:ind w:left="960" w:firstLine="0"/&gt;&lt;/w:pPr&gt;&lt;/w:style&gt;&lt;w:style w:type="paragraph" w:styleId="Index5"&gt;&lt;w:name w:val="index 5"/&gt;&lt;w:basedOn w:val="Normal"/&gt;&lt;w:next w:val="Normal"/&gt;&lt;w:autoRedefine/&gt;&lt;w:uiPriority w:val="99"/&gt;&lt;w:semiHidden/&gt;&lt;w:unhideWhenUsed/&gt;&lt;w:pPr&gt;&lt;w:spacing w:line="240" w:lineRule="auto"/&gt;&lt;w:ind w:left="1200" w:firstLine="0"/&gt;&lt;/w:pPr&gt;&lt;/w:style&gt;&lt;w:style w:type="paragraph" w:styleId="Index6"&gt;&lt;w:name w:val="index 6"/&gt;&lt;w:basedOn w:val="Normal"/&gt;&lt;w:next w:val="Normal"/&gt;&lt;w:autoRedefine/&gt;&lt;w:uiPriority w:val="99"/&gt;&lt;w:semiHidden/&gt;&lt;w:unhideWhenUsed/&gt;&lt;w:pPr&gt;&lt;w:spacing w:line="240" w:lineRule="auto"/&gt;&lt;w:ind w:left="1440" w:firstLine="0"/&gt;&lt;/w:pPr&gt;&lt;/w:style&gt;&lt;w:style w:type="paragraph" w:styleId="Index7"&gt;&lt;w:name w:val="index 7"/&gt;&lt;w:basedOn w:val="Normal"/&gt;&lt;w:next w:val="Normal"/&gt;&lt;w:autoRedefine/&gt;&lt;w:uiPriority w:val="99"/&gt;&lt;w:semiHidden/&gt;&lt;w:unhideWhenUsed/&gt;&lt;w:pPr&gt;&lt;w:spacing w:line="240" w:lineRule="auto"/&gt;&lt;w:ind w:left="1680" w:firstLine="0"/&gt;&lt;/w:pPr&gt;&lt;/w:style&gt;&lt;w:style w:type="paragraph" w:styleId="Index8"&gt;&lt;w:name w:val="index 8"/&gt;&lt;w:basedOn w:val="Normal"/&gt;&lt;w:next w:val="Normal"/&gt;&lt;w:autoRedefine/&gt;&lt;w:uiPriority w:val="99"/&gt;&lt;w:semiHidden/&gt;&lt;w:unhideWhenUsed/&gt;&lt;w:pPr&gt;&lt;w:spacing w:line="240" w:lineRule="auto"/&gt;&lt;w:ind w:left="1920" w:firstLine="0"/&gt;&lt;/w:pPr&gt;&lt;/w:style&gt;&lt;w:style w:type="paragraph" w:styleId="Index9"&gt;&lt;w:name w:val="index 9"/&gt;&lt;w:basedOn w:val="Normal"/&gt;&lt;w:next w:val="Normal"/&gt;&lt;w:autoRedefine/&gt;&lt;w:uiPriority w:val="99"/&gt;&lt;w:semiHidden/&gt;&lt;w:unhideWhenUsed/&gt;&lt;w:pPr&gt;&lt;w:spacing w:line="240" w:lineRule="auto"/&gt;&lt;w:ind w:left="2160" w:firstLine="0"/&gt;&lt;/w:pPr&gt;&lt;/w:style&gt;&lt;w:style w:type="paragraph" w:styleId="IndexHeading"&gt;&lt;w:name w:val="index heading"/&gt;&lt;w:basedOn w:val="Normal"/&gt;&lt;w:next w:val="Index1"/&gt;&lt;w:uiPriority w:val="99"/&gt;&lt;w:semiHidden/&gt;&lt;w:unhideWhenUsed/&gt;&lt;w:pPr&gt;&lt;w:ind w:firstLine="0"/&gt;&lt;/w:pPr&gt;&lt;w:rPr&gt;&lt;w:rFonts w:asciiTheme="majorHAnsi" w:eastAsiaTheme="majorEastAsia" w:hAnsiTheme="majorHAnsi" w:cstheme="majorBidi"/&gt;&lt;w:b/&gt;&lt;w:bCs/&gt;&lt;/w:rPr&gt;&lt;/w:style&gt;&lt;w:style w:type="paragraph" w:styleId="IntenseQuote"&gt;&lt;w:name w:val="Intense Quote"/&gt;&lt;w:basedOn w:val="Normal"/&gt;&lt;w:next w:val="Normal"/&gt;&lt;w:link w:val="IntenseQuoteChar"/&gt;&lt;w:uiPriority w:val="30"/&gt;&lt;w:semiHidden/&gt;&lt;w:unhideWhenUsed/&gt;&lt;w:qFormat/&gt;&lt;w:rsid w:val="00EB69D3"/&gt;&lt;w:pPr&gt;&lt;w:pBdr&gt;&lt;w:top w:val="single" w:sz="4" w:space="10" w:color="6E6E6E" w:themeColor="accent1" w:themeShade="80"/&gt;&lt;w:bottom w:val="single" w:sz="4" w:space="10" w:color="6E6E6E" w:themeColor="accent1" w:themeShade="80"/&gt;&lt;/w:pBdr&gt;&lt;w:spacing w:before="360" w:after="360"/&gt;&lt;w:ind w:left="864" w:right="864" w:firstLine="0"/&gt;&lt;w:jc w:val="center"/&gt;&lt;/w:pPr&gt;&lt;w:rPr&gt;&lt;w:i/&gt;&lt;w:iCs/&gt;&lt;w:color w:val="6E6E6E" w:themeColor="accent1" w:themeShade="80"/&gt;&lt;/w:rPr&gt;&lt;/w:style&gt;&lt;w:style w:type="character" w:customStyle="1" w:styleId="IntenseQuoteChar"&gt;&lt;w:name w:val="Intense Quote Char"/&gt;&lt;w:basedOn w:val="DefaultParagraphFont"/&gt;&lt;w:link w:val="IntenseQuote"/&gt;&lt;w:uiPriority w:val="30"/&gt;&lt;w:semiHidden/&gt;&lt;w:rsid w:val="00EB69D3"/&gt;&lt;w:rPr&gt;&lt;w:i/&gt;&lt;w:iCs/&gt;&lt;w:color w:val="6E6E6E" w:themeColor="accent1" w:themeShade="80"/&gt;&lt;/w:rPr&gt;&lt;/w:style&gt;&lt;w:style w:type="paragraph" w:styleId="List"&gt;&lt;w:name w:val="List"/&gt;&lt;w:basedOn w:val="Normal"/&gt;&lt;w:uiPriority w:val="99"/&gt;&lt;w:semiHidden/&gt;&lt;w:unhideWhenUsed/&gt;&lt;w:pPr&gt;&lt;w:ind w:left="360" w:firstLine="0"/&gt;&lt;w:contextualSpacing/&gt;&lt;/w:pPr&gt;&lt;/w:style&gt;&lt;w:style w:type="paragraph" w:styleId="List2"&gt;&lt;w:name w:val="List 2"/&gt;&lt;w:basedOn w:val="Normal"/&gt;&lt;w:uiPriority w:val="99"/&gt;&lt;w:semiHidden/&gt;&lt;w:unhideWhenUsed/&gt;&lt;w:pPr&gt;&lt;w:ind w:left="720" w:firstLine="0"/&gt;&lt;w:contextualSpacing/&gt;&lt;/w:pPr&gt;&lt;/w:style&gt;&lt;w:style w:type="paragraph" w:styleId="List3"&gt;&lt;w:name w:val="List 3"/&gt;&lt;w:basedOn w:val="Normal"/&gt;&lt;w:uiPriority w:val="99"/&gt;&lt;w:semiHidden/&gt;&lt;w:unhideWhenUsed/&gt;&lt;w:pPr&gt;&lt;w:ind w:left="1080" w:firstLine="0"/&gt;&lt;w:contextualSpacing/&gt;&lt;/w:pPr&gt;&lt;/w:style&gt;&lt;w:style w:type="paragraph" w:styleId="List4"&gt;&lt;w:name w:val="List 4"/&gt;&lt;w:basedOn w:val="Normal"/&gt;&lt;w:uiPriority w:val="99"/&gt;&lt;w:semiHidden/&gt;&lt;w:unhideWhenUsed/&gt;&lt;w:pPr&gt;&lt;w:ind w:left="1440" w:firstLine="0"/&gt;&lt;w:contextualSpacing/&gt;&lt;/w:pPr&gt;&lt;/w:style&gt;&lt;w:style w:type="paragraph" w:styleId="List5"&gt;&lt;w:name w:val="List 5"/&gt;&lt;w:basedOn w:val="Normal"/&gt;&lt;w:uiPriority w:val="99"/&gt;&lt;w:semiHidden/&gt;&lt;w:unhideWhenUsed/&gt;&lt;w:pPr&gt;&lt;w:ind w:left="1800" w:firstLine="0"/&gt;&lt;w:contextualSpacing/&gt;&lt;/w:pPr&gt;&lt;/w:style&gt;&lt;w:style w:type="paragraph" w:styleId="ListBullet"&gt;&lt;w:name w:val="List Bullet"/&gt;&lt;w:basedOn w:val="Normal"/&gt;&lt;w:uiPriority w:val="8"/&gt;&lt;w:unhideWhenUsed/&gt;&lt;w:qFormat/&gt;&lt;w:pPr&gt;&lt;w:numPr&gt;&lt;w:numId w:val="1"/&gt;&lt;/w:numPr&gt;&lt;w:contextualSpacing/&gt;&lt;/w:pPr&gt;&lt;/w:style&gt;&lt;w:style w:type="paragraph" w:styleId="ListBullet2"&gt;&lt;w:name w:val="List Bullet 2"/&gt;&lt;w:basedOn w:val="Normal"/&gt;&lt;w:uiPriority w:val="99"/&gt;&lt;w:semiHidden/&gt;&lt;w:unhideWhenUsed/&gt;&lt;w:pPr&gt;&lt;w:numPr&gt;&lt;w:numId w:val="2"/&gt;&lt;/w:numPr&gt;&lt;w:ind w:firstLine="0"/&gt;&lt;w:contextualSpacing/&gt;&lt;/w:pPr&gt;&lt;/w:style&gt;&lt;w:style w:type="paragraph" w:styleId="ListBullet3"&gt;&lt;w:name w:val="List Bullet 3"/&gt;&lt;w:basedOn w:val="Normal"/&gt;&lt;w:uiPriority w:val="99"/&gt;&lt;w:semiHidden/&gt;&lt;w:unhideWhenUsed/&gt;&lt;w:pPr&gt;&lt;w:numPr&gt;&lt;w:numId w:val="3"/&gt;&lt;/w:numPr&gt;&lt;w:ind w:firstLine="0"/&gt;&lt;w:contextualSpacing/&gt;&lt;/w:pPr&gt;&lt;/w:style&gt;&lt;w:style w:type="paragraph" w:styleId="ListBullet4"&gt;&lt;w:name w:val="List Bullet 4"/&gt;&lt;w:basedOn w:val="Normal"/&gt;&lt;w:uiPriority w:val="99"/&gt;&lt;w:semiHidden/&gt;&lt;w:unhideWhenUsed/&gt;&lt;w:pPr&gt;&lt;w:numPr&gt;&lt;w:numId w:val="4"/&gt;&lt;/w:numPr&gt;&lt;w:ind w:firstLine="0"/&gt;&lt;w:contextualSpacing/&gt;&lt;/w:pPr&gt;&lt;/w:style&gt;&lt;w:style w:type="paragraph" w:styleId="ListBullet5"&gt;&lt;w:name w:val="List Bullet 5"/&gt;&lt;w:basedOn w:val="Normal"/&gt;&lt;w:uiPriority w:val="99"/&gt;&lt;w:semiHidden/&gt;&lt;w:unhideWhenUsed/&gt;&lt;w:pPr&gt;&lt;w:numPr&gt;&lt;w:numId w:val="5"/&gt;&lt;/w:numPr&gt;&lt;w:ind w:firstLine="0"/&gt;&lt;w:contextualSpacing/&gt;&lt;/w:pPr&gt;&lt;/w:style&gt;&lt;w:style w:type="paragraph" w:styleId="ListContinue"&gt;&lt;w:name w:val="List Continue"/&gt;&lt;w:basedOn w:val="Normal"/&gt;&lt;w:uiPriority w:val="99"/&gt;&lt;w:semiHidden/&gt;&lt;w:unhideWhenUsed/&gt;&lt;w:pPr&gt;&lt;w:spacing w:after="120"/&gt;&lt;w:ind w:left="360" w:firstLine="0"/&gt;&lt;w:contextualSpacing/&gt;&lt;/w:pPr&gt;&lt;/w:style&gt;&lt;w:style w:type="paragraph" w:styleId="ListContinue2"&gt;&lt;w:name w:val="List Continue 2"/&gt;&lt;w:basedOn w:val="Normal"/&gt;&lt;w:uiPriority w:val="99"/&gt;&lt;w:semiHidden/&gt;&lt;w:unhideWhenUsed/&gt;&lt;w:pPr&gt;&lt;w:spacing w:after="120"/&gt;&lt;w:ind w:left="720" w:firstLine="0"/&gt;&lt;w:contextualSpacing/&gt;&lt;/w:pPr&gt;&lt;/w:style&gt;&lt;w:style w:type="paragraph" w:styleId="ListContinue3"&gt;&lt;w:name w:val="List Continue 3"/&gt;&lt;w:basedOn w:val="Normal"/&gt;&lt;w:uiPriority w:val="99"/&gt;&lt;w:semiHidden/&gt;&lt;w:unhideWhenUsed/&gt;&lt;w:pPr&gt;&lt;w:spacing w:after="120"/&gt;&lt;w:ind w:left="1080" w:firstLine="0"/&gt;&lt;w:contextualSpacing/&gt;&lt;/w:pPr&gt;&lt;/w:style&gt;&lt;w:style w:type="paragraph" w:styleId="ListContinue4"&gt;&lt;w:name w:val="List Continue 4"/&gt;&lt;w:basedOn w:val="Normal"/&gt;&lt;w:uiPriority w:val="99"/&gt;&lt;w:semiHidden/&gt;&lt;w:unhideWhenUsed/&gt;&lt;w:pPr&gt;&lt;w:spacing w:after="120"/&gt;&lt;w:ind w:left="1440" w:firstLine="0"/&gt;&lt;w:contextualSpacing/&gt;&lt;/w:pPr&gt;&lt;/w:style&gt;&lt;w:style w:type="paragraph" w:styleId="ListContinue5"&gt;&lt;w:name w:val="List Continue 5"/&gt;&lt;w:basedOn w:val="Normal"/&gt;&lt;w:uiPriority w:val="99"/&gt;&lt;w:semiHidden/&gt;&lt;w:unhideWhenUsed/&gt;&lt;w:pPr&gt;&lt;w:spacing w:after="120"/&gt;&lt;w:ind w:left="1800" w:firstLine="0"/&gt;&lt;w:contextualSpacing/&gt;&lt;/w:pPr&gt;&lt;/w:style&gt;&lt;w:style w:type="paragraph" w:styleId="ListNumber"&gt;&lt;w:name w:val="List Number"/&gt;&lt;w:basedOn w:val="Normal"/&gt;&lt;w:uiPriority w:val="8"/&gt;&lt;w:unhideWhenUsed/&gt;&lt;w:qFormat/&gt;&lt;w:pPr&gt;&lt;w:numPr&gt;&lt;w:numId w:val="6"/&gt;&lt;/w:numPr&gt;&lt;w:contextualSpacing/&gt;&lt;/w:pPr&gt;&lt;/w:style&gt;&lt;w:style w:type="paragraph" w:styleId="ListNumber2"&gt;&lt;w:name w:val="List Number 2"/&gt;&lt;w:basedOn w:val="Normal"/&gt;&lt;w:uiPriority w:val="99"/&gt;&lt;w:semiHidden/&gt;&lt;w:unhideWhenUsed/&gt;&lt;w:pPr&gt;&lt;w:numPr&gt;&lt;w:numId w:val="7"/&gt;&lt;/w:numPr&gt;&lt;w:ind w:firstLine="0"/&gt;&lt;w:contextualSpacing/&gt;&lt;/w:pPr&gt;&lt;/w:style&gt;&lt;w:style w:type="paragraph" w:styleId="ListNumber3"&gt;&lt;w:name w:val="List Number 3"/&gt;&lt;w:basedOn w:val="Normal"/&gt;&lt;w:uiPriority w:val="99"/&gt;&lt;w:semiHidden/&gt;&lt;w:unhideWhenUsed/&gt;&lt;w:pPr&gt;&lt;w:numPr&gt;&lt;w:numId w:val="8"/&gt;&lt;/w:numPr&gt;&lt;w:ind w:firstLine="0"/&gt;&lt;w:contextualSpacing/&gt;&lt;/w:pPr&gt;&lt;/w:style&gt;&lt;w:style w:type="paragraph" w:styleId="ListNumber4"&gt;&lt;w:name w:val="List Number 4"/&gt;&lt;w:basedOn w:val="Normal"/&gt;&lt;w:uiPriority w:val="99"/&gt;&lt;w:semiHidden/&gt;&lt;w:unhideWhenUsed/&gt;&lt;w:pPr&gt;&lt;w:numPr&gt;&lt;w:numId w:val="9"/&gt;&lt;/w:numPr&gt;&lt;w:ind w:firstLine="0"/&gt;&lt;w:contextualSpacing/&gt;&lt;/w:pPr&gt;&lt;/w:style&gt;&lt;w:style w:type="paragraph" w:styleId="ListNumber5"&gt;&lt;w:name w:val="List Number 5"/&gt;&lt;w:basedOn w:val="Normal"/&gt;&lt;w:uiPriority w:val="99"/&gt;&lt;w:semiHidden/&gt;&lt;w:unhideWhenUsed/&gt;&lt;w:pPr&gt;&lt;w:numPr&gt;&lt;w:numId w:val="10"/&gt;&lt;/w:numPr&gt;&lt;w:ind w:firstLine="0"/&gt;&lt;w:contextualSpacing/&gt;&lt;/w:pPr&gt;&lt;/w:style&gt;&lt;w:style w:type="paragraph" w:styleId="ListParagraph"&gt;&lt;w:name w:val="List Paragraph"/&gt;&lt;w:basedOn w:val="Normal"/&gt;&lt;w:uiPriority w:val="34"/&gt;&lt;w:semiHidden/&gt;&lt;w:unhideWhenUsed/&gt;&lt;w:qFormat/&gt;&lt;w:pPr&gt;&lt;w:ind w:left="720" w:firstLine="0"/&gt;&lt;w:contextualSpacing/&gt;&lt;/w:pPr&gt;&lt;/w:style&gt;&lt;w:style w:type="paragraph" w:styleId="MacroText"&gt;&lt;w:name w:val="macro"/&gt;&lt;w:link w:val="MacroTextChar"/&gt;&lt;w:uiPriority w:val="99"/&gt;&lt;w:semiHidden/&gt;&lt;w:unhideWhenUsed/&gt;&lt;w:rsid w:val="00EB69D3"/&gt;&lt;w:pPr&gt;&lt;w:tabs&gt;&lt;w:tab w:val="left" w:pos="480"/&gt;&lt;w:tab w:val="left" w:pos="960"/&gt;&lt;w:tab w:val="left" w:pos="1440"/&gt;&lt;w:tab w:val="left" w:pos="1920"/&gt;&lt;w:tab w:val="left" w:pos="2400"/&gt;&lt;w:tab w:val="left" w:pos="2880"/&gt;&lt;w:tab w:val="left" w:pos="3360"/&gt;&lt;w:tab w:val="left" w:pos="3840"/&gt;&lt;w:tab w:val="left" w:pos="4320"/&gt;&lt;/w:tabs&gt;&lt;w:ind w:firstLine="0"/&gt;&lt;/w:pPr&gt;&lt;w:rPr&gt;&lt;w:rFonts w:ascii="Consolas" w:hAnsi="Consolas" w:cs="Consolas"/&gt;&lt;w:kern w:val="24"/&gt;&lt;w:sz w:val="22"/&gt;&lt;w:szCs w:val="20"/&gt;&lt;/w:rPr&gt;&lt;/w:style&gt;&lt;w:style w:type="character" w:customStyle="1" w:styleId="MacroTextChar"&gt;&lt;w:name w:val="Macro Text Char"/&gt;&lt;w:basedOn w:val="DefaultParagraphFont"/&gt;&lt;w:link w:val="MacroText"/&gt;&lt;w:uiPriority w:val="99"/&gt;&lt;w:semiHidden/&gt;&lt;w:rsid w:val="00EB69D3"/&gt;&lt;w:rPr&gt;&lt;w:rFonts w:ascii="Consolas" w:hAnsi="Consolas" w:cs="Consolas"/&gt;&lt;w:kern w:val="24"/&gt;&lt;w:sz w:val="22"/&gt;&lt;w:szCs w:val="20"/&gt;&lt;/w:rPr&gt;&lt;/w:style&gt;&lt;w:style w:type="paragraph" w:styleId="MessageHeader"&gt;&lt;w:name w:val="Message Header"/&gt;&lt;w:basedOn w:val="Normal"/&gt;&lt;w:link w:val="MessageHeaderChar"/&gt;&lt;w:uiPriority w:val="99"/&gt;&lt;w:semiHidden/&gt;&lt;w:unhideWhenUsed/&gt;&lt;w:pPr&gt;&lt;w:pBdr&gt;&lt;w:top w:val="single" w:sz="6" w:space="1" w:color="auto"/&gt;&lt;w:left w:val="single" w:sz="6" w:space="1" w:color="auto"/&gt;&lt;w:bottom w:val="single" w:sz="6" w:space="1" w:color="auto"/&gt;&lt;w:right w:val="single" w:sz="6" w:space="1" w:color="auto"/&gt;&lt;/w:pBdr&gt;&lt;w:shd w:val="pct20" w:color="auto" w:fill="auto"/&gt;&lt;w:spacing w:line="240" w:lineRule="auto"/&gt;&lt;w:ind w:left="1080" w:firstLine="0"/&gt;&lt;/w:pPr&gt;&lt;w:rPr&gt;&lt;w:rFonts w:asciiTheme="majorHAnsi" w:eastAsiaTheme="majorEastAsia" w:hAnsiTheme="majorHAnsi" w:cstheme="majorBidi"/&gt;&lt;/w:rPr&gt;&lt;/w:style&gt;&lt;w:style w:type="character" w:customStyle="1" w:styleId="MessageHeaderChar"&gt;&lt;w:name w:val="Message Header Char"/&gt;&lt;w:basedOn w:val="DefaultParagraphFont"/&gt;&lt;w:link w:val="MessageHeader"/&gt;&lt;w:uiPriority w:val="99"/&gt;&lt;w:semiHidden/&gt;&lt;w:rPr&gt;&lt;w:rFonts w:asciiTheme="majorHAnsi" w:eastAsiaTheme="majorEastAsia" w:hAnsiTheme="majorHAnsi" w:cstheme="majorBidi"/&gt;&lt;w:kern w:val="24"/&gt;&lt;w:shd w:val="pct20" w:color="auto" w:fill="auto"/&gt;&lt;/w:rPr&gt;&lt;/w:style&gt;&lt;w:style w:type="paragraph" w:styleId="NormalWeb"&gt;&lt;w:name w:val="Normal (Web)"/&gt;&lt;w:basedOn w:val="Normal"/&gt;&lt;w:uiPriority w:val="99"/&gt;&lt;w:semiHidden/&gt;&lt;w:unhideWhenUsed/&gt;&lt;w:pPr&gt;&lt;w:ind w:firstLine="0"/&gt;&lt;/w:pPr&gt;&lt;w:rPr&gt;&lt;w:rFonts w:ascii="Times New Roman" w:hAnsi="Times New Roman" w:cs="Times New Roman"/&gt;&lt;/w:rPr&gt;&lt;/w:style&gt;&lt;w:style w:type="paragraph" w:styleId="NormalIndent"&gt;&lt;w:name w:val="Normal Indent"/&gt;&lt;w:basedOn w:val="Normal"/&gt;&lt;w:uiPriority w:val="99"/&gt;&lt;w:semiHidden/&gt;&lt;w:unhideWhenUsed/&gt;&lt;w:pPr&gt;&lt;w:ind w:left="720" w:firstLine="0"/&gt;&lt;/w:pPr&gt;&lt;/w:style&gt;&lt;w:style w:type="paragraph" w:styleId="NoteHeading"&gt;&lt;w:name w:val="Note Heading"/&gt;&lt;w:basedOn w:val="Normal"/&gt;&lt;w:next w:val="Normal"/&gt;&lt;w:link w:val="NoteHeadingChar"/&gt;&lt;w:uiPriority w:val="99"/&gt;&lt;w:semiHidden/&gt;&lt;w:unhideWhenUsed/&gt;&lt;w:pPr&gt;&lt;w:spacing w:line="240" w:lineRule="auto"/&gt;&lt;w:ind w:firstLine="0"/&gt;&lt;/w:pPr&gt;&lt;/w:style&gt;&lt;w:style w:type="character" w:customStyle="1" w:styleId="NoteHeadingChar"&gt;&lt;w:name w:val="Note Heading Char"/&gt;&lt;w:basedOn w:val="DefaultParagraphFont"/&gt;&lt;w:link w:val="NoteHeading"/&gt;&lt;w:uiPriority w:val="99"/&gt;&lt;w:semiHidden/&gt;&lt;w:rPr&gt;&lt;w:kern w:val="24"/&gt;&lt;/w:rPr&gt;&lt;/w:style&gt;&lt;w:style w:type="paragraph" w:styleId="PlainText"&gt;&lt;w:name w:val="Plain Text"/&gt;&lt;w:basedOn w:val="Normal"/&gt;&lt;w:link w:val="PlainTextChar"/&gt;&lt;w:uiPriority w:val="99"/&gt;&lt;w:semiHidden/&gt;&lt;w:unhideWhenUsed/&gt;&lt;w:rsid w:val="00EB69D3"/&gt;&lt;w:pPr&gt;&lt;w:spacing w:line="240" w:lineRule="auto"/&gt;&lt;w:ind w:firstLine="0"/&gt;&lt;/w:pPr&gt;&lt;w:rPr&gt;&lt;w:rFonts w:ascii="Consolas" w:hAnsi="Consolas" w:cs="Consolas"/&gt;&lt;w:sz w:val="22"/&gt;&lt;w:szCs w:val="21"/&gt;&lt;/w:rPr&gt;&lt;/w:style&gt;&lt;w:style w:type="character" w:customStyle="1" w:styleId="PlainTextChar"&gt;&lt;w:name w:val="Plain Text Char"/&gt;&lt;w:basedOn w:val="DefaultParagraphFont"/&gt;&lt;w:link w:val="PlainText"/&gt;&lt;w:uiPriority w:val="99"/&gt;&lt;w:semiHidden/&gt;&lt;w:rsid w:val="00EB69D3"/&gt;&lt;w:rPr&gt;&lt;w:rFonts w:ascii="Consolas" w:hAnsi="Consolas" w:cs="Consolas"/&gt;&lt;w:sz w:val="22"/&gt;&lt;w:szCs w:val="21"/&gt;&lt;/w:rPr&gt;&lt;/w:style&gt;&lt;w:style w:type="paragraph" w:styleId="Quote"&gt;&lt;w:name w:val="Quote"/&gt;&lt;w:basedOn w:val="Normal"/&gt;&lt;w:next w:val="Normal"/&gt;&lt;w:link w:val="QuoteChar"/&gt;&lt;w:uiPriority w:val="29"/&gt;&lt;w:semiHidden/&gt;&lt;w:unhideWhenUsed/&gt;&lt;w:qFormat/&gt;&lt;w:pPr&gt;&lt;w:spacing w:before="200" w:after="160"/&gt;&lt;w:ind w:left="864" w:right="864" w:firstLine="0"/&gt;&lt;w:jc w:val="center"/&gt;&lt;/w:pPr&gt;&lt;w:rPr&gt;&lt;w:i/&gt;&lt;w:iCs/&gt;&lt;w:color w:val="404040" w:themeColor="text1" w:themeTint="BF"/&gt;&lt;/w:rPr&gt;&lt;/w:style&gt;&lt;w:style w:type="character" w:customStyle="1" w:styleId="QuoteChar"&gt;&lt;w:name w:val="Quote Char"/&gt;&lt;w:basedOn w:val="DefaultParagraphFont"/&gt;&lt;w:link w:val="Quote"/&gt;&lt;w:uiPriority w:val="29"/&gt;&lt;w:semiHidden/&gt;&lt;w:rPr&gt;&lt;w:i/&gt;&lt;w:iCs/&gt;&lt;w:color w:val="404040" w:themeColor="text1" w:themeTint="BF"/&gt;&lt;w:kern w:val="24"/&gt;&lt;/w:rPr&gt;&lt;/w:style&gt;&lt;w:style w:type="paragraph" w:styleId="Salutation"&gt;&lt;w:name w:val="Salutation"/&gt;&lt;w:basedOn w:val="Normal"/&gt;&lt;w:next w:val="Normal"/&gt;&lt;w:link w:val="SalutationChar"/&gt;&lt;w:uiPriority w:val="99"/&gt;&lt;w:semiHidden/&gt;&lt;w:unhideWhenUsed/&gt;&lt;w:pPr&gt;&lt;w:ind w:firstLine="0"/&gt;&lt;/w:pPr&gt;&lt;/w:style&gt;&lt;w:style w:type="character" w:customStyle="1" w:styleId="SalutationChar"&gt;&lt;w:name w:val="Salutation Char"/&gt;&lt;w:basedOn w:val="DefaultParagraphFont"/&gt;&lt;w:link w:val="Salutation"/&gt;&lt;w:uiPriority w:val="99"/&gt;&lt;w:semiHidden/&gt;&lt;w:rPr&gt;&lt;w:kern w:val="24"/&gt;&lt;/w:rPr&gt;&lt;/w:style&gt;&lt;w:style w:type="paragraph" w:styleId="Signature"&gt;&lt;w:name w:val="Signature"/&gt;&lt;w:basedOn w:val="Normal"/&gt;&lt;w:link w:val="SignatureChar"/&gt;&lt;w:uiPriority w:val="99"/&gt;&lt;w:semiHidden/&gt;&lt;w:unhideWhenUsed/&gt;&lt;w:pPr&gt;&lt;w:spacing w:line="240" w:lineRule="auto"/&gt;&lt;w:ind w:left="4320" w:firstLine="0"/&gt;&lt;/w:pPr&gt;&lt;/w:style&gt;&lt;w:style w:type="character" w:customStyle="1" w:styleId="SignatureChar"&gt;&lt;w:name w:val="Signature Char"/&gt;&lt;w:basedOn w:val="DefaultParagraphFont"/&gt;&lt;w:link w:val="Signature"/&gt;&lt;w:uiPriority w:val="99"/&gt;&lt;w:semiHidden/&gt;&lt;w:rPr&gt;&lt;w:kern w:val="24"/&gt;&lt;/w:rPr&gt;&lt;/w:style&gt;&lt;w:style w:type="paragraph" w:customStyle="1" w:styleId="Title2"&gt;&lt;w:name w:val="Title 2"/&gt;&lt;w:basedOn w:val="Normal"/&gt;&lt;w:uiPriority w:val="1"/&gt;&lt;w:qFormat/&gt;&lt;w:pPr&gt;&lt;w:ind w:firstLine="0"/&gt;&lt;w:jc w:val="center"/&gt;&lt;/w:pPr&gt;&lt;/w:style&gt;&lt;w:style w:type="paragraph" w:styleId="TableofAuthorities"&gt;&lt;w:name w:val="table of authorities"/&gt;&lt;w:basedOn w:val="Normal"/&gt;&lt;w:next w:val="Normal"/&gt;&lt;w:uiPriority w:val="99"/&gt;&lt;w:semiHidden/&gt;&lt;w:unhideWhenUsed/&gt;&lt;w:pPr&gt;&lt;w:ind w:left="240" w:firstLine="0"/&gt;&lt;/w:pPr&gt;&lt;/w:style&gt;&lt;w:style w:type="paragraph" w:styleId="TableofFigures"&gt;&lt;w:name w:val="table of figures"/&gt;&lt;w:basedOn w:val="Normal"/&gt;&lt;w:next w:val="Normal"/&gt;&lt;w:uiPriority w:val="99"/&gt;&lt;w:semiHidden/&gt;&lt;w:unhideWhenUsed/&gt;&lt;w:pPr&gt;&lt;w:ind w:firstLine="0"/&gt;&lt;/w:pPr&gt;&lt;/w:style&gt;&lt;w:style w:type="paragraph" w:styleId="TOAHeading"&gt;&lt;w:name w:val="toa heading"/&gt;&lt;w:basedOn w:val="Normal"/&gt;&lt;w:next w:val="Normal"/&gt;&lt;w:uiPriority w:val="99"/&gt;&lt;w:semiHidden/&gt;&lt;w:unhideWhenUsed/&gt;&lt;w:pPr&gt;&lt;w:spacing w:before="120"/&gt;&lt;w:ind w:firstLine="0"/&gt;&lt;/w:pPr&gt;&lt;w:rPr&gt;&lt;w:rFonts w:asciiTheme="majorHAnsi" w:eastAsiaTheme="majorEastAsia" w:hAnsiTheme="majorHAnsi" w:cstheme="majorBidi"/&gt;&lt;w:b/&gt;&lt;w:bCs/&gt;&lt;/w:rPr&gt;&lt;/w:style&gt;&lt;w:style w:type="paragraph" w:styleId="TOC4"&gt;&lt;w:name w:val="toc 4"/&gt;&lt;w:basedOn w:val="Normal"/&gt;&lt;w:next w:val="Normal"/&gt;&lt;w:autoRedefine/&gt;&lt;w:uiPriority w:val="39"/&gt;&lt;w:semiHidden/&gt;&lt;w:unhideWhenUsed/&gt;&lt;w:pPr&gt;&lt;w:spacing w:after="100"/&gt;&lt;w:ind w:left="720" w:firstLine="0"/&gt;&lt;/w:pPr&gt;&lt;/w:style&gt;&lt;w:style w:type="paragraph" w:styleId="TOC5"&gt;&lt;w:name w:val="toc 5"/&gt;&lt;w:basedOn w:val="Normal"/&gt;&lt;w:next w:val="Normal"/&gt;&lt;w:autoRedefine/&gt;&lt;w:uiPriority w:val="39"/&gt;&lt;w:semiHidden/&gt;&lt;w:unhideWhenUsed/&gt;&lt;w:pPr&gt;&lt;w:spacing w:after="100"/&gt;&lt;w:ind w:left="960" w:firstLine="0"/&gt;&lt;/w:pPr&gt;&lt;/w:style&gt;&lt;w:style w:type="paragraph" w:styleId="TOC6"&gt;&lt;w:name w:val="toc 6"/&gt;&lt;w:basedOn w:val="Normal"/&gt;&lt;w:next w:val="Normal"/&gt;&lt;w:autoRedefine/&gt;&lt;w:uiPriority w:val="39"/&gt;&lt;w:semiHidden/&gt;&lt;w:unhideWhenUsed/&gt;&lt;w:pPr&gt;&lt;w:spacing w:after="100"/&gt;&lt;w:ind w:left="1200" w:firstLine="0"/&gt;&lt;/w:pPr&gt;&lt;/w:style&gt;&lt;w:style w:type="paragraph" w:styleId="TOC7"&gt;&lt;w:name w:val="toc 7"/&gt;&lt;w:basedOn w:val="Normal"/&gt;&lt;w:next w:val="Normal"/&gt;&lt;w:autoRedefine/&gt;&lt;w:uiPriority w:val="39"/&gt;&lt;w:semiHidden/&gt;&lt;w:unhideWhenUsed/&gt;&lt;w:pPr&gt;&lt;w:spacing w:after="100"/&gt;&lt;w:ind w:left="1440" w:firstLine="0"/&gt;&lt;/w:pPr&gt;&lt;/w:style&gt;&lt;w:style w:type="paragraph" w:styleId="TOC8"&gt;&lt;w:name w:val="toc 8"/&gt;&lt;w:basedOn w:val="Normal"/&gt;&lt;w:next w:val="Normal"/&gt;&lt;w:autoRedefine/&gt;&lt;w:uiPriority w:val="39"/&gt;&lt;w:semiHidden/&gt;&lt;w:unhideWhenUsed/&gt;&lt;w:pPr&gt;&lt;w:spacing w:after="100"/&gt;&lt;w:ind w:left="1680" w:firstLine="0"/&gt;&lt;/w:pPr&gt;&lt;/w:style&gt;&lt;w:style w:type="paragraph" w:styleId="TOC9"&gt;&lt;w:name w:val="toc 9"/&gt;&lt;w:basedOn w:val="Normal"/&gt;&lt;w:next w:val="Normal"/&gt;&lt;w:autoRedefine/&gt;&lt;w:uiPriority w:val="39"/&gt;&lt;w:semiHidden/&gt;&lt;w:unhideWhenUsed/&gt;&lt;w:pPr&gt;&lt;w:spacing w:after="100"/&gt;&lt;w:ind w:left="1920" w:firstLine="0"/&gt;&lt;/w:pPr&gt;&lt;/w:style&gt;&lt;w:style w:type="character" w:styleId="EndnoteReference"&gt;&lt;w:name w:val="endnote reference"/&gt;&lt;w:basedOn w:val="DefaultParagraphFont"/&gt;&lt;w:uiPriority w:val="99"/&gt;&lt;w:semiHidden/&gt;&lt;w:unhideWhenUsed/&gt;&lt;w:rPr&gt;&lt;w:vertAlign w:val="superscript"/&gt;&lt;/w:rPr&gt;&lt;/w:style&gt;&lt;w:style w:type="character" w:styleId="FootnoteReference"&gt;&lt;w:name w:val="footnote reference"/&gt;&lt;w:basedOn w:val="DefaultParagraphFont"/&gt;&lt;w:uiPriority w:val="99"/&gt;&lt;w:qFormat/&gt;&lt;w:rPr&gt;&lt;w:vertAlign w:val="superscript"/&gt;&lt;/w:rPr&gt;&lt;/w:style&gt;&lt;w:style w:type="table" w:customStyle="1" w:styleId="APAReport"&gt;&lt;w:name w:val="APA Report"/&gt;&lt;w:basedOn w:val="TableNormal"/&gt;&lt;w:uiPriority w:val="99"/&gt;&lt;w:rsid w:val="003F7CBD"/&gt;&lt;w:pPr&gt;&lt;w:spacing w:line="240" w:lineRule="auto"/&gt;&lt;w:ind w:firstLine="0"/&gt;&lt;/w:pPr&gt;&lt;w:tblPr&gt;&lt;w:tblBorders&gt;&lt;w:top w:val="single" w:sz="12" w:space="0" w:color="auto"/&gt;&lt;w:bottom w:val="single" w:sz="12" w:space="0" w:color="auto"/&gt;&lt;/w:tblBorders&gt;&lt;/w:tblPr&gt;&lt;w:tblStylePr w:type="firstRow"&gt;&lt;w:rPr&gt;&lt;w:rFonts w:asciiTheme="majorHAnsi" w:hAnsiTheme="majorHAnsi"/&gt;&lt;/w:rPr&gt;&lt;w:tblPr/&gt;&lt;w:tcPr&gt;&lt;w:tcBorders&gt;&lt;w:top w:val="single" w:sz="12" w:space="0" w:color="auto"/&gt;&lt;w:left w:val="nil"/&gt;&lt;w:bottom w:val="single" w:sz="12" w:space="0" w:color="auto"/&gt;&lt;w:right w:val="nil"/&gt;&lt;w:insideH w:val="nil"/&gt;&lt;w:insideV w:val="nil"/&gt;&lt;w:tl2br w:val="nil"/&gt;&lt;w:tr2bl w:val="nil"/&gt;&lt;/w:tcBorders&gt;&lt;/w:tcPr&gt;&lt;/w:tblStylePr&gt;&lt;/w:style&gt;&lt;w:style w:type="paragraph" w:customStyle="1" w:styleId="TableFigure"&gt;&lt;w:name w:val="Table/Figure"/&gt;&lt;w:basedOn w:val="Normal"/&gt;&lt;w:uiPriority w:val="7"/&gt;&lt;w:qFormat/&gt;&lt;w:pPr&gt;&lt;w:spacing w:before="240"/&gt;&lt;w:ind w:firstLine="0"/&gt;&lt;w:contextualSpacing/&gt;&lt;/w:pPr&gt;&lt;/w:style&gt;&lt;w:style w:type="paragraph" w:styleId="Footer"&gt;&lt;w:name w:val="footer"/&gt;&lt;w:basedOn w:val="Normal"/&gt;&lt;w:link w:val="FooterChar"/&gt;&lt;w:uiPriority w:val="99"/&gt;&lt;w:qFormat/&gt;&lt;w:pPr&gt;&lt;w:tabs&gt;&lt;w:tab w:val="center" w:pos="4680"/&gt;&lt;w:tab w:val="right" w:pos="9360"/&gt;&lt;/w:tabs&gt;&lt;w:spacing w:line="240" w:lineRule="auto"/&gt;&lt;/w:pPr&gt;&lt;/w:style&gt;&lt;w:style w:type="character" w:customStyle="1" w:styleId="FooterChar"&gt;&lt;w:name w:val="Footer Char"/&gt;&lt;w:basedOn w:val="DefaultParagraphFont"/&gt;&lt;w:link w:val="Footer"/&gt;&lt;w:uiPriority w:val="99"/&gt;&lt;w:rsid w:val="00DB2E59"/&gt;&lt;/w:style&gt;&lt;w:style w:type="character" w:styleId="CommentReference"&gt;&lt;w:name w:val="annotation reference"/&gt;&lt;w:basedOn w:val="DefaultParagraphFont"/&gt;&lt;w:uiPriority w:val="99"/&gt;&lt;w:semiHidden/&gt;&lt;w:unhideWhenUsed/&gt;&lt;w:rsid w:val="00EB69D3"/&gt;&lt;w:rPr&gt;&lt;w:sz w:val="22"/&gt;&lt;w:szCs w:val="16"/&gt;&lt;/w:rPr&gt;&lt;/w:style&gt;&lt;w:style w:type="paragraph" w:styleId="EndnoteText"&gt;&lt;w:name w:val="endnote text"/&gt;&lt;w:basedOn w:val="Normal"/&gt;&lt;w:link w:val="EndnoteTextChar"/&gt;&lt;w:uiPriority w:val="99"/&gt;&lt;w:semiHidden/&gt;&lt;w:unhideWhenUsed/&gt;&lt;w:qFormat/&gt;&lt;w:rsid w:val="00EB69D3"/&gt;&lt;w:pPr&gt;&lt;w:spacing w:line="240" w:lineRule="auto"/&gt;&lt;/w:pPr&gt;&lt;w:rPr&gt;&lt;w:sz w:val="22"/&gt;&lt;w:szCs w:val="20"/&gt;&lt;/w:rPr&gt;&lt;/w:style&gt;&lt;w:style w:type="character" w:customStyle="1" w:styleId="EndnoteTextChar"&gt;&lt;w:name w:val="Endnote Text Char"/&gt;&lt;w:basedOn w:val="DefaultParagraphFont"/&gt;&lt;w:link w:val="EndnoteText"/&gt;&lt;w:uiPriority w:val="99"/&gt;&lt;w:semiHidden/&gt;&lt;w:rsid w:val="00EB69D3"/&gt;&lt;w:rPr&gt;&lt;w:sz w:val="22"/&gt;&lt;w:szCs w:val="20"/&gt;&lt;/w:rPr&gt;&lt;/w:style&gt;&lt;w:style w:type="character" w:styleId="HTMLCode"&gt;&lt;w:name w:val="HTML Code"/&gt;&lt;w:basedOn w:val="DefaultParagraphFont"/&gt;&lt;w:uiPriority w:val="99"/&gt;&lt;w:semiHidden/&gt;&lt;w:unhideWhenUsed/&gt;&lt;w:rsid w:val="00EB69D3"/&gt;&lt;w:rPr&gt;&lt;w:rFonts w:ascii="Consolas" w:hAnsi="Consolas"/&gt;&lt;w:sz w:val="22"/&gt;&lt;w:szCs w:val="20"/&gt;&lt;/w:rPr&gt;&lt;/w:style&gt;&lt;w:style w:type="character" w:styleId="HTMLKeyboard"&gt;&lt;w:name w:val="HTML Keyboard"/&gt;&lt;w:basedOn w:val="DefaultParagraphFont"/&gt;&lt;w:uiPriority w:val="99"/&gt;&lt;w:semiHidden/&gt;&lt;w:unhideWhenUsed/&gt;&lt;w:rsid w:val="00EB69D3"/&gt;&lt;w:rPr&gt;&lt;w:rFonts w:ascii="Consolas" w:hAnsi="Consolas"/&gt;&lt;w:sz w:val="22"/&gt;&lt;w:szCs w:val="20"/&gt;&lt;/w:rPr&gt;&lt;/w:style&gt;&lt;w:style w:type="character" w:styleId="HTMLTypewriter"&gt;&lt;w:name w:val="HTML Typewriter"/&gt;&lt;w:basedOn w:val="DefaultParagraphFont"/&gt;&lt;w:uiPriority w:val="99"/&gt;&lt;w:semiHidden/&gt;&lt;w:unhideWhenUsed/&gt;&lt;w:rsid w:val="00EB69D3"/&gt;&lt;w:rPr&gt;&lt;w:rFonts w:ascii="Consolas" w:hAnsi="Consolas"/&gt;&lt;w:sz w:val="22"/&gt;&lt;w:szCs w:val="20"/&gt;&lt;/w:rPr&gt;&lt;/w:style&gt;&lt;w:style w:type="paragraph" w:styleId="TOCHeading"&gt;&lt;w:name w:val="TOC Heading"/&gt;&lt;w:basedOn w:val="Heading1"/&gt;&lt;w:next w:val="Normal"/&gt;&lt;w:uiPriority w:val="39"/&gt;&lt;w:semiHidden/&gt;&lt;w:unhideWhenUsed/&gt;&lt;w:qFormat/&gt;&lt;w:rsid w:val="00EB69D3"/&gt;&lt;w:pPr&gt;&lt;w:spacing w:before="240"/&gt;&lt;w:ind w:firstLine="720"/&gt;&lt;w:jc w:val="left"/&gt;&lt;w:outlineLvl w:val="9"/&gt;&lt;/w:pPr&gt;&lt;w:rPr&gt;&lt;w:b w:val="0"/&gt;&lt;w:bCs w:val="0"/&gt;&lt;w:color w:val="6E6E6E" w:themeColor="accent1" w:themeShade="80"/&gt;&lt;w:sz w:val="32"/&gt;&lt;w:szCs w:val="32"/&gt;&lt;/w:rPr&gt;&lt;/w:style&gt;&lt;w:style w:type="character" w:styleId="IntenseReference"&gt;&lt;w:name w:val="Intense Reference"/&gt;&lt;w:basedOn w:val="DefaultParagraphFont"/&gt;&lt;w:uiPriority w:val="32"/&gt;&lt;w:semiHidden/&gt;&lt;w:unhideWhenUsed/&gt;&lt;w:qFormat/&gt;&lt;w:rsid w:val="00EB69D3"/&gt;&lt;w:rPr&gt;&lt;w:b/&gt;&lt;w:bCs/&gt;&lt;w:caps w:val="0"/&gt;&lt;w:smallCaps/&gt;&lt;w:color w:val="6E6E6E" w:themeColor="accent1" w:themeShade="80"/&gt;&lt;w:spacing w:val="5"/&gt;&lt;/w:rPr&gt;&lt;/w:style&gt;&lt;w:style w:type="character" w:styleId="IntenseEmphasis"&gt;&lt;w:name w:val="Intense Emphasis"/&gt;&lt;w:basedOn w:val="DefaultParagraphFont"/&gt;&lt;w:uiPriority w:val="21"/&gt;&lt;w:semiHidden/&gt;&lt;w:unhideWhenUsed/&gt;&lt;w:qFormat/&gt;&lt;w:rsid w:val="00EB69D3"/&gt;&lt;w:rPr&gt;&lt;w:i/&gt;&lt;w:iCs/&gt;&lt;w:color w:val="6E6E6E" w:themeColor="accent1" w:themeShade="80"/&gt;&lt;/w:rPr&gt;&lt;/w:style&gt;&lt;w:style w:type="table" w:styleId="GridTable4-Accent4"&gt;&lt;w:name w:val="Grid Table 4 Accent 4"/&gt;&lt;w:basedOn w:val="TableNormal"/&gt;&lt;w:uiPriority w:val="49"/&gt;&lt;w:rsid w:val="003F7CBD"/&gt;&lt;w:pPr&gt;&lt;w:spacing w:line="240" w:lineRule="auto"/&gt;&lt;/w:pPr&gt;&lt;w:tblPr&gt;&lt;w:tblStyleRowBandSize w:val="1"/&gt;&lt;w:tblStyleColBandSize w:val="1"/&gt;&lt;w:tblBorders&gt;&lt;w:top w:val="single" w:sz="4" w:space="0" w:color="B2B2B2" w:themeColor="accent4" w:themeTint="99"/&gt;&lt;w:left w:val="single" w:sz="4" w:space="0" w:color="B2B2B2" w:themeColor="accent4" w:themeTint="99"/&gt;&lt;w:bottom w:val="single" w:sz="4" w:space="0" w:color="B2B2B2" w:themeColor="accent4" w:themeTint="99"/&gt;&lt;w:right w:val="single" w:sz="4" w:space="0" w:color="B2B2B2" w:themeColor="accent4" w:themeTint="99"/&gt;&lt;w:insideH w:val="single" w:sz="4" w:space="0" w:color="B2B2B2" w:themeColor="accent4" w:themeTint="99"/&gt;&lt;w:insideV w:val="single" w:sz="4" w:space="0" w:color="B2B2B2" w:themeColor="accent4" w:themeTint="99"/&gt;&lt;/w:tblBorders&gt;&lt;/w:tblPr&gt;&lt;w:tblStylePr w:type="firstRow"&gt;&lt;w:rPr&gt;&lt;w:b/&gt;&lt;w:bCs/&gt;&lt;w:color w:val="FFFFFF" w:themeColor="background1"/&gt;&lt;/w:rPr&gt;&lt;w:tblPr/&gt;&lt;w:tcPr&gt;&lt;w:tcBorders&gt;&lt;w:top w:val="single" w:sz="4" w:space="0" w:color="808080" w:themeColor="accent4"/&gt;&lt;w:left w:val="single" w:sz="4" w:space="0" w:color="808080" w:themeColor="accent4"/&gt;&lt;w:bottom w:val="single" w:sz="4" w:space="0" w:color="808080" w:themeColor="accent4"/&gt;&lt;w:right w:val="single" w:sz="4" w:space="0" w:color="808080" w:themeColor="accent4"/&gt;&lt;w:insideH w:val="nil"/&gt;&lt;w:insideV w:val="nil"/&gt;&lt;/w:tcBorders&gt;&lt;w:shd w:val="clear" w:color="auto" w:fill="808080" w:themeFill="accent4"/&gt;&lt;/w:tcPr&gt;&lt;/w:tblStylePr&gt;&lt;w:tblStylePr w:type="lastRow"&gt;&lt;w:rPr&gt;&lt;w:b/&gt;&lt;w:bCs/&gt;&lt;/w:rPr&gt;&lt;w:tblPr/&gt;&lt;w:tcPr&gt;&lt;w:tcBorders&gt;&lt;w:top w:val="double" w:sz="4" w:space="0" w:color="808080" w:themeColor="accent4"/&gt;&lt;/w:tcBorders&gt;&lt;/w:tcPr&gt;&lt;/w:tblStylePr&gt;&lt;w:tblStylePr w:type="firstCol"&gt;&lt;w:rPr&gt;&lt;w:b/&gt;&lt;w:bCs/&gt;&lt;/w:rPr&gt;&lt;/w:tblStylePr&gt;&lt;w:tblStylePr w:type="lastCol"&gt;&lt;w:rPr&gt;&lt;w:b/&gt;&lt;w:bCs/&gt;&lt;/w:rPr&gt;&lt;/w:tblStylePr&gt;&lt;w:tblStylePr w:type="band1Vert"&gt;&lt;w:tblPr/&gt;&lt;w:tcPr&gt;&lt;w:shd w:val="clear" w:color="auto" w:fill="E5E5E5" w:themeFill="accent4" w:themeFillTint="33"/&gt;&lt;/w:tcPr&gt;&lt;/w:tblStylePr&gt;&lt;w:tblStylePr w:type="band1Horz"&gt;&lt;w:tblPr/&gt;&lt;w:tcPr&gt;&lt;w:shd w:val="clear" w:color="auto" w:fill="E5E5E5" w:themeFill="accent4" w:themeFillTint="33"/&gt;&lt;/w:tcPr&gt;&lt;/w:tblStylePr&gt;&lt;/w:style&gt;&lt;w:style w:type="table" w:styleId="GridTable2-Accent1"&gt;&lt;w:name w:val="Grid Table 2 Accent 1"/&gt;&lt;w:basedOn w:val="TableNormal"/&gt;&lt;w:uiPriority w:val="47"/&gt;&lt;w:rsid w:val="008A78F1"/&gt;&lt;w:pPr&gt;&lt;w:spacing w:line="240" w:lineRule="auto"/&gt;&lt;/w:pPr&gt;&lt;w:tblPr&gt;&lt;w:tblStyleRowBandSize w:val="1"/&gt;&lt;w:tblStyleColBandSize w:val="1"/&gt;&lt;w:tblBorders&gt;&lt;w:top w:val="single" w:sz="2" w:space="0" w:color="EAEAEA" w:themeColor="accent1" w:themeTint="99"/&gt;&lt;w:bottom w:val="single" w:sz="2" w:space="0" w:color="EAEAEA" w:themeColor="accent1" w:themeTint="99"/&gt;&lt;w:insideH w:val="single" w:sz="2" w:space="0" w:color="EAEAEA" w:themeColor="accent1" w:themeTint="99"/&gt;&lt;w:insideV w:val="single" w:sz="2" w:space="0" w:color="EAEAEA" w:themeColor="accent1" w:themeTint="99"/&gt;&lt;/w:tblBorders&gt;&lt;w:tblCellMar&gt;&lt;w:left w:w="0" w:type="dxa"/&gt;&lt;w:right w:w="0" w:type="dxa"/&gt;&lt;/w:tblCellMar&gt;&lt;/w:tblPr&gt;&lt;w:tblStylePr w:type="firstRow"&gt;&lt;w:rPr&gt;&lt;w:b w:val="0"/&gt;&lt;w:bCs/&gt;&lt;w:i w:val="0"/&gt;&lt;/w:rPr&gt;&lt;w:tblPr/&gt;&lt;w:tcPr&gt;&lt;w:tcBorders&gt;&lt;w:top w:val="nil"/&gt;&lt;w:left w:val="nil"/&gt;&lt;w:bottom w:val="nil"/&gt;&lt;w:right w:val="nil"/&gt;&lt;w:insideH w:val="nil"/&gt;&lt;w:insideV w:val="nil"/&gt;&lt;w:tl2br w:val="nil"/&gt;&lt;w:tr2bl w:val="nil"/&gt;&lt;/w:tcBorders&gt;&lt;w:shd w:val="clear" w:color="auto" w:fill="FFFFFF" w:themeFill="background1"/&gt;&lt;/w:tcPr&gt;&lt;/w:tblStylePr&gt;&lt;w:tblStylePr w:type="lastRow"&gt;&lt;w:rPr&gt;&lt;w:b/&gt;&lt;w:bCs/&gt;&lt;/w:rPr&gt;&lt;w:tblPr/&gt;&lt;w:tcPr&gt;&lt;w:tcBorders&gt;&lt;w:top w:val="double" w:sz="2" w:space="0" w:color="EAEAEA" w:themeColor="accent1" w:themeTint="99"/&gt;&lt;w:bottom w:val="nil"/&gt;&lt;w:insideH w:val="nil"/&gt;&lt;w:insideV w:val="nil"/&gt;&lt;/w:tcBorders&gt;&lt;w:shd w:val="clear" w:color="auto" w:fill="FFFFFF" w:themeFill="background1"/&gt;&lt;/w:tcPr&gt;&lt;/w:tblStylePr&gt;&lt;w:tblStylePr w:type="firstCol"&gt;&lt;w:rPr&gt;&lt;w:b/&gt;&lt;w:bCs/&gt;&lt;/w:rPr&gt;&lt;/w:tblStylePr&gt;&lt;w:tblStylePr w:type="lastCol"&gt;&lt;w:rPr&gt;&lt;w:b/&gt;&lt;w:bCs/&gt;&lt;/w:rPr&gt;&lt;/w:tblStylePr&gt;&lt;w:tblStylePr w:type="band1Vert"&gt;&lt;w:tblPr/&gt;&lt;w:tcPr&gt;&lt;w:shd w:val="clear" w:color="auto" w:fill="F8F8F8" w:themeFill="accent1" w:themeFillTint="33"/&gt;&lt;/w:tcPr&gt;&lt;/w:tblStylePr&gt;&lt;w:tblStylePr w:type="band1Horz"&gt;&lt;w:tblPr/&gt;&lt;w:tcPr&gt;&lt;w:shd w:val="clear" w:color="auto" w:fill="F8F8F8" w:themeFill="accent1" w:themeFillTint="33"/&gt;&lt;/w:tcPr&gt;&lt;/w:tblStylePr&gt;&lt;/w:style&gt;&lt;/w:styles&gt;&lt;/pkg:xmlData&gt;&lt;/pkg:part&gt;&lt;/pkg:package&gt;
</CustomerName>
    <CompanyName/>
    <SenderAddress/>
    <Address/>
  </employee>
</employe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8E728A-96FF-4995-885C-5AF887AB0C35}">
  <ds:schemaRefs>
    <ds:schemaRef ds:uri="http://schemas.microsoft.com/temp/samples"/>
  </ds:schemaRefs>
</ds:datastoreItem>
</file>

<file path=customXml/itemProps2.xml><?xml version="1.0" encoding="utf-8"?>
<ds:datastoreItem xmlns:ds="http://schemas.openxmlformats.org/officeDocument/2006/customXml" ds:itemID="{F21AA932-46D2-4606-8527-5D3E7EF5BE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APA style paper</Template>
  <TotalTime>342</TotalTime>
  <Pages>6</Pages>
  <Words>1677</Words>
  <Characters>9564</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22</cp:revision>
  <dcterms:created xsi:type="dcterms:W3CDTF">2022-01-16T14:17:00Z</dcterms:created>
  <dcterms:modified xsi:type="dcterms:W3CDTF">2022-01-17T18:21:00Z</dcterms:modified>
</cp:coreProperties>
</file>