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A653" w14:textId="77777777" w:rsidR="003713BC" w:rsidRDefault="003713BC">
      <w:pPr>
        <w:spacing w:before="1440" w:after="240"/>
        <w:jc w:val="center"/>
        <w:rPr>
          <w:b/>
          <w:bCs/>
          <w:sz w:val="28"/>
          <w:szCs w:val="28"/>
        </w:rPr>
      </w:pPr>
    </w:p>
    <w:p w14:paraId="29027159" w14:textId="6034BDC2" w:rsidR="00D34E64" w:rsidRDefault="00000000">
      <w:pPr>
        <w:spacing w:before="1440" w:after="240"/>
        <w:jc w:val="center"/>
      </w:pPr>
      <w:r>
        <w:rPr>
          <w:b/>
          <w:bCs/>
          <w:sz w:val="28"/>
          <w:szCs w:val="28"/>
        </w:rPr>
        <w:t>Qualifi Level 4 Diploma in Health and Social Care</w:t>
      </w:r>
    </w:p>
    <w:p w14:paraId="5DC335D4" w14:textId="1F54EF3D" w:rsidR="00D34E64" w:rsidRDefault="00000000">
      <w:pPr>
        <w:spacing w:after="240"/>
        <w:jc w:val="center"/>
      </w:pPr>
      <w:r>
        <w:rPr>
          <w:b/>
          <w:bCs/>
        </w:rPr>
        <w:t xml:space="preserve">Unit: </w:t>
      </w:r>
      <w:r w:rsidR="002A1010" w:rsidRPr="002A1010">
        <w:rPr>
          <w:b/>
          <w:bCs/>
        </w:rPr>
        <w:t>An Introduction to Healthcare Policy</w:t>
      </w:r>
      <w:r>
        <w:rPr>
          <w:b/>
          <w:bCs/>
        </w:rPr>
        <w:t xml:space="preserve"> (</w:t>
      </w:r>
      <w:r w:rsidR="002A1010" w:rsidRPr="002A1010">
        <w:rPr>
          <w:b/>
          <w:bCs/>
        </w:rPr>
        <w:t>HSC403</w:t>
      </w:r>
      <w:r>
        <w:rPr>
          <w:b/>
          <w:bCs/>
        </w:rPr>
        <w:t>)</w:t>
      </w:r>
    </w:p>
    <w:p w14:paraId="74C018D9" w14:textId="77777777" w:rsidR="00C30418" w:rsidRDefault="00000000" w:rsidP="00C30418">
      <w:pPr>
        <w:spacing w:after="100" w:afterAutospacing="1"/>
        <w:jc w:val="center"/>
      </w:pPr>
      <w:r>
        <w:t>Assignment: Tasks 1, 2 and 3</w:t>
      </w:r>
      <w:r w:rsidR="00C30418">
        <w:t xml:space="preserve"> </w:t>
      </w:r>
    </w:p>
    <w:p w14:paraId="474304F3" w14:textId="190F7768" w:rsidR="00E235A5" w:rsidRDefault="00C30418" w:rsidP="00626A04">
      <w:pPr>
        <w:spacing w:after="100" w:afterAutospacing="1"/>
        <w:jc w:val="center"/>
        <w:sectPr w:rsidR="00E235A5">
          <w:footerReference w:type="default" r:id="rId8"/>
          <w:pgSz w:w="11906" w:h="16838"/>
          <w:pgMar w:top="1440" w:right="1440" w:bottom="1440" w:left="1440" w:header="708" w:footer="708" w:gutter="0"/>
          <w:cols w:space="720"/>
          <w:docGrid w:linePitch="360"/>
        </w:sectPr>
      </w:pPr>
      <w:r>
        <w:t>Word Count: 2,1</w:t>
      </w:r>
      <w:r w:rsidR="00016E0D">
        <w:t>66</w:t>
      </w:r>
    </w:p>
    <w:sdt>
      <w:sdtPr>
        <w:rPr>
          <w:rFonts w:ascii="Times New Roman" w:eastAsia="Times New Roman" w:hAnsi="Times New Roman" w:cs="Times New Roman"/>
          <w:color w:val="auto"/>
          <w:sz w:val="24"/>
          <w:szCs w:val="24"/>
        </w:rPr>
        <w:id w:val="-941841019"/>
        <w:docPartObj>
          <w:docPartGallery w:val="Table of Contents"/>
          <w:docPartUnique/>
        </w:docPartObj>
      </w:sdtPr>
      <w:sdtEndPr>
        <w:rPr>
          <w:b/>
          <w:bCs/>
          <w:noProof/>
        </w:rPr>
      </w:sdtEndPr>
      <w:sdtContent>
        <w:p w14:paraId="53A64E5C" w14:textId="0CB89119" w:rsidR="00E235A5" w:rsidRDefault="00E235A5">
          <w:pPr>
            <w:pStyle w:val="TOCHeading"/>
          </w:pPr>
          <w:r>
            <w:t>Table of Contents</w:t>
          </w:r>
        </w:p>
        <w:p w14:paraId="4C17FEB8" w14:textId="1CFE3DE2" w:rsidR="00016E0D" w:rsidRPr="00016E0D" w:rsidRDefault="00E235A5">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561173" w:history="1">
            <w:r w:rsidR="00016E0D" w:rsidRPr="00016E0D">
              <w:rPr>
                <w:rStyle w:val="Hyperlink"/>
                <w:noProof/>
              </w:rPr>
              <w:t>Task 1: Significant Historical and Contemporary Landmarks in UK Healthcare Provision</w:t>
            </w:r>
            <w:r w:rsidR="00016E0D" w:rsidRPr="00016E0D">
              <w:rPr>
                <w:noProof/>
                <w:webHidden/>
              </w:rPr>
              <w:tab/>
            </w:r>
            <w:r w:rsidR="00016E0D" w:rsidRPr="00016E0D">
              <w:rPr>
                <w:noProof/>
                <w:webHidden/>
              </w:rPr>
              <w:fldChar w:fldCharType="begin"/>
            </w:r>
            <w:r w:rsidR="00016E0D" w:rsidRPr="00016E0D">
              <w:rPr>
                <w:noProof/>
                <w:webHidden/>
              </w:rPr>
              <w:instrText xml:space="preserve"> PAGEREF _Toc229561173 \h </w:instrText>
            </w:r>
            <w:r w:rsidR="00016E0D" w:rsidRPr="00016E0D">
              <w:rPr>
                <w:noProof/>
                <w:webHidden/>
              </w:rPr>
            </w:r>
            <w:r w:rsidR="00016E0D" w:rsidRPr="00016E0D">
              <w:rPr>
                <w:noProof/>
                <w:webHidden/>
              </w:rPr>
              <w:fldChar w:fldCharType="separate"/>
            </w:r>
            <w:r w:rsidR="00016E0D" w:rsidRPr="00016E0D">
              <w:rPr>
                <w:noProof/>
                <w:webHidden/>
              </w:rPr>
              <w:t>3</w:t>
            </w:r>
            <w:r w:rsidR="00016E0D" w:rsidRPr="00016E0D">
              <w:rPr>
                <w:noProof/>
                <w:webHidden/>
              </w:rPr>
              <w:fldChar w:fldCharType="end"/>
            </w:r>
          </w:hyperlink>
        </w:p>
        <w:p w14:paraId="4F93C411" w14:textId="5F48C547" w:rsidR="00016E0D" w:rsidRPr="00016E0D" w:rsidRDefault="00016E0D">
          <w:pPr>
            <w:pStyle w:val="TOC3"/>
            <w:tabs>
              <w:tab w:val="left" w:pos="1200"/>
              <w:tab w:val="right" w:leader="dot" w:pos="9016"/>
            </w:tabs>
            <w:rPr>
              <w:noProof/>
            </w:rPr>
          </w:pPr>
          <w:hyperlink w:anchor="_Toc229561174" w:history="1">
            <w:r w:rsidRPr="00016E0D">
              <w:rPr>
                <w:rStyle w:val="Hyperlink"/>
                <w:i/>
                <w:iCs/>
                <w:noProof/>
              </w:rPr>
              <w:t>1.1.</w:t>
            </w:r>
            <w:r w:rsidRPr="00016E0D">
              <w:rPr>
                <w:noProof/>
              </w:rPr>
              <w:tab/>
            </w:r>
            <w:r w:rsidRPr="00016E0D">
              <w:rPr>
                <w:rStyle w:val="Hyperlink"/>
                <w:i/>
                <w:iCs/>
                <w:noProof/>
              </w:rPr>
              <w:t>Labour Government Healthcare Policy Reforms (1997–2010)</w:t>
            </w:r>
            <w:r w:rsidRPr="00016E0D">
              <w:rPr>
                <w:noProof/>
                <w:webHidden/>
              </w:rPr>
              <w:tab/>
            </w:r>
            <w:r w:rsidRPr="00016E0D">
              <w:rPr>
                <w:noProof/>
                <w:webHidden/>
              </w:rPr>
              <w:fldChar w:fldCharType="begin"/>
            </w:r>
            <w:r w:rsidRPr="00016E0D">
              <w:rPr>
                <w:noProof/>
                <w:webHidden/>
              </w:rPr>
              <w:instrText xml:space="preserve"> PAGEREF _Toc229561174 \h </w:instrText>
            </w:r>
            <w:r w:rsidRPr="00016E0D">
              <w:rPr>
                <w:noProof/>
                <w:webHidden/>
              </w:rPr>
            </w:r>
            <w:r w:rsidRPr="00016E0D">
              <w:rPr>
                <w:noProof/>
                <w:webHidden/>
              </w:rPr>
              <w:fldChar w:fldCharType="separate"/>
            </w:r>
            <w:r w:rsidRPr="00016E0D">
              <w:rPr>
                <w:noProof/>
                <w:webHidden/>
              </w:rPr>
              <w:t>3</w:t>
            </w:r>
            <w:r w:rsidRPr="00016E0D">
              <w:rPr>
                <w:noProof/>
                <w:webHidden/>
              </w:rPr>
              <w:fldChar w:fldCharType="end"/>
            </w:r>
          </w:hyperlink>
        </w:p>
        <w:p w14:paraId="72D5973D" w14:textId="78EDF38C" w:rsidR="00016E0D" w:rsidRPr="00016E0D" w:rsidRDefault="00016E0D">
          <w:pPr>
            <w:pStyle w:val="TOC3"/>
            <w:tabs>
              <w:tab w:val="left" w:pos="1200"/>
              <w:tab w:val="right" w:leader="dot" w:pos="9016"/>
            </w:tabs>
            <w:rPr>
              <w:noProof/>
            </w:rPr>
          </w:pPr>
          <w:hyperlink w:anchor="_Toc229561175" w:history="1">
            <w:r w:rsidRPr="00016E0D">
              <w:rPr>
                <w:rStyle w:val="Hyperlink"/>
                <w:i/>
                <w:iCs/>
                <w:noProof/>
              </w:rPr>
              <w:t>1.2.</w:t>
            </w:r>
            <w:r w:rsidRPr="00016E0D">
              <w:rPr>
                <w:noProof/>
              </w:rPr>
              <w:tab/>
            </w:r>
            <w:r w:rsidRPr="00016E0D">
              <w:rPr>
                <w:rStyle w:val="Hyperlink"/>
                <w:i/>
                <w:iCs/>
                <w:noProof/>
              </w:rPr>
              <w:t>The Conservative/Liberal Democrat Coalition Health Agenda (2010–2015)</w:t>
            </w:r>
            <w:r w:rsidRPr="00016E0D">
              <w:rPr>
                <w:noProof/>
                <w:webHidden/>
              </w:rPr>
              <w:tab/>
            </w:r>
            <w:r w:rsidRPr="00016E0D">
              <w:rPr>
                <w:noProof/>
                <w:webHidden/>
              </w:rPr>
              <w:fldChar w:fldCharType="begin"/>
            </w:r>
            <w:r w:rsidRPr="00016E0D">
              <w:rPr>
                <w:noProof/>
                <w:webHidden/>
              </w:rPr>
              <w:instrText xml:space="preserve"> PAGEREF _Toc229561175 \h </w:instrText>
            </w:r>
            <w:r w:rsidRPr="00016E0D">
              <w:rPr>
                <w:noProof/>
                <w:webHidden/>
              </w:rPr>
            </w:r>
            <w:r w:rsidRPr="00016E0D">
              <w:rPr>
                <w:noProof/>
                <w:webHidden/>
              </w:rPr>
              <w:fldChar w:fldCharType="separate"/>
            </w:r>
            <w:r w:rsidRPr="00016E0D">
              <w:rPr>
                <w:noProof/>
                <w:webHidden/>
              </w:rPr>
              <w:t>4</w:t>
            </w:r>
            <w:r w:rsidRPr="00016E0D">
              <w:rPr>
                <w:noProof/>
                <w:webHidden/>
              </w:rPr>
              <w:fldChar w:fldCharType="end"/>
            </w:r>
          </w:hyperlink>
        </w:p>
        <w:p w14:paraId="071801EA" w14:textId="6DE9F14C" w:rsidR="00016E0D" w:rsidRPr="00016E0D" w:rsidRDefault="00016E0D">
          <w:pPr>
            <w:pStyle w:val="TOC3"/>
            <w:tabs>
              <w:tab w:val="left" w:pos="1200"/>
              <w:tab w:val="right" w:leader="dot" w:pos="9016"/>
            </w:tabs>
            <w:rPr>
              <w:noProof/>
            </w:rPr>
          </w:pPr>
          <w:hyperlink w:anchor="_Toc229561176" w:history="1">
            <w:r w:rsidRPr="00016E0D">
              <w:rPr>
                <w:rStyle w:val="Hyperlink"/>
                <w:i/>
                <w:iCs/>
                <w:noProof/>
              </w:rPr>
              <w:t>1.3.</w:t>
            </w:r>
            <w:r w:rsidRPr="00016E0D">
              <w:rPr>
                <w:noProof/>
              </w:rPr>
              <w:tab/>
            </w:r>
            <w:r w:rsidRPr="00016E0D">
              <w:rPr>
                <w:rStyle w:val="Hyperlink"/>
                <w:i/>
                <w:iCs/>
                <w:noProof/>
              </w:rPr>
              <w:t>Recent Proposals in Healthcare Policy and Their Potential Impact on Service Users</w:t>
            </w:r>
            <w:r w:rsidRPr="00016E0D">
              <w:rPr>
                <w:noProof/>
                <w:webHidden/>
              </w:rPr>
              <w:tab/>
            </w:r>
            <w:r w:rsidRPr="00016E0D">
              <w:rPr>
                <w:noProof/>
                <w:webHidden/>
              </w:rPr>
              <w:fldChar w:fldCharType="begin"/>
            </w:r>
            <w:r w:rsidRPr="00016E0D">
              <w:rPr>
                <w:noProof/>
                <w:webHidden/>
              </w:rPr>
              <w:instrText xml:space="preserve"> PAGEREF _Toc229561176 \h </w:instrText>
            </w:r>
            <w:r w:rsidRPr="00016E0D">
              <w:rPr>
                <w:noProof/>
                <w:webHidden/>
              </w:rPr>
            </w:r>
            <w:r w:rsidRPr="00016E0D">
              <w:rPr>
                <w:noProof/>
                <w:webHidden/>
              </w:rPr>
              <w:fldChar w:fldCharType="separate"/>
            </w:r>
            <w:r w:rsidRPr="00016E0D">
              <w:rPr>
                <w:noProof/>
                <w:webHidden/>
              </w:rPr>
              <w:t>5</w:t>
            </w:r>
            <w:r w:rsidRPr="00016E0D">
              <w:rPr>
                <w:noProof/>
                <w:webHidden/>
              </w:rPr>
              <w:fldChar w:fldCharType="end"/>
            </w:r>
          </w:hyperlink>
        </w:p>
        <w:p w14:paraId="3F0E2023" w14:textId="64131035" w:rsidR="00016E0D" w:rsidRPr="00016E0D" w:rsidRDefault="00016E0D">
          <w:pPr>
            <w:pStyle w:val="TOC2"/>
            <w:tabs>
              <w:tab w:val="right" w:leader="dot" w:pos="9016"/>
            </w:tabs>
            <w:rPr>
              <w:rFonts w:asciiTheme="minorHAnsi" w:eastAsiaTheme="minorEastAsia" w:hAnsiTheme="minorHAnsi" w:cstheme="minorBidi"/>
              <w:noProof/>
              <w:kern w:val="2"/>
              <w14:ligatures w14:val="standardContextual"/>
            </w:rPr>
          </w:pPr>
          <w:hyperlink w:anchor="_Toc229561177" w:history="1">
            <w:r w:rsidRPr="00016E0D">
              <w:rPr>
                <w:rStyle w:val="Hyperlink"/>
                <w:noProof/>
              </w:rPr>
              <w:t>Task 2: Theoretical Frameworks, Concepts and Models in Developing Policy</w:t>
            </w:r>
            <w:r w:rsidRPr="00016E0D">
              <w:rPr>
                <w:noProof/>
                <w:webHidden/>
              </w:rPr>
              <w:tab/>
            </w:r>
            <w:r w:rsidRPr="00016E0D">
              <w:rPr>
                <w:noProof/>
                <w:webHidden/>
              </w:rPr>
              <w:fldChar w:fldCharType="begin"/>
            </w:r>
            <w:r w:rsidRPr="00016E0D">
              <w:rPr>
                <w:noProof/>
                <w:webHidden/>
              </w:rPr>
              <w:instrText xml:space="preserve"> PAGEREF _Toc229561177 \h </w:instrText>
            </w:r>
            <w:r w:rsidRPr="00016E0D">
              <w:rPr>
                <w:noProof/>
                <w:webHidden/>
              </w:rPr>
            </w:r>
            <w:r w:rsidRPr="00016E0D">
              <w:rPr>
                <w:noProof/>
                <w:webHidden/>
              </w:rPr>
              <w:fldChar w:fldCharType="separate"/>
            </w:r>
            <w:r w:rsidRPr="00016E0D">
              <w:rPr>
                <w:noProof/>
                <w:webHidden/>
              </w:rPr>
              <w:t>6</w:t>
            </w:r>
            <w:r w:rsidRPr="00016E0D">
              <w:rPr>
                <w:noProof/>
                <w:webHidden/>
              </w:rPr>
              <w:fldChar w:fldCharType="end"/>
            </w:r>
          </w:hyperlink>
        </w:p>
        <w:p w14:paraId="1BF3A60D" w14:textId="202B3B00" w:rsidR="00016E0D" w:rsidRPr="00016E0D" w:rsidRDefault="00016E0D">
          <w:pPr>
            <w:pStyle w:val="TOC3"/>
            <w:tabs>
              <w:tab w:val="left" w:pos="1200"/>
              <w:tab w:val="right" w:leader="dot" w:pos="9016"/>
            </w:tabs>
            <w:rPr>
              <w:noProof/>
            </w:rPr>
          </w:pPr>
          <w:hyperlink w:anchor="_Toc229561178" w:history="1">
            <w:r w:rsidRPr="00016E0D">
              <w:rPr>
                <w:rStyle w:val="Hyperlink"/>
                <w:i/>
                <w:iCs/>
                <w:noProof/>
              </w:rPr>
              <w:t>2.1.</w:t>
            </w:r>
            <w:r w:rsidRPr="00016E0D">
              <w:rPr>
                <w:noProof/>
              </w:rPr>
              <w:tab/>
            </w:r>
            <w:r w:rsidRPr="00016E0D">
              <w:rPr>
                <w:rStyle w:val="Hyperlink"/>
                <w:i/>
                <w:iCs/>
                <w:noProof/>
              </w:rPr>
              <w:t>Ideological Backgrounds Influencing Healthcare Policy Development</w:t>
            </w:r>
            <w:r w:rsidRPr="00016E0D">
              <w:rPr>
                <w:noProof/>
                <w:webHidden/>
              </w:rPr>
              <w:tab/>
            </w:r>
            <w:r w:rsidRPr="00016E0D">
              <w:rPr>
                <w:noProof/>
                <w:webHidden/>
              </w:rPr>
              <w:fldChar w:fldCharType="begin"/>
            </w:r>
            <w:r w:rsidRPr="00016E0D">
              <w:rPr>
                <w:noProof/>
                <w:webHidden/>
              </w:rPr>
              <w:instrText xml:space="preserve"> PAGEREF _Toc229561178 \h </w:instrText>
            </w:r>
            <w:r w:rsidRPr="00016E0D">
              <w:rPr>
                <w:noProof/>
                <w:webHidden/>
              </w:rPr>
            </w:r>
            <w:r w:rsidRPr="00016E0D">
              <w:rPr>
                <w:noProof/>
                <w:webHidden/>
              </w:rPr>
              <w:fldChar w:fldCharType="separate"/>
            </w:r>
            <w:r w:rsidRPr="00016E0D">
              <w:rPr>
                <w:noProof/>
                <w:webHidden/>
              </w:rPr>
              <w:t>6</w:t>
            </w:r>
            <w:r w:rsidRPr="00016E0D">
              <w:rPr>
                <w:noProof/>
                <w:webHidden/>
              </w:rPr>
              <w:fldChar w:fldCharType="end"/>
            </w:r>
          </w:hyperlink>
        </w:p>
        <w:p w14:paraId="6D35F133" w14:textId="0715A2B9" w:rsidR="00016E0D" w:rsidRPr="00016E0D" w:rsidRDefault="00016E0D">
          <w:pPr>
            <w:pStyle w:val="TOC3"/>
            <w:tabs>
              <w:tab w:val="left" w:pos="1200"/>
              <w:tab w:val="right" w:leader="dot" w:pos="9016"/>
            </w:tabs>
            <w:rPr>
              <w:noProof/>
            </w:rPr>
          </w:pPr>
          <w:hyperlink w:anchor="_Toc229561179" w:history="1">
            <w:r w:rsidRPr="00016E0D">
              <w:rPr>
                <w:rStyle w:val="Hyperlink"/>
                <w:i/>
                <w:iCs/>
                <w:noProof/>
              </w:rPr>
              <w:t>2.2.</w:t>
            </w:r>
            <w:r w:rsidRPr="00016E0D">
              <w:rPr>
                <w:noProof/>
              </w:rPr>
              <w:tab/>
            </w:r>
            <w:r w:rsidRPr="00016E0D">
              <w:rPr>
                <w:rStyle w:val="Hyperlink"/>
                <w:i/>
                <w:iCs/>
                <w:noProof/>
              </w:rPr>
              <w:t>How Stakeholders Can Influence Policy Development</w:t>
            </w:r>
            <w:r w:rsidRPr="00016E0D">
              <w:rPr>
                <w:noProof/>
                <w:webHidden/>
              </w:rPr>
              <w:tab/>
            </w:r>
            <w:r w:rsidRPr="00016E0D">
              <w:rPr>
                <w:noProof/>
                <w:webHidden/>
              </w:rPr>
              <w:fldChar w:fldCharType="begin"/>
            </w:r>
            <w:r w:rsidRPr="00016E0D">
              <w:rPr>
                <w:noProof/>
                <w:webHidden/>
              </w:rPr>
              <w:instrText xml:space="preserve"> PAGEREF _Toc229561179 \h </w:instrText>
            </w:r>
            <w:r w:rsidRPr="00016E0D">
              <w:rPr>
                <w:noProof/>
                <w:webHidden/>
              </w:rPr>
            </w:r>
            <w:r w:rsidRPr="00016E0D">
              <w:rPr>
                <w:noProof/>
                <w:webHidden/>
              </w:rPr>
              <w:fldChar w:fldCharType="separate"/>
            </w:r>
            <w:r w:rsidRPr="00016E0D">
              <w:rPr>
                <w:noProof/>
                <w:webHidden/>
              </w:rPr>
              <w:t>7</w:t>
            </w:r>
            <w:r w:rsidRPr="00016E0D">
              <w:rPr>
                <w:noProof/>
                <w:webHidden/>
              </w:rPr>
              <w:fldChar w:fldCharType="end"/>
            </w:r>
          </w:hyperlink>
        </w:p>
        <w:p w14:paraId="49731F5F" w14:textId="5FCD953C" w:rsidR="00016E0D" w:rsidRPr="00016E0D" w:rsidRDefault="00016E0D">
          <w:pPr>
            <w:pStyle w:val="TOC2"/>
            <w:tabs>
              <w:tab w:val="right" w:leader="dot" w:pos="9016"/>
            </w:tabs>
            <w:rPr>
              <w:rFonts w:asciiTheme="minorHAnsi" w:eastAsiaTheme="minorEastAsia" w:hAnsiTheme="minorHAnsi" w:cstheme="minorBidi"/>
              <w:noProof/>
              <w:kern w:val="2"/>
              <w14:ligatures w14:val="standardContextual"/>
            </w:rPr>
          </w:pPr>
          <w:hyperlink w:anchor="_Toc229561180" w:history="1">
            <w:r w:rsidRPr="00016E0D">
              <w:rPr>
                <w:rStyle w:val="Hyperlink"/>
                <w:noProof/>
              </w:rPr>
              <w:t>Task 3: The Impact of Previous and Current Healthcare Policy on Service User Groups</w:t>
            </w:r>
            <w:r w:rsidRPr="00016E0D">
              <w:rPr>
                <w:noProof/>
                <w:webHidden/>
              </w:rPr>
              <w:tab/>
            </w:r>
            <w:r w:rsidRPr="00016E0D">
              <w:rPr>
                <w:noProof/>
                <w:webHidden/>
              </w:rPr>
              <w:fldChar w:fldCharType="begin"/>
            </w:r>
            <w:r w:rsidRPr="00016E0D">
              <w:rPr>
                <w:noProof/>
                <w:webHidden/>
              </w:rPr>
              <w:instrText xml:space="preserve"> PAGEREF _Toc229561180 \h </w:instrText>
            </w:r>
            <w:r w:rsidRPr="00016E0D">
              <w:rPr>
                <w:noProof/>
                <w:webHidden/>
              </w:rPr>
            </w:r>
            <w:r w:rsidRPr="00016E0D">
              <w:rPr>
                <w:noProof/>
                <w:webHidden/>
              </w:rPr>
              <w:fldChar w:fldCharType="separate"/>
            </w:r>
            <w:r w:rsidRPr="00016E0D">
              <w:rPr>
                <w:noProof/>
                <w:webHidden/>
              </w:rPr>
              <w:t>8</w:t>
            </w:r>
            <w:r w:rsidRPr="00016E0D">
              <w:rPr>
                <w:noProof/>
                <w:webHidden/>
              </w:rPr>
              <w:fldChar w:fldCharType="end"/>
            </w:r>
          </w:hyperlink>
        </w:p>
        <w:p w14:paraId="60876470" w14:textId="5E320B4D" w:rsidR="00016E0D" w:rsidRPr="00016E0D" w:rsidRDefault="00016E0D">
          <w:pPr>
            <w:pStyle w:val="TOC3"/>
            <w:tabs>
              <w:tab w:val="left" w:pos="1200"/>
              <w:tab w:val="right" w:leader="dot" w:pos="9016"/>
            </w:tabs>
            <w:rPr>
              <w:noProof/>
            </w:rPr>
          </w:pPr>
          <w:hyperlink w:anchor="_Toc229561181" w:history="1">
            <w:r w:rsidRPr="00016E0D">
              <w:rPr>
                <w:rStyle w:val="Hyperlink"/>
                <w:i/>
                <w:iCs/>
                <w:noProof/>
              </w:rPr>
              <w:t>3.1.</w:t>
            </w:r>
            <w:r w:rsidRPr="00016E0D">
              <w:rPr>
                <w:noProof/>
              </w:rPr>
              <w:tab/>
            </w:r>
            <w:r w:rsidRPr="00016E0D">
              <w:rPr>
                <w:rStyle w:val="Hyperlink"/>
                <w:i/>
                <w:iCs/>
                <w:noProof/>
              </w:rPr>
              <w:t>A Policy Developed During the Coalition Government and Its Impact on Service Users</w:t>
            </w:r>
            <w:r w:rsidRPr="00016E0D">
              <w:rPr>
                <w:noProof/>
                <w:webHidden/>
              </w:rPr>
              <w:tab/>
            </w:r>
            <w:r w:rsidRPr="00016E0D">
              <w:rPr>
                <w:noProof/>
                <w:webHidden/>
              </w:rPr>
              <w:fldChar w:fldCharType="begin"/>
            </w:r>
            <w:r w:rsidRPr="00016E0D">
              <w:rPr>
                <w:noProof/>
                <w:webHidden/>
              </w:rPr>
              <w:instrText xml:space="preserve"> PAGEREF _Toc229561181 \h </w:instrText>
            </w:r>
            <w:r w:rsidRPr="00016E0D">
              <w:rPr>
                <w:noProof/>
                <w:webHidden/>
              </w:rPr>
            </w:r>
            <w:r w:rsidRPr="00016E0D">
              <w:rPr>
                <w:noProof/>
                <w:webHidden/>
              </w:rPr>
              <w:fldChar w:fldCharType="separate"/>
            </w:r>
            <w:r w:rsidRPr="00016E0D">
              <w:rPr>
                <w:noProof/>
                <w:webHidden/>
              </w:rPr>
              <w:t>8</w:t>
            </w:r>
            <w:r w:rsidRPr="00016E0D">
              <w:rPr>
                <w:noProof/>
                <w:webHidden/>
              </w:rPr>
              <w:fldChar w:fldCharType="end"/>
            </w:r>
          </w:hyperlink>
        </w:p>
        <w:p w14:paraId="4525103A" w14:textId="32ACE2FD" w:rsidR="00016E0D" w:rsidRPr="00016E0D" w:rsidRDefault="00016E0D">
          <w:pPr>
            <w:pStyle w:val="TOC3"/>
            <w:tabs>
              <w:tab w:val="left" w:pos="1200"/>
              <w:tab w:val="right" w:leader="dot" w:pos="9016"/>
            </w:tabs>
            <w:rPr>
              <w:noProof/>
            </w:rPr>
          </w:pPr>
          <w:hyperlink w:anchor="_Toc229561182" w:history="1">
            <w:r w:rsidRPr="00016E0D">
              <w:rPr>
                <w:rStyle w:val="Hyperlink"/>
                <w:i/>
                <w:iCs/>
                <w:noProof/>
              </w:rPr>
              <w:t>3.2.</w:t>
            </w:r>
            <w:r w:rsidRPr="00016E0D">
              <w:rPr>
                <w:noProof/>
              </w:rPr>
              <w:tab/>
            </w:r>
            <w:r w:rsidRPr="00016E0D">
              <w:rPr>
                <w:rStyle w:val="Hyperlink"/>
                <w:i/>
                <w:iCs/>
                <w:noProof/>
              </w:rPr>
              <w:t>The Government's Policy on Supporting Service Users with Long-Term Conditions</w:t>
            </w:r>
            <w:r w:rsidRPr="00016E0D">
              <w:rPr>
                <w:noProof/>
                <w:webHidden/>
              </w:rPr>
              <w:tab/>
            </w:r>
            <w:r w:rsidRPr="00016E0D">
              <w:rPr>
                <w:noProof/>
                <w:webHidden/>
              </w:rPr>
              <w:fldChar w:fldCharType="begin"/>
            </w:r>
            <w:r w:rsidRPr="00016E0D">
              <w:rPr>
                <w:noProof/>
                <w:webHidden/>
              </w:rPr>
              <w:instrText xml:space="preserve"> PAGEREF _Toc229561182 \h </w:instrText>
            </w:r>
            <w:r w:rsidRPr="00016E0D">
              <w:rPr>
                <w:noProof/>
                <w:webHidden/>
              </w:rPr>
            </w:r>
            <w:r w:rsidRPr="00016E0D">
              <w:rPr>
                <w:noProof/>
                <w:webHidden/>
              </w:rPr>
              <w:fldChar w:fldCharType="separate"/>
            </w:r>
            <w:r w:rsidRPr="00016E0D">
              <w:rPr>
                <w:noProof/>
                <w:webHidden/>
              </w:rPr>
              <w:t>8</w:t>
            </w:r>
            <w:r w:rsidRPr="00016E0D">
              <w:rPr>
                <w:noProof/>
                <w:webHidden/>
              </w:rPr>
              <w:fldChar w:fldCharType="end"/>
            </w:r>
          </w:hyperlink>
        </w:p>
        <w:p w14:paraId="39EC5E5B" w14:textId="0DC83B95" w:rsidR="00016E0D" w:rsidRDefault="00016E0D">
          <w:pPr>
            <w:pStyle w:val="TOC1"/>
            <w:tabs>
              <w:tab w:val="right" w:leader="dot" w:pos="9016"/>
            </w:tabs>
            <w:rPr>
              <w:rFonts w:asciiTheme="minorHAnsi" w:eastAsiaTheme="minorEastAsia" w:hAnsiTheme="minorHAnsi" w:cstheme="minorBidi"/>
              <w:noProof/>
              <w:kern w:val="2"/>
              <w14:ligatures w14:val="standardContextual"/>
            </w:rPr>
          </w:pPr>
          <w:hyperlink w:anchor="_Toc229561183" w:history="1">
            <w:r w:rsidRPr="00016E0D">
              <w:rPr>
                <w:rStyle w:val="Hyperlink"/>
                <w:noProof/>
              </w:rPr>
              <w:t>References</w:t>
            </w:r>
            <w:r w:rsidRPr="00016E0D">
              <w:rPr>
                <w:noProof/>
                <w:webHidden/>
              </w:rPr>
              <w:tab/>
            </w:r>
            <w:r w:rsidRPr="00016E0D">
              <w:rPr>
                <w:noProof/>
                <w:webHidden/>
              </w:rPr>
              <w:fldChar w:fldCharType="begin"/>
            </w:r>
            <w:r w:rsidRPr="00016E0D">
              <w:rPr>
                <w:noProof/>
                <w:webHidden/>
              </w:rPr>
              <w:instrText xml:space="preserve"> PAGEREF _Toc229561183 \h </w:instrText>
            </w:r>
            <w:r w:rsidRPr="00016E0D">
              <w:rPr>
                <w:noProof/>
                <w:webHidden/>
              </w:rPr>
            </w:r>
            <w:r w:rsidRPr="00016E0D">
              <w:rPr>
                <w:noProof/>
                <w:webHidden/>
              </w:rPr>
              <w:fldChar w:fldCharType="separate"/>
            </w:r>
            <w:r w:rsidRPr="00016E0D">
              <w:rPr>
                <w:noProof/>
                <w:webHidden/>
              </w:rPr>
              <w:t>10</w:t>
            </w:r>
            <w:r w:rsidRPr="00016E0D">
              <w:rPr>
                <w:noProof/>
                <w:webHidden/>
              </w:rPr>
              <w:fldChar w:fldCharType="end"/>
            </w:r>
          </w:hyperlink>
        </w:p>
        <w:p w14:paraId="2E190B78" w14:textId="3BECA85E" w:rsidR="00E235A5" w:rsidRDefault="00E235A5">
          <w:r>
            <w:rPr>
              <w:b/>
              <w:bCs/>
              <w:noProof/>
            </w:rPr>
            <w:fldChar w:fldCharType="end"/>
          </w:r>
        </w:p>
      </w:sdtContent>
    </w:sdt>
    <w:p w14:paraId="326F9862" w14:textId="7D6A5EB4" w:rsidR="00E235A5" w:rsidRDefault="00E235A5" w:rsidP="008C1C25">
      <w:pPr>
        <w:spacing w:after="100" w:afterAutospacing="1"/>
        <w:sectPr w:rsidR="00E235A5">
          <w:pgSz w:w="11906" w:h="16838"/>
          <w:pgMar w:top="1440" w:right="1440" w:bottom="1440" w:left="1440" w:header="708" w:footer="708" w:gutter="0"/>
          <w:cols w:space="720"/>
          <w:docGrid w:linePitch="360"/>
        </w:sectPr>
      </w:pPr>
    </w:p>
    <w:p w14:paraId="220CFCA1" w14:textId="58C6D025" w:rsidR="005A44E7" w:rsidRPr="009725D1" w:rsidRDefault="005A44E7" w:rsidP="0041463A">
      <w:pPr>
        <w:pStyle w:val="Heading1"/>
        <w:spacing w:before="0" w:after="0" w:line="480" w:lineRule="auto"/>
        <w:jc w:val="both"/>
        <w:rPr>
          <w:color w:val="000000" w:themeColor="text1"/>
          <w:sz w:val="24"/>
          <w:szCs w:val="24"/>
        </w:rPr>
      </w:pPr>
      <w:bookmarkStart w:id="0" w:name="_Toc229561173"/>
      <w:r w:rsidRPr="009725D1">
        <w:rPr>
          <w:color w:val="000000" w:themeColor="text1"/>
          <w:sz w:val="24"/>
          <w:szCs w:val="24"/>
        </w:rPr>
        <w:lastRenderedPageBreak/>
        <w:t>Task 1</w:t>
      </w:r>
      <w:r w:rsidR="00ED0E68" w:rsidRPr="009725D1">
        <w:rPr>
          <w:color w:val="000000" w:themeColor="text1"/>
          <w:sz w:val="24"/>
          <w:szCs w:val="24"/>
        </w:rPr>
        <w:t>:</w:t>
      </w:r>
      <w:r w:rsidRPr="009725D1">
        <w:rPr>
          <w:color w:val="000000" w:themeColor="text1"/>
          <w:sz w:val="24"/>
          <w:szCs w:val="24"/>
        </w:rPr>
        <w:t xml:space="preserve"> </w:t>
      </w:r>
      <w:r w:rsidR="002A1010" w:rsidRPr="009725D1">
        <w:rPr>
          <w:color w:val="000000" w:themeColor="text1"/>
          <w:sz w:val="24"/>
          <w:szCs w:val="24"/>
        </w:rPr>
        <w:t>Significant Historical and Contemporary Landmarks in UK Healthcare Provision</w:t>
      </w:r>
      <w:bookmarkEnd w:id="0"/>
    </w:p>
    <w:p w14:paraId="668A07C7" w14:textId="7E8C59B0" w:rsidR="002A1010" w:rsidRPr="006E143D" w:rsidRDefault="004F1F5A" w:rsidP="0041463A">
      <w:pPr>
        <w:pStyle w:val="Heading3"/>
        <w:numPr>
          <w:ilvl w:val="1"/>
          <w:numId w:val="17"/>
        </w:numPr>
        <w:spacing w:line="480" w:lineRule="auto"/>
        <w:jc w:val="both"/>
        <w:rPr>
          <w:b/>
          <w:bCs/>
          <w:i/>
          <w:iCs/>
          <w:color w:val="000000" w:themeColor="text1"/>
        </w:rPr>
      </w:pPr>
      <w:r w:rsidRPr="009725D1">
        <w:rPr>
          <w:color w:val="000000" w:themeColor="text1"/>
        </w:rPr>
        <w:tab/>
      </w:r>
      <w:bookmarkStart w:id="1" w:name="_Toc229561174"/>
      <w:r w:rsidR="002A1010" w:rsidRPr="006E143D">
        <w:rPr>
          <w:b/>
          <w:bCs/>
          <w:i/>
          <w:iCs/>
          <w:color w:val="000000" w:themeColor="text1"/>
        </w:rPr>
        <w:t>Labour Government Healthcare Policy Reforms (1997–2010)</w:t>
      </w:r>
      <w:bookmarkEnd w:id="1"/>
    </w:p>
    <w:p w14:paraId="5B560BAD" w14:textId="66FCFFFD" w:rsidR="000940DA" w:rsidRPr="009725D1" w:rsidRDefault="000940DA" w:rsidP="0041463A">
      <w:pPr>
        <w:pStyle w:val="font-claude-response-body"/>
        <w:spacing w:before="0" w:beforeAutospacing="0" w:after="0" w:afterAutospacing="0" w:line="480" w:lineRule="auto"/>
        <w:jc w:val="both"/>
        <w:rPr>
          <w:color w:val="000000" w:themeColor="text1"/>
        </w:rPr>
      </w:pPr>
      <w:r w:rsidRPr="006E143D">
        <w:rPr>
          <w:color w:val="000000" w:themeColor="text1"/>
        </w:rPr>
        <w:t>The National Health Service was widely seen to be underfunded, fragmented and under pressure from the quasi-market mechanisms imposed by the previous Conservative government when Labour took office in 1997 under Tony Blair</w:t>
      </w:r>
      <w:r w:rsidR="006E143D">
        <w:rPr>
          <w:color w:val="000000" w:themeColor="text1"/>
        </w:rPr>
        <w:t xml:space="preserve"> (</w:t>
      </w:r>
      <w:r w:rsidR="006E143D" w:rsidRPr="004226EB">
        <w:t>Goodair,</w:t>
      </w:r>
      <w:r w:rsidR="006E143D">
        <w:t xml:space="preserve"> </w:t>
      </w:r>
      <w:r w:rsidR="006E143D" w:rsidRPr="004226EB">
        <w:t>2024</w:t>
      </w:r>
      <w:r w:rsidR="006E143D">
        <w:t>)</w:t>
      </w:r>
      <w:r w:rsidRPr="009725D1">
        <w:rPr>
          <w:color w:val="000000" w:themeColor="text1"/>
        </w:rPr>
        <w:t>. The government's first major policy document, The New NHS: Modern, Dependable (Department of Health, 1997), made clear that it was moving away from the market ideology, and that GP fundholding was to be replaced by Primary Care Groups and later Primary Care Trusts. Ham (2009) called it a move to reinvigorate the spirit of collaborative planning in the NHS whilst maintaining some of the characteristics of the purchaser–provider divide that had grown under the internal market.</w:t>
      </w:r>
    </w:p>
    <w:p w14:paraId="0F0AC384" w14:textId="53EA4535" w:rsidR="000940DA" w:rsidRPr="009725D1" w:rsidRDefault="00DA6C62" w:rsidP="0041463A">
      <w:pPr>
        <w:pStyle w:val="font-claude-response-body"/>
        <w:spacing w:before="0" w:beforeAutospacing="0" w:after="0" w:afterAutospacing="0" w:line="480" w:lineRule="auto"/>
        <w:jc w:val="both"/>
        <w:rPr>
          <w:color w:val="000000" w:themeColor="text1"/>
        </w:rPr>
      </w:pPr>
      <w:r w:rsidRPr="00DA6C62">
        <w:rPr>
          <w:color w:val="000000" w:themeColor="text1"/>
        </w:rPr>
        <w:t>There has been a lot of growth in public spending on health in the early years of the Labour government. The rise of health expenditure as a share of GDP will need to be substantial over the next 20 years if the expected demands are going to be met, as was clearly shown by Wanless (2002), and this directly affected the Labour party's commitment to raise health expenditure from around 6.8% of GDP in 1997 to over 8% in 2007. The injection of resources enabled a significant reduction in waiting times for outpatient appointments (maximum of 13 weeks by 2004) and for having a referral to a treatment pathway (maximum of 18 weeks by 2008, with the vast majority of people achieving this within half that time) (Greener, 2009).</w:t>
      </w:r>
    </w:p>
    <w:p w14:paraId="6F6E4C76" w14:textId="2AFB665D" w:rsidR="002A1010"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 xml:space="preserve">Labour, however, did not completely reject the market system. The government implemented the reform of the quasi-market from around 2002, introducing what Baggott (2004) termed a "reformed quasi-market" which is now characterised by patient choice, payment by results and an increased number of independent sector treatment centres. Klein (2013) said that this was a significant ideological backdown, since Labour had been against competition and now </w:t>
      </w:r>
      <w:r w:rsidRPr="009725D1">
        <w:rPr>
          <w:color w:val="000000" w:themeColor="text1"/>
        </w:rPr>
        <w:lastRenderedPageBreak/>
        <w:t>embraced it as a mechanism of efficiency. The implementation of the foundation trusts under the Health and Social Care (Community Health and Standards) Act 2003 also brought financial autonomy to NHS organisations, a development which some, including Pollock (2004), argued was a form of creeping privatisation of public health services.</w:t>
      </w:r>
    </w:p>
    <w:p w14:paraId="75784991" w14:textId="117CCBA1" w:rsidR="002A1010" w:rsidRPr="006E143D" w:rsidRDefault="00D62B13" w:rsidP="0041463A">
      <w:pPr>
        <w:pStyle w:val="Heading3"/>
        <w:numPr>
          <w:ilvl w:val="1"/>
          <w:numId w:val="17"/>
        </w:numPr>
        <w:spacing w:line="480" w:lineRule="auto"/>
        <w:jc w:val="both"/>
        <w:rPr>
          <w:b/>
          <w:bCs/>
          <w:i/>
          <w:iCs/>
          <w:color w:val="000000" w:themeColor="text1"/>
        </w:rPr>
      </w:pPr>
      <w:r w:rsidRPr="009725D1">
        <w:rPr>
          <w:color w:val="000000" w:themeColor="text1"/>
        </w:rPr>
        <w:tab/>
      </w:r>
      <w:bookmarkStart w:id="2" w:name="_Toc229561175"/>
      <w:r w:rsidR="002A1010" w:rsidRPr="006E143D">
        <w:rPr>
          <w:b/>
          <w:bCs/>
          <w:i/>
          <w:iCs/>
          <w:color w:val="000000" w:themeColor="text1"/>
        </w:rPr>
        <w:t>The Conservative/Liberal Democrat Coalition Health Agenda (2010–2015)</w:t>
      </w:r>
      <w:bookmarkEnd w:id="2"/>
    </w:p>
    <w:p w14:paraId="6B0EDDFD" w14:textId="4719F9C5" w:rsidR="000940DA"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By most clinical indicators, the NHS at the time of the Coalition's election in May 2010 was better than at any other time in its history</w:t>
      </w:r>
      <w:r w:rsidR="006E143D">
        <w:rPr>
          <w:color w:val="000000" w:themeColor="text1"/>
        </w:rPr>
        <w:t xml:space="preserve"> (</w:t>
      </w:r>
      <w:r w:rsidR="006E143D" w:rsidRPr="004226EB">
        <w:t>Klein and Powell, 2025</w:t>
      </w:r>
      <w:r w:rsidR="006E143D">
        <w:t>)</w:t>
      </w:r>
      <w:r w:rsidRPr="009725D1">
        <w:rPr>
          <w:color w:val="000000" w:themeColor="text1"/>
        </w:rPr>
        <w:t xml:space="preserve">. But the new government acted quickly to get in place what </w:t>
      </w:r>
      <w:r w:rsidR="006E143D">
        <w:rPr>
          <w:color w:val="000000" w:themeColor="text1"/>
        </w:rPr>
        <w:t>would be</w:t>
      </w:r>
      <w:r w:rsidRPr="009725D1">
        <w:rPr>
          <w:color w:val="000000" w:themeColor="text1"/>
        </w:rPr>
        <w:t xml:space="preserve"> one of the most controversial health measures in the history of post-war Britain. </w:t>
      </w:r>
      <w:r w:rsidR="00DA6C62" w:rsidRPr="00DA6C62">
        <w:rPr>
          <w:color w:val="000000" w:themeColor="text1"/>
        </w:rPr>
        <w:t>The vision of GP-led commissioning, the demise of Primary Care Trusts and Strategic Health Authorities and the establishment of an independent NHS Commissioning Board was outlined in the White Paper Equity and Excellence: Liberating the NHS (Department of Health, 2010). Timmins (2012) reported that the next Health and Social Care Act 2012 was a "structural upheaval of extraordinary proportions" with no real electoral support, and that there was "bitter opposition from clinical bodies, trade unions and patient advocacy groups".</w:t>
      </w:r>
    </w:p>
    <w:p w14:paraId="34672CBF" w14:textId="0EDF5889" w:rsidR="000940DA"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The main feature of the Act was the creation of Clinical Commissioning Groups (CCGs) and the transfer of responsibility for commissioning the majority of hospital and community services from the NHS Commissioners to GPs</w:t>
      </w:r>
      <w:r w:rsidR="00DA3A2A">
        <w:rPr>
          <w:color w:val="000000" w:themeColor="text1"/>
        </w:rPr>
        <w:t xml:space="preserve"> (</w:t>
      </w:r>
      <w:r w:rsidR="00DA3A2A" w:rsidRPr="004226EB">
        <w:t>Powell, 2016</w:t>
      </w:r>
      <w:r w:rsidR="00DA3A2A">
        <w:t>)</w:t>
      </w:r>
      <w:r w:rsidRPr="009725D1">
        <w:rPr>
          <w:color w:val="000000" w:themeColor="text1"/>
        </w:rPr>
        <w:t>. Previous studies raised doubts about the ability and/or the willingness of clinicians to assume such managerial roles (Dixon and Ham, 2010) and follow-on assessments indicated that the transition was disruptive and expensive. Paton (2014) valued the cost of the reorganisation at over £3 billion, which critics said could have been used to provide care to patients. The Act also brought in Section 75 regulations mandating commissioners tender care to the open market, which Hunter (2008) expected to increase the commercialisation of NHS provision.</w:t>
      </w:r>
    </w:p>
    <w:p w14:paraId="0055C8A9" w14:textId="274BEDC6" w:rsidR="002A1010"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lastRenderedPageBreak/>
        <w:t>The financial environment in which this took place was one of austerity. Funds for the NHS were effectively 'ring fenced' and efficiency savings of £20 billion were required under the Nicholson Challenge by 2015 (NHS England, 2014). It had been predicted by Marmot (2010) that public services cuts would have a disproportionate impact on those in lower socioeconomic groups, as the gap between the most and least deprived communities widened between 2010 and 2015.</w:t>
      </w:r>
    </w:p>
    <w:p w14:paraId="75FFBD1B" w14:textId="1E49E1DA" w:rsidR="002A1010" w:rsidRPr="00C36D7F" w:rsidRDefault="00D62B13" w:rsidP="0041463A">
      <w:pPr>
        <w:pStyle w:val="Heading3"/>
        <w:numPr>
          <w:ilvl w:val="1"/>
          <w:numId w:val="17"/>
        </w:numPr>
        <w:spacing w:line="480" w:lineRule="auto"/>
        <w:jc w:val="both"/>
        <w:rPr>
          <w:b/>
          <w:bCs/>
          <w:i/>
          <w:iCs/>
          <w:color w:val="000000" w:themeColor="text1"/>
        </w:rPr>
      </w:pPr>
      <w:r w:rsidRPr="009725D1">
        <w:rPr>
          <w:color w:val="000000" w:themeColor="text1"/>
        </w:rPr>
        <w:tab/>
      </w:r>
      <w:bookmarkStart w:id="3" w:name="_Toc229561176"/>
      <w:r w:rsidR="002A1010" w:rsidRPr="00C36D7F">
        <w:rPr>
          <w:b/>
          <w:bCs/>
          <w:i/>
          <w:iCs/>
          <w:color w:val="000000" w:themeColor="text1"/>
        </w:rPr>
        <w:t>Recent Proposals in Healthcare Policy and Their Potential Impact on Service Users</w:t>
      </w:r>
      <w:bookmarkEnd w:id="3"/>
    </w:p>
    <w:p w14:paraId="0EA6E6A3" w14:textId="48CE0AAB" w:rsidR="000940DA"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The structural reorganisation of the NHS has been replaced by a focus on integrated models of care, as a result of NHS England's Five Year Forward View (NHS England, 2014). It set out new care models, including Multispecialty Community Providers and Primary and Acute Care Systems, to break down the barriers between primary, secondary and social care</w:t>
      </w:r>
      <w:r w:rsidR="00755F46">
        <w:rPr>
          <w:color w:val="000000" w:themeColor="text1"/>
        </w:rPr>
        <w:t xml:space="preserve"> (Dean eat al., 2022)</w:t>
      </w:r>
      <w:r w:rsidRPr="009725D1">
        <w:rPr>
          <w:color w:val="000000" w:themeColor="text1"/>
        </w:rPr>
        <w:t>. The issue of genuine integration requires not only the structural alignment of professional cultures, but a basic realignment that has long been argued for by Greener (2009), and which is still largely unresolved.</w:t>
      </w:r>
    </w:p>
    <w:p w14:paraId="6F624BB9" w14:textId="364E525F" w:rsidR="002A1010"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 xml:space="preserve">The NHS Long Term Plan (NHS England, 2019) then pledged to increase the size of primary care networks and speed up investment in cardiovascular, cancer and mental health services. In the eyes of service users, these proposals had real promise to increase timely access to mental health services from 150,000 </w:t>
      </w:r>
      <w:r w:rsidR="00FF08C3">
        <w:rPr>
          <w:color w:val="000000" w:themeColor="text1"/>
        </w:rPr>
        <w:t xml:space="preserve">- </w:t>
      </w:r>
      <w:r w:rsidRPr="009725D1">
        <w:rPr>
          <w:color w:val="000000" w:themeColor="text1"/>
        </w:rPr>
        <w:t>530,000 by 202</w:t>
      </w:r>
      <w:r w:rsidR="00FF08C3">
        <w:rPr>
          <w:color w:val="000000" w:themeColor="text1"/>
        </w:rPr>
        <w:t>3-20</w:t>
      </w:r>
      <w:r w:rsidRPr="009725D1">
        <w:rPr>
          <w:color w:val="000000" w:themeColor="text1"/>
        </w:rPr>
        <w:t>24. However, Fotaki (2014) warned that policy aims always exceed service provision, especially where the provision of services is limited by structural issues, like staffing shortages and inadequate funding for social care. The COVID-19 pandemic revealed serious weaknesses in the capacity of the NHS, with currently waiting lists for elective treatment in excess of 7.6 million by 2023</w:t>
      </w:r>
      <w:r w:rsidR="00FF08C3">
        <w:rPr>
          <w:color w:val="000000" w:themeColor="text1"/>
        </w:rPr>
        <w:t>,</w:t>
      </w:r>
      <w:r w:rsidRPr="009725D1">
        <w:rPr>
          <w:color w:val="000000" w:themeColor="text1"/>
        </w:rPr>
        <w:t xml:space="preserve"> the highest number of patients on waiting lists</w:t>
      </w:r>
      <w:r w:rsidR="00FF08C3">
        <w:rPr>
          <w:color w:val="000000" w:themeColor="text1"/>
        </w:rPr>
        <w:t xml:space="preserve"> in</w:t>
      </w:r>
      <w:r w:rsidRPr="009725D1">
        <w:rPr>
          <w:color w:val="000000" w:themeColor="text1"/>
        </w:rPr>
        <w:t xml:space="preserve"> NHS </w:t>
      </w:r>
      <w:r w:rsidR="00FF08C3">
        <w:rPr>
          <w:color w:val="000000" w:themeColor="text1"/>
        </w:rPr>
        <w:t xml:space="preserve">history </w:t>
      </w:r>
      <w:r w:rsidRPr="009725D1">
        <w:rPr>
          <w:color w:val="000000" w:themeColor="text1"/>
        </w:rPr>
        <w:t xml:space="preserve">(NHS England, 2023). The impact on service users has been real: missed diagnosis, poor mental health, and health disparities, which impact most on ethnic minority communities, older people and </w:t>
      </w:r>
      <w:r w:rsidR="00FF08C3">
        <w:rPr>
          <w:color w:val="000000" w:themeColor="text1"/>
        </w:rPr>
        <w:t>other minorities</w:t>
      </w:r>
      <w:r w:rsidRPr="009725D1">
        <w:rPr>
          <w:color w:val="000000" w:themeColor="text1"/>
        </w:rPr>
        <w:t>.</w:t>
      </w:r>
    </w:p>
    <w:p w14:paraId="28FFEED2" w14:textId="77777777" w:rsidR="002A1010" w:rsidRPr="009725D1" w:rsidRDefault="002A1010" w:rsidP="0041463A">
      <w:pPr>
        <w:pStyle w:val="Heading2"/>
        <w:spacing w:before="0" w:after="0" w:line="480" w:lineRule="auto"/>
        <w:jc w:val="both"/>
        <w:rPr>
          <w:color w:val="000000" w:themeColor="text1"/>
        </w:rPr>
      </w:pPr>
      <w:bookmarkStart w:id="4" w:name="_Toc229561177"/>
      <w:r w:rsidRPr="009725D1">
        <w:rPr>
          <w:color w:val="000000" w:themeColor="text1"/>
        </w:rPr>
        <w:lastRenderedPageBreak/>
        <w:t>Task 2: Theoretical Frameworks, Concepts and Models in Developing Policy</w:t>
      </w:r>
      <w:bookmarkEnd w:id="4"/>
    </w:p>
    <w:p w14:paraId="7D79B671" w14:textId="01F5D051" w:rsidR="002A1010" w:rsidRPr="00FF08C3" w:rsidRDefault="00D62B13" w:rsidP="0041463A">
      <w:pPr>
        <w:pStyle w:val="Heading3"/>
        <w:numPr>
          <w:ilvl w:val="1"/>
          <w:numId w:val="19"/>
        </w:numPr>
        <w:spacing w:line="480" w:lineRule="auto"/>
        <w:jc w:val="both"/>
        <w:rPr>
          <w:b/>
          <w:bCs/>
          <w:i/>
          <w:iCs/>
          <w:color w:val="000000" w:themeColor="text1"/>
        </w:rPr>
      </w:pPr>
      <w:r w:rsidRPr="009725D1">
        <w:rPr>
          <w:color w:val="000000" w:themeColor="text1"/>
        </w:rPr>
        <w:tab/>
      </w:r>
      <w:bookmarkStart w:id="5" w:name="_Toc229561178"/>
      <w:r w:rsidR="002A1010" w:rsidRPr="00FF08C3">
        <w:rPr>
          <w:b/>
          <w:bCs/>
          <w:i/>
          <w:iCs/>
          <w:color w:val="000000" w:themeColor="text1"/>
        </w:rPr>
        <w:t>Ideological Backgrounds Influencing Healthcare Policy Development</w:t>
      </w:r>
      <w:bookmarkEnd w:id="5"/>
    </w:p>
    <w:p w14:paraId="0D1FADA5" w14:textId="01AF479A" w:rsidR="000940DA"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 xml:space="preserve">Healthcare policy </w:t>
      </w:r>
      <w:r w:rsidR="00FF08C3">
        <w:rPr>
          <w:color w:val="000000" w:themeColor="text1"/>
        </w:rPr>
        <w:t>is very</w:t>
      </w:r>
      <w:r w:rsidRPr="009725D1">
        <w:rPr>
          <w:color w:val="000000" w:themeColor="text1"/>
        </w:rPr>
        <w:t xml:space="preserve"> much determined by the ideological orientation of those in power</w:t>
      </w:r>
      <w:r w:rsidR="00FF08C3">
        <w:rPr>
          <w:color w:val="000000" w:themeColor="text1"/>
        </w:rPr>
        <w:t xml:space="preserve">, </w:t>
      </w:r>
      <w:r w:rsidRPr="009725D1">
        <w:rPr>
          <w:color w:val="000000" w:themeColor="text1"/>
        </w:rPr>
        <w:t>and any analysis of the reasons for the shape of certain reforms begins with an understanding of those orientations</w:t>
      </w:r>
      <w:r w:rsidR="00FF08C3">
        <w:rPr>
          <w:color w:val="000000" w:themeColor="text1"/>
        </w:rPr>
        <w:t xml:space="preserve"> (</w:t>
      </w:r>
      <w:r w:rsidR="00FF08C3" w:rsidRPr="004226EB">
        <w:t>Tuohy, 2018</w:t>
      </w:r>
      <w:r w:rsidR="00FF08C3">
        <w:t>)</w:t>
      </w:r>
      <w:r w:rsidRPr="009725D1">
        <w:rPr>
          <w:color w:val="000000" w:themeColor="text1"/>
        </w:rPr>
        <w:t>. An influential structural analysis was provided by Alford (1975) who suggested that there are 3 interests in the healthcare field: the dominant professional monopolisers (doctors), the challenging corporate rationalisers (managers and planners) and the repressed community population (patients and public). This model, which was developed within the American context, has nevertheless important analytical value in Britain, where the medical profession has traditionally had strong influence over health policy</w:t>
      </w:r>
      <w:r w:rsidR="00CE7F6E">
        <w:rPr>
          <w:color w:val="000000" w:themeColor="text1"/>
        </w:rPr>
        <w:t xml:space="preserve"> (</w:t>
      </w:r>
      <w:r w:rsidR="00CE7F6E" w:rsidRPr="004226EB">
        <w:t>Hollingsworth, Hage and Hanneman, 2019</w:t>
      </w:r>
      <w:r w:rsidR="00CE7F6E">
        <w:t>)</w:t>
      </w:r>
      <w:r w:rsidRPr="009725D1">
        <w:rPr>
          <w:color w:val="000000" w:themeColor="text1"/>
        </w:rPr>
        <w:t>.</w:t>
      </w:r>
    </w:p>
    <w:p w14:paraId="13555C86" w14:textId="63C76DF6" w:rsidR="000940DA"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 xml:space="preserve">The period of Labour government between 1997 and 2010 was a social democratic ideological frame: the role of the state was to ensure fairness in access to healthcare, and it increasingly introduced market-liberal tools </w:t>
      </w:r>
      <w:r w:rsidR="00197540">
        <w:rPr>
          <w:color w:val="000000" w:themeColor="text1"/>
        </w:rPr>
        <w:t>(</w:t>
      </w:r>
      <w:r w:rsidR="00197540" w:rsidRPr="0012243C">
        <w:t>Taylor-Gooby</w:t>
      </w:r>
      <w:r w:rsidR="00197540">
        <w:t xml:space="preserve"> et al. 2019)</w:t>
      </w:r>
      <w:r w:rsidRPr="009725D1">
        <w:rPr>
          <w:color w:val="000000" w:themeColor="text1"/>
        </w:rPr>
        <w:t>. Powell (1997) suggested that the ideology of ‘the third way' of New Labour involved an unstable patching of market elements onto a universalist welfare system, which produced tensions within the system. The idea of the NHS founding settlement to be an egalitarian force and the pricing mechanism of payment by results could never be combined satisfactor</w:t>
      </w:r>
      <w:r w:rsidR="00197540">
        <w:rPr>
          <w:color w:val="000000" w:themeColor="text1"/>
        </w:rPr>
        <w:t>ily</w:t>
      </w:r>
      <w:r w:rsidRPr="009725D1">
        <w:rPr>
          <w:color w:val="000000" w:themeColor="text1"/>
        </w:rPr>
        <w:t>.</w:t>
      </w:r>
    </w:p>
    <w:p w14:paraId="62C6BC22" w14:textId="012538F3" w:rsidR="002A1010"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 xml:space="preserve">The Coalition government was more explicit in its use of the neo-liberal assumptions namely that competition brings about improvements in quality, that consumer choice is a better allocative mechanism than professional planning, and that the state should be a commissioner, not a provider (Hunter 2008). Such assumptions influenced the Health and Social Care Act </w:t>
      </w:r>
      <w:r w:rsidR="005623FB">
        <w:rPr>
          <w:color w:val="000000" w:themeColor="text1"/>
        </w:rPr>
        <w:t>(</w:t>
      </w:r>
      <w:r w:rsidRPr="009725D1">
        <w:rPr>
          <w:color w:val="000000" w:themeColor="text1"/>
        </w:rPr>
        <w:t>2012</w:t>
      </w:r>
      <w:r w:rsidR="005623FB">
        <w:rPr>
          <w:color w:val="000000" w:themeColor="text1"/>
        </w:rPr>
        <w:t>)</w:t>
      </w:r>
      <w:r w:rsidRPr="009725D1">
        <w:rPr>
          <w:color w:val="000000" w:themeColor="text1"/>
        </w:rPr>
        <w:t xml:space="preserve"> as regards the expanded role of the market and the diminished role of democratic responsibility for health commissioning. Paton (2014) challenged these assumptions on the </w:t>
      </w:r>
      <w:r w:rsidRPr="009725D1">
        <w:rPr>
          <w:color w:val="000000" w:themeColor="text1"/>
        </w:rPr>
        <w:lastRenderedPageBreak/>
        <w:t>empirical basis, as the evidence on the effect of competition on improving outcomes in healthcare is far less robust than those who advocate for competition in healthcare care to admit.</w:t>
      </w:r>
    </w:p>
    <w:p w14:paraId="7D2C4156" w14:textId="66B0152D" w:rsidR="002A1010" w:rsidRPr="005623FB" w:rsidRDefault="00D62B13" w:rsidP="0041463A">
      <w:pPr>
        <w:pStyle w:val="Heading3"/>
        <w:numPr>
          <w:ilvl w:val="1"/>
          <w:numId w:val="19"/>
        </w:numPr>
        <w:spacing w:line="480" w:lineRule="auto"/>
        <w:jc w:val="both"/>
        <w:rPr>
          <w:b/>
          <w:bCs/>
          <w:i/>
          <w:iCs/>
          <w:color w:val="000000" w:themeColor="text1"/>
        </w:rPr>
      </w:pPr>
      <w:r w:rsidRPr="009725D1">
        <w:rPr>
          <w:color w:val="000000" w:themeColor="text1"/>
        </w:rPr>
        <w:tab/>
      </w:r>
      <w:bookmarkStart w:id="6" w:name="_Toc229561179"/>
      <w:r w:rsidR="002A1010" w:rsidRPr="005623FB">
        <w:rPr>
          <w:b/>
          <w:bCs/>
          <w:i/>
          <w:iCs/>
          <w:color w:val="000000" w:themeColor="text1"/>
        </w:rPr>
        <w:t>How Stakeholders Can Influence Policy Development</w:t>
      </w:r>
      <w:bookmarkEnd w:id="6"/>
    </w:p>
    <w:p w14:paraId="43A8E6C0" w14:textId="489D9A62" w:rsidR="000940DA"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 xml:space="preserve">Healthcare policy development is seldom a linear, “top-down” affair. </w:t>
      </w:r>
      <w:r w:rsidR="005623FB">
        <w:rPr>
          <w:color w:val="000000" w:themeColor="text1"/>
        </w:rPr>
        <w:t>Several</w:t>
      </w:r>
      <w:r w:rsidRPr="009725D1">
        <w:rPr>
          <w:color w:val="000000" w:themeColor="text1"/>
        </w:rPr>
        <w:t xml:space="preserve"> actors (royal colleges, trade unions, patient advocacy groups, pharmaceutical companies) try to influence policy </w:t>
      </w:r>
      <w:r w:rsidR="005623FB">
        <w:rPr>
          <w:color w:val="000000" w:themeColor="text1"/>
        </w:rPr>
        <w:t>to</w:t>
      </w:r>
      <w:r w:rsidRPr="009725D1">
        <w:rPr>
          <w:color w:val="000000" w:themeColor="text1"/>
        </w:rPr>
        <w:t xml:space="preserve"> align with their interests, values, and expertise</w:t>
      </w:r>
      <w:r w:rsidR="005623FB">
        <w:rPr>
          <w:color w:val="000000" w:themeColor="text1"/>
        </w:rPr>
        <w:t xml:space="preserve"> (</w:t>
      </w:r>
      <w:r w:rsidR="005623FB" w:rsidRPr="009725D1">
        <w:rPr>
          <w:color w:val="000000" w:themeColor="text1"/>
        </w:rPr>
        <w:t>Alford</w:t>
      </w:r>
      <w:r w:rsidR="005623FB">
        <w:rPr>
          <w:color w:val="000000" w:themeColor="text1"/>
        </w:rPr>
        <w:t xml:space="preserve">, </w:t>
      </w:r>
      <w:r w:rsidR="005623FB" w:rsidRPr="009725D1">
        <w:rPr>
          <w:color w:val="000000" w:themeColor="text1"/>
        </w:rPr>
        <w:t>1975</w:t>
      </w:r>
      <w:r w:rsidR="005623FB">
        <w:rPr>
          <w:color w:val="000000" w:themeColor="text1"/>
        </w:rPr>
        <w:t>)</w:t>
      </w:r>
      <w:r w:rsidRPr="009725D1">
        <w:rPr>
          <w:color w:val="000000" w:themeColor="text1"/>
        </w:rPr>
        <w:t>. Structural position, access to political elites and ability to secure media coverage all play a part in determining whose voices are heard</w:t>
      </w:r>
      <w:r w:rsidR="005623FB">
        <w:rPr>
          <w:color w:val="000000" w:themeColor="text1"/>
        </w:rPr>
        <w:t xml:space="preserve"> (WHO, 2021</w:t>
      </w:r>
      <w:r w:rsidRPr="009725D1">
        <w:rPr>
          <w:color w:val="000000" w:themeColor="text1"/>
        </w:rPr>
        <w:t>).</w:t>
      </w:r>
    </w:p>
    <w:p w14:paraId="41A9324F" w14:textId="2E817A28" w:rsidR="000940DA"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Historically, professional organisations like the British Medical Association have enjoyed a significant influence</w:t>
      </w:r>
      <w:r w:rsidR="005623FB">
        <w:rPr>
          <w:color w:val="000000" w:themeColor="text1"/>
        </w:rPr>
        <w:t xml:space="preserve"> (</w:t>
      </w:r>
      <w:r w:rsidR="005623FB" w:rsidRPr="0012243C">
        <w:t>Ham,</w:t>
      </w:r>
      <w:r w:rsidR="005623FB">
        <w:t xml:space="preserve"> </w:t>
      </w:r>
      <w:r w:rsidR="005623FB" w:rsidRPr="0012243C">
        <w:t>2024</w:t>
      </w:r>
      <w:r w:rsidR="005623FB">
        <w:t>)</w:t>
      </w:r>
      <w:r w:rsidRPr="009725D1">
        <w:rPr>
          <w:color w:val="000000" w:themeColor="text1"/>
        </w:rPr>
        <w:t>. In fact, it took the NHS until 1948 to be formed after the infamous “stuffing the doctors' mouths with gold” by Aneurin Bevan, who let the doctors have their heads, in exchange for their cooperation with the NHS, and continued to allow them to receive private patients (Klein, 2013). The same scenario played out with the 2012 Act, when the Royal College of Nursing and British Medical Association put up considerable opposition to the Act while it went through Parliament, resulting in significant changes to the law</w:t>
      </w:r>
      <w:r w:rsidR="005623FB">
        <w:rPr>
          <w:color w:val="000000" w:themeColor="text1"/>
        </w:rPr>
        <w:t xml:space="preserve"> (</w:t>
      </w:r>
      <w:r w:rsidR="005623FB" w:rsidRPr="0012243C">
        <w:t>Griffith</w:t>
      </w:r>
      <w:r w:rsidR="005623FB">
        <w:t xml:space="preserve"> </w:t>
      </w:r>
      <w:r w:rsidR="005623FB" w:rsidRPr="0012243C">
        <w:t>and Tengnah, 2023</w:t>
      </w:r>
      <w:r w:rsidR="005623FB">
        <w:t>)</w:t>
      </w:r>
      <w:r w:rsidRPr="009725D1">
        <w:rPr>
          <w:color w:val="000000" w:themeColor="text1"/>
        </w:rPr>
        <w:t>. Timmins (2012) reported on the government's 'pause' in April 2011 as a sign of the fact that the government recognised that professional dissent had the potential to completely derail its flagship reform.</w:t>
      </w:r>
    </w:p>
    <w:p w14:paraId="2B7C2133" w14:textId="7FB69233" w:rsidR="002A1010"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 xml:space="preserve">Since the 1990s, the involvement of patient and voluntary sector organisations as policy actors has increased significantly. Fotaki (2014) suggested that if </w:t>
      </w:r>
      <w:r w:rsidR="008E0308" w:rsidRPr="008E0308">
        <w:rPr>
          <w:color w:val="000000" w:themeColor="text1"/>
        </w:rPr>
        <w:t>Clinical Commissioning Groups</w:t>
      </w:r>
      <w:r w:rsidR="008E0308">
        <w:rPr>
          <w:color w:val="000000" w:themeColor="text1"/>
        </w:rPr>
        <w:t xml:space="preserve"> (</w:t>
      </w:r>
      <w:r w:rsidRPr="009725D1">
        <w:rPr>
          <w:color w:val="000000" w:themeColor="text1"/>
        </w:rPr>
        <w:t>CCGs</w:t>
      </w:r>
      <w:r w:rsidR="008E0308">
        <w:rPr>
          <w:color w:val="000000" w:themeColor="text1"/>
        </w:rPr>
        <w:t>)</w:t>
      </w:r>
      <w:r w:rsidRPr="009725D1">
        <w:rPr>
          <w:color w:val="000000" w:themeColor="text1"/>
        </w:rPr>
        <w:t xml:space="preserve"> are capable of involving patients in commissioning decisions then this was a move towards a more meaningful</w:t>
      </w:r>
      <w:r w:rsidR="008E0308">
        <w:rPr>
          <w:color w:val="000000" w:themeColor="text1"/>
        </w:rPr>
        <w:t xml:space="preserve"> </w:t>
      </w:r>
      <w:r w:rsidRPr="009725D1">
        <w:rPr>
          <w:color w:val="000000" w:themeColor="text1"/>
        </w:rPr>
        <w:t xml:space="preserve">form of health governance democratisation. However, Lupton, Peckham and Taylor (1998) showed that lay involvement in the decision making of the NHS is often superficial, with actual authority lying with the clinical and managerial elites. The pharmaceutical industry also has a significant behind-the-scenes influence in </w:t>
      </w:r>
      <w:r w:rsidR="008E0308">
        <w:rPr>
          <w:color w:val="000000" w:themeColor="text1"/>
        </w:rPr>
        <w:t>through</w:t>
      </w:r>
      <w:r w:rsidRPr="009725D1">
        <w:rPr>
          <w:color w:val="000000" w:themeColor="text1"/>
        </w:rPr>
        <w:t xml:space="preserve"> lobbying, </w:t>
      </w:r>
      <w:r w:rsidRPr="009725D1">
        <w:rPr>
          <w:color w:val="000000" w:themeColor="text1"/>
        </w:rPr>
        <w:lastRenderedPageBreak/>
        <w:t xml:space="preserve">research funding and involvement in the processes of the National Institute for Health and Care Excellence, which Baggott (2004) suggested </w:t>
      </w:r>
      <w:r w:rsidR="008E0308">
        <w:rPr>
          <w:color w:val="000000" w:themeColor="text1"/>
        </w:rPr>
        <w:t>should</w:t>
      </w:r>
      <w:r w:rsidRPr="009725D1">
        <w:rPr>
          <w:color w:val="000000" w:themeColor="text1"/>
        </w:rPr>
        <w:t xml:space="preserve"> warrant greater transparency and public scrutiny.</w:t>
      </w:r>
    </w:p>
    <w:p w14:paraId="54127E83" w14:textId="77777777" w:rsidR="002A1010" w:rsidRPr="009725D1" w:rsidRDefault="002A1010" w:rsidP="0041463A">
      <w:pPr>
        <w:pStyle w:val="Heading2"/>
        <w:spacing w:before="0" w:after="0" w:line="480" w:lineRule="auto"/>
        <w:jc w:val="both"/>
        <w:rPr>
          <w:color w:val="000000" w:themeColor="text1"/>
        </w:rPr>
      </w:pPr>
      <w:bookmarkStart w:id="7" w:name="_Toc229561180"/>
      <w:r w:rsidRPr="009725D1">
        <w:rPr>
          <w:color w:val="000000" w:themeColor="text1"/>
        </w:rPr>
        <w:t>Task 3: The Impact of Previous and Current Healthcare Policy on Service User Groups</w:t>
      </w:r>
      <w:bookmarkEnd w:id="7"/>
    </w:p>
    <w:p w14:paraId="648C5163" w14:textId="02338875" w:rsidR="002A1010" w:rsidRPr="008E0308" w:rsidRDefault="00D62B13" w:rsidP="0041463A">
      <w:pPr>
        <w:pStyle w:val="Heading3"/>
        <w:numPr>
          <w:ilvl w:val="1"/>
          <w:numId w:val="21"/>
        </w:numPr>
        <w:spacing w:line="480" w:lineRule="auto"/>
        <w:jc w:val="both"/>
        <w:rPr>
          <w:b/>
          <w:bCs/>
          <w:i/>
          <w:iCs/>
          <w:color w:val="000000" w:themeColor="text1"/>
        </w:rPr>
      </w:pPr>
      <w:r w:rsidRPr="009725D1">
        <w:rPr>
          <w:color w:val="000000" w:themeColor="text1"/>
        </w:rPr>
        <w:tab/>
      </w:r>
      <w:bookmarkStart w:id="8" w:name="_Toc229561181"/>
      <w:r w:rsidR="002A1010" w:rsidRPr="008E0308">
        <w:rPr>
          <w:b/>
          <w:bCs/>
          <w:i/>
          <w:iCs/>
          <w:color w:val="000000" w:themeColor="text1"/>
        </w:rPr>
        <w:t>A Policy Developed During the Coalition Government and Its Impact on Service Users</w:t>
      </w:r>
      <w:bookmarkEnd w:id="8"/>
    </w:p>
    <w:p w14:paraId="25B63F6B" w14:textId="4E19B8DD" w:rsidR="000940DA"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 xml:space="preserve">The most significant policy of the Coalition has been the Health and Social Care Act </w:t>
      </w:r>
      <w:r w:rsidR="006C2808">
        <w:rPr>
          <w:color w:val="000000" w:themeColor="text1"/>
        </w:rPr>
        <w:t>(</w:t>
      </w:r>
      <w:r w:rsidRPr="009725D1">
        <w:rPr>
          <w:color w:val="000000" w:themeColor="text1"/>
        </w:rPr>
        <w:t>2012</w:t>
      </w:r>
      <w:r w:rsidR="006C2808">
        <w:rPr>
          <w:color w:val="000000" w:themeColor="text1"/>
        </w:rPr>
        <w:t>)</w:t>
      </w:r>
      <w:r w:rsidRPr="009725D1">
        <w:rPr>
          <w:color w:val="000000" w:themeColor="text1"/>
        </w:rPr>
        <w:t xml:space="preserve">, which reorganised </w:t>
      </w:r>
      <w:r w:rsidR="006C2808">
        <w:rPr>
          <w:color w:val="000000" w:themeColor="text1"/>
        </w:rPr>
        <w:t>how the</w:t>
      </w:r>
      <w:r w:rsidRPr="009725D1">
        <w:rPr>
          <w:color w:val="000000" w:themeColor="text1"/>
        </w:rPr>
        <w:t xml:space="preserve"> NHS is commissioned and introduced a wide-ranging application of competitive tendering. The impacts to the service users were mixed. There was considerable institutional change when Primary Care Trusts were replaced by </w:t>
      </w:r>
      <w:r w:rsidR="006C2808">
        <w:rPr>
          <w:color w:val="000000" w:themeColor="text1"/>
        </w:rPr>
        <w:t>CCGs</w:t>
      </w:r>
      <w:r w:rsidRPr="009725D1">
        <w:rPr>
          <w:color w:val="000000" w:themeColor="text1"/>
        </w:rPr>
        <w:t>, with Timmins (2012) noting that there was a management uncertainty period when the reorganisation was taking place, during which the relationships between commissioners and providers were broken and there was no clear benefit to patients. The estimated cost of the transition was £3 billion, a significant reallocation of resources from frontline care.</w:t>
      </w:r>
    </w:p>
    <w:p w14:paraId="0BEA3CF5" w14:textId="1D979A73" w:rsidR="002A1010"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 xml:space="preserve">The marketisation aspects of the Act caused much controversy, especially concerning potentially vulnerable service users. Paton (2014) found that the introduction of competitive tendering in community health services resulted in the </w:t>
      </w:r>
      <w:r w:rsidR="006C2808">
        <w:rPr>
          <w:color w:val="000000" w:themeColor="text1"/>
        </w:rPr>
        <w:t>“</w:t>
      </w:r>
      <w:r w:rsidRPr="009725D1">
        <w:rPr>
          <w:color w:val="000000" w:themeColor="text1"/>
        </w:rPr>
        <w:t>fragmentation of care pathways</w:t>
      </w:r>
      <w:r w:rsidR="006C2808">
        <w:rPr>
          <w:color w:val="000000" w:themeColor="text1"/>
        </w:rPr>
        <w:t>”</w:t>
      </w:r>
      <w:r w:rsidRPr="009725D1">
        <w:rPr>
          <w:color w:val="000000" w:themeColor="text1"/>
        </w:rPr>
        <w:t xml:space="preserve"> in some localities, to the detriment of people with complex or multiple needs such as older people and people with learning disabilities. Service users with intellectual disabilities were reported to have lost their continuity of care and access to familiar service workers, due to contract changes as part of the competitive procurement, and this had a clear and negative impact on wellbeing</w:t>
      </w:r>
      <w:r w:rsidR="006C2808">
        <w:rPr>
          <w:color w:val="000000" w:themeColor="text1"/>
        </w:rPr>
        <w:t xml:space="preserve"> (</w:t>
      </w:r>
      <w:r w:rsidR="006C2808" w:rsidRPr="009725D1">
        <w:rPr>
          <w:color w:val="000000" w:themeColor="text1"/>
        </w:rPr>
        <w:t>Paton</w:t>
      </w:r>
      <w:r w:rsidR="006C2808">
        <w:rPr>
          <w:color w:val="000000" w:themeColor="text1"/>
        </w:rPr>
        <w:t xml:space="preserve">, </w:t>
      </w:r>
      <w:r w:rsidR="006C2808" w:rsidRPr="009725D1">
        <w:rPr>
          <w:color w:val="000000" w:themeColor="text1"/>
        </w:rPr>
        <w:t>2014)</w:t>
      </w:r>
      <w:r w:rsidRPr="009725D1">
        <w:rPr>
          <w:color w:val="000000" w:themeColor="text1"/>
        </w:rPr>
        <w:t>.</w:t>
      </w:r>
    </w:p>
    <w:p w14:paraId="34312E17" w14:textId="4A9895B0" w:rsidR="002A1010" w:rsidRPr="006C2808" w:rsidRDefault="00D62B13" w:rsidP="0041463A">
      <w:pPr>
        <w:pStyle w:val="Heading3"/>
        <w:numPr>
          <w:ilvl w:val="1"/>
          <w:numId w:val="21"/>
        </w:numPr>
        <w:spacing w:line="480" w:lineRule="auto"/>
        <w:jc w:val="both"/>
        <w:rPr>
          <w:b/>
          <w:bCs/>
          <w:i/>
          <w:iCs/>
          <w:color w:val="000000" w:themeColor="text1"/>
        </w:rPr>
      </w:pPr>
      <w:r w:rsidRPr="009725D1">
        <w:rPr>
          <w:color w:val="000000" w:themeColor="text1"/>
        </w:rPr>
        <w:tab/>
      </w:r>
      <w:bookmarkStart w:id="9" w:name="_Toc229561182"/>
      <w:r w:rsidR="002A1010" w:rsidRPr="006C2808">
        <w:rPr>
          <w:b/>
          <w:bCs/>
          <w:i/>
          <w:iCs/>
          <w:color w:val="000000" w:themeColor="text1"/>
        </w:rPr>
        <w:t>The Government's Policy on Supporting Service Users with Long-Term Conditions</w:t>
      </w:r>
      <w:bookmarkEnd w:id="9"/>
    </w:p>
    <w:p w14:paraId="09D659E8" w14:textId="3ABDC949" w:rsidR="000940DA"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Long</w:t>
      </w:r>
      <w:r w:rsidR="00C54139">
        <w:rPr>
          <w:color w:val="000000" w:themeColor="text1"/>
        </w:rPr>
        <w:t>-</w:t>
      </w:r>
      <w:r w:rsidRPr="009725D1">
        <w:rPr>
          <w:color w:val="000000" w:themeColor="text1"/>
        </w:rPr>
        <w:t xml:space="preserve">term conditions </w:t>
      </w:r>
      <w:r w:rsidR="00C54139">
        <w:rPr>
          <w:color w:val="000000" w:themeColor="text1"/>
        </w:rPr>
        <w:t>are</w:t>
      </w:r>
      <w:r w:rsidRPr="009725D1">
        <w:rPr>
          <w:color w:val="000000" w:themeColor="text1"/>
        </w:rPr>
        <w:t xml:space="preserve"> </w:t>
      </w:r>
      <w:r w:rsidR="00C54139">
        <w:rPr>
          <w:color w:val="000000" w:themeColor="text1"/>
        </w:rPr>
        <w:t>conditions</w:t>
      </w:r>
      <w:r w:rsidRPr="009725D1">
        <w:rPr>
          <w:color w:val="000000" w:themeColor="text1"/>
        </w:rPr>
        <w:t xml:space="preserve"> that currently cannot be cured, but can be managed with medication and other therapies</w:t>
      </w:r>
      <w:r w:rsidR="00C54139">
        <w:rPr>
          <w:color w:val="000000" w:themeColor="text1"/>
        </w:rPr>
        <w:t xml:space="preserve"> and</w:t>
      </w:r>
      <w:r w:rsidRPr="009725D1">
        <w:rPr>
          <w:color w:val="000000" w:themeColor="text1"/>
        </w:rPr>
        <w:t xml:space="preserve"> </w:t>
      </w:r>
      <w:r w:rsidR="00C54139">
        <w:rPr>
          <w:color w:val="000000" w:themeColor="text1"/>
        </w:rPr>
        <w:t>are</w:t>
      </w:r>
      <w:r w:rsidRPr="009725D1">
        <w:rPr>
          <w:color w:val="000000" w:themeColor="text1"/>
        </w:rPr>
        <w:t xml:space="preserve"> </w:t>
      </w:r>
      <w:r w:rsidR="00C54139">
        <w:rPr>
          <w:color w:val="000000" w:themeColor="text1"/>
        </w:rPr>
        <w:t>a great</w:t>
      </w:r>
      <w:r w:rsidRPr="009725D1">
        <w:rPr>
          <w:color w:val="000000" w:themeColor="text1"/>
        </w:rPr>
        <w:t xml:space="preserve"> challenge for the NHS</w:t>
      </w:r>
      <w:r w:rsidR="00C54139">
        <w:rPr>
          <w:color w:val="000000" w:themeColor="text1"/>
        </w:rPr>
        <w:t xml:space="preserve"> (</w:t>
      </w:r>
      <w:r w:rsidR="00C54139" w:rsidRPr="009725D1">
        <w:rPr>
          <w:color w:val="000000" w:themeColor="text1"/>
        </w:rPr>
        <w:t>Department of Health</w:t>
      </w:r>
      <w:r w:rsidR="00C54139">
        <w:rPr>
          <w:color w:val="000000" w:themeColor="text1"/>
        </w:rPr>
        <w:t xml:space="preserve">, </w:t>
      </w:r>
      <w:r w:rsidR="00C54139" w:rsidRPr="009725D1">
        <w:rPr>
          <w:color w:val="000000" w:themeColor="text1"/>
        </w:rPr>
        <w:lastRenderedPageBreak/>
        <w:t>2012)</w:t>
      </w:r>
      <w:r w:rsidRPr="009725D1">
        <w:rPr>
          <w:color w:val="000000" w:themeColor="text1"/>
        </w:rPr>
        <w:t>. Around 15 million people in England have 1 or more long</w:t>
      </w:r>
      <w:r w:rsidR="00C54139">
        <w:rPr>
          <w:color w:val="000000" w:themeColor="text1"/>
        </w:rPr>
        <w:t>-</w:t>
      </w:r>
      <w:r w:rsidRPr="009725D1">
        <w:rPr>
          <w:color w:val="000000" w:themeColor="text1"/>
        </w:rPr>
        <w:t>term conditions</w:t>
      </w:r>
      <w:r w:rsidR="00C54139">
        <w:rPr>
          <w:color w:val="000000" w:themeColor="text1"/>
        </w:rPr>
        <w:t>. T</w:t>
      </w:r>
      <w:r w:rsidRPr="009725D1">
        <w:rPr>
          <w:color w:val="000000" w:themeColor="text1"/>
        </w:rPr>
        <w:t>his population represents around 70% of the total cost of NHS and social care (Department of Health, 2012). The magnitude of this challenge has led successive Governments to formulate policy measures to move care towards community and self-management.</w:t>
      </w:r>
    </w:p>
    <w:p w14:paraId="7F43C230" w14:textId="2FBA672F" w:rsidR="000940DA"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The Coalition government continued on from Labour's existing work on personalisation and patient activation through programmes like the Expert Patient Programme. Personal health budgets, introduced from 2009 and piloted more widely from 2014, provided some autonomy to the way in which the care of some service users was set-up and delivered</w:t>
      </w:r>
      <w:r w:rsidR="00C54139">
        <w:rPr>
          <w:color w:val="000000" w:themeColor="text1"/>
        </w:rPr>
        <w:t xml:space="preserve"> (</w:t>
      </w:r>
      <w:r w:rsidR="00C54139" w:rsidRPr="00C033DA">
        <w:t>Lymbery, 2012</w:t>
      </w:r>
      <w:r w:rsidR="00C54139">
        <w:t>)</w:t>
      </w:r>
      <w:r w:rsidRPr="009725D1">
        <w:rPr>
          <w:color w:val="000000" w:themeColor="text1"/>
        </w:rPr>
        <w:t>. Ham (2009) saw it as a positive move towards real person-centred care, but warned that the success of personal budgets hinged on the nature of the support planning put in place to support individuals and this was found to be highly variable between localities.</w:t>
      </w:r>
    </w:p>
    <w:p w14:paraId="07B14D4C" w14:textId="40C78D40" w:rsidR="002A1010" w:rsidRPr="009725D1" w:rsidRDefault="000940DA" w:rsidP="0041463A">
      <w:pPr>
        <w:pStyle w:val="font-claude-response-body"/>
        <w:spacing w:before="0" w:beforeAutospacing="0" w:after="0" w:afterAutospacing="0" w:line="480" w:lineRule="auto"/>
        <w:jc w:val="both"/>
        <w:rPr>
          <w:color w:val="000000" w:themeColor="text1"/>
        </w:rPr>
      </w:pPr>
      <w:r w:rsidRPr="009725D1">
        <w:rPr>
          <w:color w:val="000000" w:themeColor="text1"/>
        </w:rPr>
        <w:t xml:space="preserve">Marmot (2010) stated that </w:t>
      </w:r>
      <w:r w:rsidR="00C54139">
        <w:rPr>
          <w:color w:val="000000" w:themeColor="text1"/>
        </w:rPr>
        <w:t>long-term</w:t>
      </w:r>
      <w:r w:rsidRPr="009725D1">
        <w:rPr>
          <w:color w:val="000000" w:themeColor="text1"/>
        </w:rPr>
        <w:t xml:space="preserve"> conditions do not occur at random in society, but are concentrated in regions of deprivation, with people contracting conditions prematurely and the severity of their conditions worsens in such areas. Policy emphases on individual behaviour change need to be set against the backdrop of the social determinants of health of the individual, or service-user, for whom health is largely a consequence of structural disadvantage, the whole of which cannot be changed by them</w:t>
      </w:r>
      <w:r w:rsidR="0092445A">
        <w:rPr>
          <w:color w:val="000000" w:themeColor="text1"/>
        </w:rPr>
        <w:t xml:space="preserve"> (</w:t>
      </w:r>
      <w:r w:rsidR="0092445A" w:rsidRPr="007E5FA7">
        <w:t>World Health Organization, 2023</w:t>
      </w:r>
      <w:r w:rsidR="0092445A">
        <w:t>)</w:t>
      </w:r>
      <w:r w:rsidRPr="009725D1">
        <w:rPr>
          <w:color w:val="000000" w:themeColor="text1"/>
        </w:rPr>
        <w:t xml:space="preserve">. To some extent this was recognised in the NHS Long Term Plan (NHS England, 2019) with pledges to </w:t>
      </w:r>
      <w:r w:rsidR="0092445A">
        <w:rPr>
          <w:color w:val="000000" w:themeColor="text1"/>
        </w:rPr>
        <w:t>“</w:t>
      </w:r>
      <w:r w:rsidRPr="009725D1">
        <w:rPr>
          <w:color w:val="000000" w:themeColor="text1"/>
        </w:rPr>
        <w:t>act on social prescribing and prevention,</w:t>
      </w:r>
      <w:r w:rsidR="0092445A">
        <w:rPr>
          <w:color w:val="000000" w:themeColor="text1"/>
        </w:rPr>
        <w:t>”</w:t>
      </w:r>
      <w:r w:rsidRPr="009725D1">
        <w:rPr>
          <w:color w:val="000000" w:themeColor="text1"/>
        </w:rPr>
        <w:t xml:space="preserve"> although critics pointed out that these aspirations were undermined by ongoing reductions to local authority public health budgets since 2013.</w:t>
      </w:r>
    </w:p>
    <w:p w14:paraId="5E3CF599" w14:textId="37B588E9" w:rsidR="005A44E7" w:rsidRDefault="005A44E7" w:rsidP="005A44E7">
      <w:pPr>
        <w:spacing w:before="120" w:after="120" w:line="360" w:lineRule="auto"/>
        <w:jc w:val="both"/>
        <w:sectPr w:rsidR="005A44E7">
          <w:pgSz w:w="11906" w:h="16838"/>
          <w:pgMar w:top="1440" w:right="1440" w:bottom="1440" w:left="1440" w:header="708" w:footer="708" w:gutter="0"/>
          <w:cols w:space="720"/>
          <w:docGrid w:linePitch="360"/>
        </w:sectPr>
      </w:pPr>
    </w:p>
    <w:p w14:paraId="0518D789" w14:textId="77777777" w:rsidR="00D34E64" w:rsidRPr="007D342F" w:rsidRDefault="00000000" w:rsidP="007D342F">
      <w:pPr>
        <w:pStyle w:val="Heading1"/>
        <w:spacing w:before="0" w:after="0" w:line="360" w:lineRule="auto"/>
        <w:rPr>
          <w:sz w:val="24"/>
          <w:szCs w:val="24"/>
        </w:rPr>
      </w:pPr>
      <w:bookmarkStart w:id="10" w:name="_Toc229561183"/>
      <w:r w:rsidRPr="007D342F">
        <w:rPr>
          <w:sz w:val="24"/>
          <w:szCs w:val="24"/>
        </w:rPr>
        <w:lastRenderedPageBreak/>
        <w:t>References</w:t>
      </w:r>
      <w:bookmarkEnd w:id="10"/>
    </w:p>
    <w:p w14:paraId="46D441BE" w14:textId="77777777" w:rsidR="0092445A" w:rsidRPr="002A1010" w:rsidRDefault="0092445A" w:rsidP="000468D1">
      <w:pPr>
        <w:spacing w:line="360" w:lineRule="auto"/>
        <w:ind w:left="720" w:hanging="720"/>
        <w:jc w:val="both"/>
      </w:pPr>
      <w:r w:rsidRPr="002A1010">
        <w:t xml:space="preserve">Alford, R.R. (1975) </w:t>
      </w:r>
      <w:r w:rsidRPr="002A1010">
        <w:rPr>
          <w:i/>
          <w:iCs/>
        </w:rPr>
        <w:t>Health Care Politics: Ideological and Interest Group Barriers to Reform</w:t>
      </w:r>
      <w:r w:rsidRPr="002A1010">
        <w:t>. University of Chicago Press.</w:t>
      </w:r>
    </w:p>
    <w:p w14:paraId="57EAFBDA" w14:textId="77777777" w:rsidR="0092445A" w:rsidRPr="002A1010" w:rsidRDefault="0092445A" w:rsidP="000468D1">
      <w:pPr>
        <w:spacing w:line="360" w:lineRule="auto"/>
        <w:ind w:left="720" w:hanging="720"/>
        <w:jc w:val="both"/>
      </w:pPr>
      <w:r w:rsidRPr="002A1010">
        <w:t xml:space="preserve">Baggott, R. (2004) </w:t>
      </w:r>
      <w:r w:rsidRPr="002A1010">
        <w:rPr>
          <w:i/>
          <w:iCs/>
        </w:rPr>
        <w:t>Health and Health Care in Britain</w:t>
      </w:r>
      <w:r w:rsidRPr="002A1010">
        <w:t>. 3rd edn. Palgrave Macmillan.</w:t>
      </w:r>
    </w:p>
    <w:p w14:paraId="6CCCAE43" w14:textId="77777777" w:rsidR="0092445A" w:rsidRDefault="0092445A" w:rsidP="0092445A">
      <w:pPr>
        <w:spacing w:line="360" w:lineRule="auto"/>
        <w:ind w:left="720" w:hanging="720"/>
        <w:jc w:val="both"/>
      </w:pPr>
      <w:r w:rsidRPr="004226EB">
        <w:t xml:space="preserve">Dean, J., Jones, M., Dyer, P., Moulton, C., Price, V. and Lasserson, D., </w:t>
      </w:r>
      <w:r>
        <w:t>(</w:t>
      </w:r>
      <w:r w:rsidRPr="004226EB">
        <w:t>2022</w:t>
      </w:r>
      <w:r>
        <w:t>)</w:t>
      </w:r>
      <w:r w:rsidRPr="004226EB">
        <w:t>. Possible futures of acute medical care in the NHS: a multispecialty approach. </w:t>
      </w:r>
      <w:r w:rsidRPr="004226EB">
        <w:rPr>
          <w:i/>
          <w:iCs/>
        </w:rPr>
        <w:t>Future Healthcare Journal</w:t>
      </w:r>
      <w:r w:rsidRPr="004226EB">
        <w:t>, </w:t>
      </w:r>
      <w:r w:rsidRPr="004226EB">
        <w:rPr>
          <w:i/>
          <w:iCs/>
        </w:rPr>
        <w:t>9</w:t>
      </w:r>
      <w:r w:rsidRPr="004226EB">
        <w:t>(2), pp.125-132.</w:t>
      </w:r>
    </w:p>
    <w:p w14:paraId="034638E7" w14:textId="77777777" w:rsidR="0092445A" w:rsidRPr="002A1010" w:rsidRDefault="0092445A" w:rsidP="000468D1">
      <w:pPr>
        <w:spacing w:line="360" w:lineRule="auto"/>
        <w:ind w:left="720" w:hanging="720"/>
        <w:jc w:val="both"/>
      </w:pPr>
      <w:r w:rsidRPr="002A1010">
        <w:t xml:space="preserve">Department of Health (1997) </w:t>
      </w:r>
      <w:r w:rsidRPr="002A1010">
        <w:rPr>
          <w:i/>
          <w:iCs/>
        </w:rPr>
        <w:t>The New NHS: Modern, Dependable</w:t>
      </w:r>
      <w:r w:rsidRPr="002A1010">
        <w:t>. London: HMSO.</w:t>
      </w:r>
    </w:p>
    <w:p w14:paraId="3801B36F" w14:textId="77777777" w:rsidR="0092445A" w:rsidRPr="002A1010" w:rsidRDefault="0092445A" w:rsidP="000468D1">
      <w:pPr>
        <w:spacing w:line="360" w:lineRule="auto"/>
        <w:ind w:left="720" w:hanging="720"/>
        <w:jc w:val="both"/>
      </w:pPr>
      <w:r w:rsidRPr="002A1010">
        <w:t xml:space="preserve">Department of Health (2010) </w:t>
      </w:r>
      <w:r w:rsidRPr="002A1010">
        <w:rPr>
          <w:i/>
          <w:iCs/>
        </w:rPr>
        <w:t>Equity and Excellence: Liberating the NHS</w:t>
      </w:r>
      <w:r w:rsidRPr="002A1010">
        <w:t>. London: HMSO.</w:t>
      </w:r>
    </w:p>
    <w:p w14:paraId="344D8809" w14:textId="77777777" w:rsidR="0092445A" w:rsidRPr="002A1010" w:rsidRDefault="0092445A" w:rsidP="000468D1">
      <w:pPr>
        <w:spacing w:line="360" w:lineRule="auto"/>
        <w:ind w:left="720" w:hanging="720"/>
        <w:jc w:val="both"/>
      </w:pPr>
      <w:r w:rsidRPr="002A1010">
        <w:t xml:space="preserve">Department of Health (2012) </w:t>
      </w:r>
      <w:r w:rsidRPr="002A1010">
        <w:rPr>
          <w:i/>
          <w:iCs/>
        </w:rPr>
        <w:t>Long Term Conditions Compendium of Information</w:t>
      </w:r>
      <w:r w:rsidRPr="002A1010">
        <w:t>. 3rd edn. London: Department of Health.</w:t>
      </w:r>
    </w:p>
    <w:p w14:paraId="1D68A287" w14:textId="77777777" w:rsidR="0092445A" w:rsidRPr="002A1010" w:rsidRDefault="0092445A" w:rsidP="000468D1">
      <w:pPr>
        <w:spacing w:line="360" w:lineRule="auto"/>
        <w:ind w:left="720" w:hanging="720"/>
        <w:jc w:val="both"/>
      </w:pPr>
      <w:r w:rsidRPr="002A1010">
        <w:t xml:space="preserve">Dixon, A. and Ham, C. (2010) </w:t>
      </w:r>
      <w:r w:rsidRPr="002A1010">
        <w:rPr>
          <w:i/>
          <w:iCs/>
        </w:rPr>
        <w:t>Liberating the NHS: Source Material for the White Paper</w:t>
      </w:r>
      <w:r w:rsidRPr="002A1010">
        <w:t>. London: King's Fund.</w:t>
      </w:r>
    </w:p>
    <w:p w14:paraId="522FE60A" w14:textId="77777777" w:rsidR="0092445A" w:rsidRPr="002A1010" w:rsidRDefault="0092445A" w:rsidP="000468D1">
      <w:pPr>
        <w:spacing w:line="360" w:lineRule="auto"/>
        <w:ind w:left="720" w:hanging="720"/>
        <w:jc w:val="both"/>
      </w:pPr>
      <w:r w:rsidRPr="002A1010">
        <w:t xml:space="preserve">Fotaki, M. (2014) 'Can consumer choice replace trust in the National Health Service in England? Towards developing an affective psychosocial conception of trust in health care', </w:t>
      </w:r>
      <w:r w:rsidRPr="002A1010">
        <w:rPr>
          <w:i/>
          <w:iCs/>
        </w:rPr>
        <w:t>Sociology of Health and Illness</w:t>
      </w:r>
      <w:r w:rsidRPr="002A1010">
        <w:t>, 36(8), pp. 1276–1294.</w:t>
      </w:r>
    </w:p>
    <w:p w14:paraId="1298F509" w14:textId="77777777" w:rsidR="0092445A" w:rsidRDefault="0092445A" w:rsidP="0092445A">
      <w:pPr>
        <w:spacing w:line="360" w:lineRule="auto"/>
        <w:ind w:left="720" w:hanging="720"/>
        <w:jc w:val="both"/>
      </w:pPr>
      <w:r w:rsidRPr="004226EB">
        <w:t xml:space="preserve">Goodair, B., </w:t>
      </w:r>
      <w:r>
        <w:t>(</w:t>
      </w:r>
      <w:r w:rsidRPr="004226EB">
        <w:t>2024</w:t>
      </w:r>
      <w:r>
        <w:t>)</w:t>
      </w:r>
      <w:r w:rsidRPr="004226EB">
        <w:t>. </w:t>
      </w:r>
      <w:r w:rsidRPr="004226EB">
        <w:rPr>
          <w:i/>
          <w:iCs/>
        </w:rPr>
        <w:t>Still safe? Still in their hands? An evaluation of NHS privatisation in England since 2010</w:t>
      </w:r>
      <w:r w:rsidRPr="004226EB">
        <w:t>. University of Oxford (United Kingdom).</w:t>
      </w:r>
    </w:p>
    <w:p w14:paraId="10FD2739" w14:textId="77777777" w:rsidR="0092445A" w:rsidRPr="002A1010" w:rsidRDefault="0092445A" w:rsidP="000468D1">
      <w:pPr>
        <w:spacing w:line="360" w:lineRule="auto"/>
        <w:ind w:left="720" w:hanging="720"/>
        <w:jc w:val="both"/>
      </w:pPr>
      <w:r w:rsidRPr="002A1010">
        <w:t xml:space="preserve">Greener, I. (2009) </w:t>
      </w:r>
      <w:r w:rsidRPr="002A1010">
        <w:rPr>
          <w:i/>
          <w:iCs/>
        </w:rPr>
        <w:t>Healthcare in the UK: Understanding Continuity and Change</w:t>
      </w:r>
      <w:r w:rsidRPr="002A1010">
        <w:t>. Policy Press.</w:t>
      </w:r>
    </w:p>
    <w:p w14:paraId="5AD67E16" w14:textId="77777777" w:rsidR="0092445A" w:rsidRDefault="0092445A" w:rsidP="0092445A">
      <w:pPr>
        <w:spacing w:line="360" w:lineRule="auto"/>
        <w:ind w:left="720" w:hanging="720"/>
        <w:jc w:val="both"/>
      </w:pPr>
      <w:r w:rsidRPr="0012243C">
        <w:t xml:space="preserve">Griffith, R. and Tengnah, C.A., </w:t>
      </w:r>
      <w:r>
        <w:t>(</w:t>
      </w:r>
      <w:r w:rsidRPr="0012243C">
        <w:t>2023</w:t>
      </w:r>
      <w:r>
        <w:t>)</w:t>
      </w:r>
      <w:r w:rsidRPr="0012243C">
        <w:t>. Law and professional issues in nursing.</w:t>
      </w:r>
    </w:p>
    <w:p w14:paraId="71AFFDA9" w14:textId="77777777" w:rsidR="0092445A" w:rsidRPr="002A1010" w:rsidRDefault="0092445A" w:rsidP="000468D1">
      <w:pPr>
        <w:spacing w:line="360" w:lineRule="auto"/>
        <w:ind w:left="720" w:hanging="720"/>
        <w:jc w:val="both"/>
      </w:pPr>
      <w:r w:rsidRPr="002A1010">
        <w:t xml:space="preserve">Ham, C. (2009) </w:t>
      </w:r>
      <w:r w:rsidRPr="002A1010">
        <w:rPr>
          <w:i/>
          <w:iCs/>
        </w:rPr>
        <w:t>Health Policy in Britain</w:t>
      </w:r>
      <w:r w:rsidRPr="002A1010">
        <w:t>. 6th edn. Palgrave Macmillan.</w:t>
      </w:r>
    </w:p>
    <w:p w14:paraId="07A33D46" w14:textId="77777777" w:rsidR="0092445A" w:rsidRDefault="0092445A" w:rsidP="0092445A">
      <w:pPr>
        <w:spacing w:line="360" w:lineRule="auto"/>
        <w:ind w:left="720" w:hanging="720"/>
        <w:jc w:val="both"/>
      </w:pPr>
      <w:r w:rsidRPr="0012243C">
        <w:t xml:space="preserve">Ham, C., </w:t>
      </w:r>
      <w:r>
        <w:t>(</w:t>
      </w:r>
      <w:r w:rsidRPr="0012243C">
        <w:t>2024</w:t>
      </w:r>
      <w:r>
        <w:t>)</w:t>
      </w:r>
      <w:r w:rsidRPr="0012243C">
        <w:t>. </w:t>
      </w:r>
      <w:r w:rsidRPr="0012243C">
        <w:rPr>
          <w:i/>
          <w:iCs/>
        </w:rPr>
        <w:t>Health policy in Britain: The politics and organization of the National Health Service</w:t>
      </w:r>
      <w:r w:rsidRPr="0012243C">
        <w:t>. Routledge.</w:t>
      </w:r>
    </w:p>
    <w:p w14:paraId="1C726A18" w14:textId="77777777" w:rsidR="0092445A" w:rsidRDefault="0092445A" w:rsidP="0092445A">
      <w:pPr>
        <w:spacing w:line="360" w:lineRule="auto"/>
        <w:ind w:left="720" w:hanging="720"/>
        <w:jc w:val="both"/>
      </w:pPr>
      <w:r w:rsidRPr="004226EB">
        <w:t xml:space="preserve">Hollingsworth, J.R., Hage, J. and Hanneman, R., </w:t>
      </w:r>
      <w:r>
        <w:t>(</w:t>
      </w:r>
      <w:r w:rsidRPr="004226EB">
        <w:t>2019</w:t>
      </w:r>
      <w:r>
        <w:t>)</w:t>
      </w:r>
      <w:r w:rsidRPr="004226EB">
        <w:t>. </w:t>
      </w:r>
      <w:r w:rsidRPr="004226EB">
        <w:rPr>
          <w:i/>
          <w:iCs/>
        </w:rPr>
        <w:t>State intervention in medical care: consequences for Britain, France, Sweden, and the United States, 1890-1970</w:t>
      </w:r>
      <w:r w:rsidRPr="004226EB">
        <w:t>. Cornell University Press.</w:t>
      </w:r>
    </w:p>
    <w:p w14:paraId="6C5CCF04" w14:textId="77777777" w:rsidR="0092445A" w:rsidRPr="002A1010" w:rsidRDefault="0092445A" w:rsidP="000468D1">
      <w:pPr>
        <w:spacing w:line="360" w:lineRule="auto"/>
        <w:ind w:left="720" w:hanging="720"/>
        <w:jc w:val="both"/>
      </w:pPr>
      <w:r w:rsidRPr="002A1010">
        <w:t xml:space="preserve">Hunter, D.J. (2008) </w:t>
      </w:r>
      <w:r w:rsidRPr="002A1010">
        <w:rPr>
          <w:i/>
          <w:iCs/>
        </w:rPr>
        <w:t>The Health Debate</w:t>
      </w:r>
      <w:r w:rsidRPr="002A1010">
        <w:t>. Policy Press.</w:t>
      </w:r>
    </w:p>
    <w:p w14:paraId="3F7EC46A" w14:textId="77777777" w:rsidR="0092445A" w:rsidRPr="002A1010" w:rsidRDefault="0092445A" w:rsidP="000468D1">
      <w:pPr>
        <w:spacing w:line="360" w:lineRule="auto"/>
        <w:ind w:left="720" w:hanging="720"/>
        <w:jc w:val="both"/>
      </w:pPr>
      <w:r w:rsidRPr="002A1010">
        <w:t xml:space="preserve">Klein, R. (2013) </w:t>
      </w:r>
      <w:r w:rsidRPr="002A1010">
        <w:rPr>
          <w:i/>
          <w:iCs/>
        </w:rPr>
        <w:t>The New Politics of the NHS: From Creation to Reinvention</w:t>
      </w:r>
      <w:r w:rsidRPr="002A1010">
        <w:t>. 7th edn. Radcliffe Publishing.</w:t>
      </w:r>
    </w:p>
    <w:p w14:paraId="7D41E900" w14:textId="77777777" w:rsidR="0092445A" w:rsidRDefault="0092445A" w:rsidP="0092445A">
      <w:pPr>
        <w:spacing w:line="360" w:lineRule="auto"/>
        <w:ind w:left="720" w:hanging="720"/>
        <w:jc w:val="both"/>
      </w:pPr>
      <w:r w:rsidRPr="004226EB">
        <w:t xml:space="preserve">Klein, R. and Powell, M., </w:t>
      </w:r>
      <w:r>
        <w:t>(</w:t>
      </w:r>
      <w:r w:rsidRPr="004226EB">
        <w:t>2025</w:t>
      </w:r>
      <w:r>
        <w:t>)</w:t>
      </w:r>
      <w:r w:rsidRPr="004226EB">
        <w:t>. </w:t>
      </w:r>
      <w:r w:rsidRPr="004226EB">
        <w:rPr>
          <w:i/>
          <w:iCs/>
        </w:rPr>
        <w:t>The new politics of the NHS: from creation to reinvention</w:t>
      </w:r>
      <w:r w:rsidRPr="004226EB">
        <w:t>. CRC Press.</w:t>
      </w:r>
    </w:p>
    <w:p w14:paraId="6494A4AD" w14:textId="77777777" w:rsidR="0092445A" w:rsidRPr="002A1010" w:rsidRDefault="0092445A" w:rsidP="000468D1">
      <w:pPr>
        <w:spacing w:line="360" w:lineRule="auto"/>
        <w:ind w:left="720" w:hanging="720"/>
        <w:jc w:val="both"/>
      </w:pPr>
      <w:r w:rsidRPr="002A1010">
        <w:t xml:space="preserve">Lupton, C., Peckham, S. and Taylor, P. (1998) </w:t>
      </w:r>
      <w:r w:rsidRPr="002A1010">
        <w:rPr>
          <w:i/>
          <w:iCs/>
        </w:rPr>
        <w:t>Managing Public Involvement in Healthcare Purchasing</w:t>
      </w:r>
      <w:r w:rsidRPr="002A1010">
        <w:t>. Open University Press.</w:t>
      </w:r>
    </w:p>
    <w:p w14:paraId="357E6E78" w14:textId="77777777" w:rsidR="0092445A" w:rsidRDefault="0092445A" w:rsidP="0092445A">
      <w:pPr>
        <w:spacing w:line="360" w:lineRule="auto"/>
        <w:ind w:left="720" w:hanging="720"/>
        <w:jc w:val="both"/>
      </w:pPr>
      <w:r w:rsidRPr="00C033DA">
        <w:lastRenderedPageBreak/>
        <w:t xml:space="preserve">Lymbery, M., </w:t>
      </w:r>
      <w:r>
        <w:t>(</w:t>
      </w:r>
      <w:r w:rsidRPr="00C033DA">
        <w:t>2012</w:t>
      </w:r>
      <w:r>
        <w:t>)</w:t>
      </w:r>
      <w:r w:rsidRPr="00C033DA">
        <w:t>. Social work and personalisation. </w:t>
      </w:r>
      <w:r w:rsidRPr="00C033DA">
        <w:rPr>
          <w:i/>
          <w:iCs/>
        </w:rPr>
        <w:t>British Journal of Social Work</w:t>
      </w:r>
      <w:r w:rsidRPr="00C033DA">
        <w:t>, </w:t>
      </w:r>
      <w:r w:rsidRPr="00C033DA">
        <w:rPr>
          <w:i/>
          <w:iCs/>
        </w:rPr>
        <w:t>42</w:t>
      </w:r>
      <w:r w:rsidRPr="00C033DA">
        <w:t>(4), pp.783-792.</w:t>
      </w:r>
    </w:p>
    <w:p w14:paraId="4E60C177" w14:textId="77777777" w:rsidR="0092445A" w:rsidRPr="002A1010" w:rsidRDefault="0092445A" w:rsidP="000468D1">
      <w:pPr>
        <w:spacing w:line="360" w:lineRule="auto"/>
        <w:ind w:left="720" w:hanging="720"/>
        <w:jc w:val="both"/>
      </w:pPr>
      <w:r w:rsidRPr="002A1010">
        <w:t xml:space="preserve">Marmot, M. (2010) </w:t>
      </w:r>
      <w:r w:rsidRPr="002A1010">
        <w:rPr>
          <w:i/>
          <w:iCs/>
        </w:rPr>
        <w:t>Fair Society, Healthy Lives: The Marmot Review</w:t>
      </w:r>
      <w:r w:rsidRPr="002A1010">
        <w:t>. London: UCL Institute of Health Equity.</w:t>
      </w:r>
    </w:p>
    <w:p w14:paraId="70EAE432" w14:textId="77777777" w:rsidR="0092445A" w:rsidRPr="002A1010" w:rsidRDefault="0092445A" w:rsidP="000468D1">
      <w:pPr>
        <w:spacing w:line="360" w:lineRule="auto"/>
        <w:ind w:left="720" w:hanging="720"/>
        <w:jc w:val="both"/>
      </w:pPr>
      <w:r w:rsidRPr="002A1010">
        <w:t xml:space="preserve">NHS England (2014) </w:t>
      </w:r>
      <w:r w:rsidRPr="002A1010">
        <w:rPr>
          <w:i/>
          <w:iCs/>
        </w:rPr>
        <w:t>Five Year Forward View</w:t>
      </w:r>
      <w:r w:rsidRPr="002A1010">
        <w:t>. London: NHS England.</w:t>
      </w:r>
    </w:p>
    <w:p w14:paraId="7E413691" w14:textId="77777777" w:rsidR="0092445A" w:rsidRPr="002A1010" w:rsidRDefault="0092445A" w:rsidP="000468D1">
      <w:pPr>
        <w:spacing w:line="360" w:lineRule="auto"/>
        <w:ind w:left="720" w:hanging="720"/>
        <w:jc w:val="both"/>
      </w:pPr>
      <w:r w:rsidRPr="002A1010">
        <w:t xml:space="preserve">NHS England (2019) </w:t>
      </w:r>
      <w:r w:rsidRPr="002A1010">
        <w:rPr>
          <w:i/>
          <w:iCs/>
        </w:rPr>
        <w:t>The NHS Long Term Plan</w:t>
      </w:r>
      <w:r w:rsidRPr="002A1010">
        <w:t>. London: NHS England.</w:t>
      </w:r>
    </w:p>
    <w:p w14:paraId="26D741CD" w14:textId="77777777" w:rsidR="0092445A" w:rsidRPr="002A1010" w:rsidRDefault="0092445A" w:rsidP="000468D1">
      <w:pPr>
        <w:spacing w:line="360" w:lineRule="auto"/>
        <w:ind w:left="720" w:hanging="720"/>
        <w:jc w:val="both"/>
      </w:pPr>
      <w:r w:rsidRPr="002A1010">
        <w:t xml:space="preserve">NHS England (2023) </w:t>
      </w:r>
      <w:r w:rsidRPr="002A1010">
        <w:rPr>
          <w:i/>
          <w:iCs/>
        </w:rPr>
        <w:t>Referral to Treatment Waiting Times Statistics</w:t>
      </w:r>
      <w:r w:rsidRPr="002A1010">
        <w:t>. London: NHS England.</w:t>
      </w:r>
    </w:p>
    <w:p w14:paraId="2B042952" w14:textId="77777777" w:rsidR="0092445A" w:rsidRPr="002A1010" w:rsidRDefault="0092445A" w:rsidP="000468D1">
      <w:pPr>
        <w:spacing w:line="360" w:lineRule="auto"/>
        <w:ind w:left="720" w:hanging="720"/>
        <w:jc w:val="both"/>
      </w:pPr>
      <w:r w:rsidRPr="002A1010">
        <w:t xml:space="preserve">Paton, C. (2014) </w:t>
      </w:r>
      <w:r w:rsidRPr="002A1010">
        <w:rPr>
          <w:i/>
          <w:iCs/>
        </w:rPr>
        <w:t>At What Cost? Paying the Price for the Market in the English NHS</w:t>
      </w:r>
      <w:r w:rsidRPr="002A1010">
        <w:t>. London: Centre for Health and the Public Interest.</w:t>
      </w:r>
    </w:p>
    <w:p w14:paraId="59B1EC14" w14:textId="77777777" w:rsidR="0092445A" w:rsidRPr="002A1010" w:rsidRDefault="0092445A" w:rsidP="000468D1">
      <w:pPr>
        <w:spacing w:line="360" w:lineRule="auto"/>
        <w:ind w:left="720" w:hanging="720"/>
        <w:jc w:val="both"/>
      </w:pPr>
      <w:r w:rsidRPr="002A1010">
        <w:t xml:space="preserve">Pollock, A.M. (2004) </w:t>
      </w:r>
      <w:r w:rsidRPr="002A1010">
        <w:rPr>
          <w:i/>
          <w:iCs/>
        </w:rPr>
        <w:t>NHS plc: The Privatisation of Our Health Care</w:t>
      </w:r>
      <w:r w:rsidRPr="002A1010">
        <w:t>. London: Verso.</w:t>
      </w:r>
    </w:p>
    <w:p w14:paraId="19BAAB70" w14:textId="77777777" w:rsidR="0092445A" w:rsidRPr="002A1010" w:rsidRDefault="0092445A" w:rsidP="000468D1">
      <w:pPr>
        <w:spacing w:line="360" w:lineRule="auto"/>
        <w:ind w:left="720" w:hanging="720"/>
        <w:jc w:val="both"/>
      </w:pPr>
      <w:r w:rsidRPr="002A1010">
        <w:t xml:space="preserve">Powell, M. (1997) </w:t>
      </w:r>
      <w:r w:rsidRPr="002A1010">
        <w:rPr>
          <w:i/>
          <w:iCs/>
        </w:rPr>
        <w:t>Evaluating the National Health Service</w:t>
      </w:r>
      <w:r w:rsidRPr="002A1010">
        <w:t>. Open University Press.</w:t>
      </w:r>
    </w:p>
    <w:p w14:paraId="294F97F1" w14:textId="77777777" w:rsidR="0092445A" w:rsidRDefault="0092445A" w:rsidP="0092445A">
      <w:pPr>
        <w:spacing w:line="360" w:lineRule="auto"/>
        <w:ind w:left="720" w:hanging="720"/>
        <w:jc w:val="both"/>
      </w:pPr>
      <w:r w:rsidRPr="004226EB">
        <w:t xml:space="preserve">Powell, M., </w:t>
      </w:r>
      <w:r>
        <w:t>(</w:t>
      </w:r>
      <w:r w:rsidRPr="004226EB">
        <w:t>2016</w:t>
      </w:r>
      <w:r>
        <w:t>)</w:t>
      </w:r>
      <w:r w:rsidRPr="004226EB">
        <w:t>. Coalition health policy: a game of two halves or the final whistle for the NHS?. In </w:t>
      </w:r>
      <w:r w:rsidRPr="004226EB">
        <w:rPr>
          <w:i/>
          <w:iCs/>
        </w:rPr>
        <w:t>Social Policy Review 28</w:t>
      </w:r>
      <w:r w:rsidRPr="004226EB">
        <w:t> (pp. 23-40). Policy Press.</w:t>
      </w:r>
    </w:p>
    <w:p w14:paraId="6D84D17D" w14:textId="77777777" w:rsidR="0092445A" w:rsidRDefault="0092445A" w:rsidP="0092445A">
      <w:pPr>
        <w:spacing w:line="360" w:lineRule="auto"/>
        <w:ind w:left="720" w:hanging="720"/>
        <w:jc w:val="both"/>
      </w:pPr>
      <w:r w:rsidRPr="0012243C">
        <w:t xml:space="preserve">Taylor-Gooby, P., Hvinden, B., Mau, S., Leruth, B., Schoyen, M.A. and Gyory, A., </w:t>
      </w:r>
      <w:r>
        <w:t>(</w:t>
      </w:r>
      <w:r w:rsidRPr="0012243C">
        <w:t>2019</w:t>
      </w:r>
      <w:r>
        <w:t>)</w:t>
      </w:r>
      <w:r w:rsidRPr="0012243C">
        <w:t>. Moral economies of the welfare state: A qualitative comparative study. </w:t>
      </w:r>
      <w:r w:rsidRPr="0012243C">
        <w:rPr>
          <w:i/>
          <w:iCs/>
        </w:rPr>
        <w:t>Acta Sociologica</w:t>
      </w:r>
      <w:r w:rsidRPr="0012243C">
        <w:t>, </w:t>
      </w:r>
      <w:r w:rsidRPr="0012243C">
        <w:rPr>
          <w:i/>
          <w:iCs/>
        </w:rPr>
        <w:t>62</w:t>
      </w:r>
      <w:r w:rsidRPr="0012243C">
        <w:t>(2), pp.119-134.</w:t>
      </w:r>
    </w:p>
    <w:p w14:paraId="1B65998E" w14:textId="77777777" w:rsidR="0092445A" w:rsidRPr="002A1010" w:rsidRDefault="0092445A" w:rsidP="000468D1">
      <w:pPr>
        <w:spacing w:line="360" w:lineRule="auto"/>
        <w:ind w:left="720" w:hanging="720"/>
        <w:jc w:val="both"/>
      </w:pPr>
      <w:r w:rsidRPr="002A1010">
        <w:t xml:space="preserve">Timmins, N. (2012) </w:t>
      </w:r>
      <w:r w:rsidRPr="002A1010">
        <w:rPr>
          <w:i/>
          <w:iCs/>
        </w:rPr>
        <w:t>Never Again? The Story of the Health and Social Care Act 2012</w:t>
      </w:r>
      <w:r w:rsidRPr="002A1010">
        <w:t>. London: King's Fund and Institute for Government.</w:t>
      </w:r>
    </w:p>
    <w:p w14:paraId="23C09ADA" w14:textId="77777777" w:rsidR="0092445A" w:rsidRDefault="0092445A" w:rsidP="0092445A">
      <w:pPr>
        <w:spacing w:line="360" w:lineRule="auto"/>
        <w:ind w:left="720" w:hanging="720"/>
        <w:jc w:val="both"/>
      </w:pPr>
      <w:r w:rsidRPr="004226EB">
        <w:t xml:space="preserve">Tuohy, C.H., </w:t>
      </w:r>
      <w:r>
        <w:t>(</w:t>
      </w:r>
      <w:r w:rsidRPr="004226EB">
        <w:t>2018</w:t>
      </w:r>
      <w:r>
        <w:t>)</w:t>
      </w:r>
      <w:r w:rsidRPr="004226EB">
        <w:t>. </w:t>
      </w:r>
      <w:r w:rsidRPr="004226EB">
        <w:rPr>
          <w:i/>
          <w:iCs/>
        </w:rPr>
        <w:t>Remaking policy: Scale, pace, and political strategy in health care reform</w:t>
      </w:r>
      <w:r w:rsidRPr="004226EB">
        <w:t> (Vol. 54). University of Toronto Press.</w:t>
      </w:r>
    </w:p>
    <w:p w14:paraId="2F0174DD" w14:textId="77777777" w:rsidR="0092445A" w:rsidRDefault="0092445A" w:rsidP="0092445A">
      <w:pPr>
        <w:spacing w:line="360" w:lineRule="auto"/>
        <w:ind w:left="720" w:hanging="720"/>
        <w:jc w:val="both"/>
      </w:pPr>
      <w:r w:rsidRPr="002A1010">
        <w:t xml:space="preserve">Wanless, D. (2002) </w:t>
      </w:r>
      <w:r w:rsidRPr="002A1010">
        <w:rPr>
          <w:i/>
          <w:iCs/>
        </w:rPr>
        <w:t>Securing Our Future Health: Taking a Long-Term View</w:t>
      </w:r>
      <w:r w:rsidRPr="002A1010">
        <w:t>. London: HM Treasury.</w:t>
      </w:r>
    </w:p>
    <w:p w14:paraId="65ED09B1" w14:textId="77777777" w:rsidR="0092445A" w:rsidRDefault="0092445A" w:rsidP="0092445A">
      <w:pPr>
        <w:spacing w:line="360" w:lineRule="auto"/>
        <w:ind w:left="720" w:hanging="720"/>
        <w:jc w:val="both"/>
      </w:pPr>
      <w:r w:rsidRPr="007E5FA7">
        <w:t xml:space="preserve">World Health Organization </w:t>
      </w:r>
      <w:r>
        <w:t>(</w:t>
      </w:r>
      <w:r w:rsidRPr="007E5FA7">
        <w:t>2023</w:t>
      </w:r>
      <w:r>
        <w:t>)</w:t>
      </w:r>
      <w:r w:rsidRPr="007E5FA7">
        <w:t>. </w:t>
      </w:r>
      <w:r w:rsidRPr="007E5FA7">
        <w:rPr>
          <w:i/>
          <w:iCs/>
        </w:rPr>
        <w:t>Integrating the social determinants of health into health workforce education and training</w:t>
      </w:r>
      <w:r w:rsidRPr="007E5FA7">
        <w:t>. World Health Organization.</w:t>
      </w:r>
    </w:p>
    <w:p w14:paraId="5199A91C" w14:textId="77777777" w:rsidR="0092445A" w:rsidRDefault="0092445A" w:rsidP="0092445A">
      <w:pPr>
        <w:spacing w:line="360" w:lineRule="auto"/>
        <w:ind w:left="720" w:hanging="720"/>
        <w:jc w:val="both"/>
      </w:pPr>
      <w:r w:rsidRPr="0012243C">
        <w:t xml:space="preserve">World Health Organization, </w:t>
      </w:r>
      <w:r>
        <w:t>(</w:t>
      </w:r>
      <w:r w:rsidRPr="0012243C">
        <w:t>2021</w:t>
      </w:r>
      <w:r>
        <w:t>)</w:t>
      </w:r>
      <w:r w:rsidRPr="0012243C">
        <w:t>. Voice, agency, empowerment: handbook on social participation for universal health coverage.</w:t>
      </w:r>
    </w:p>
    <w:p w14:paraId="735E1BCA" w14:textId="77777777" w:rsidR="0092445A" w:rsidRDefault="0092445A" w:rsidP="0092445A"/>
    <w:p w14:paraId="7C5D1B1A" w14:textId="77777777" w:rsidR="0092445A" w:rsidRDefault="0092445A" w:rsidP="0092445A"/>
    <w:p w14:paraId="1AE5A511" w14:textId="77777777" w:rsidR="0092445A" w:rsidRDefault="0092445A" w:rsidP="0092445A"/>
    <w:p w14:paraId="76FA30F3" w14:textId="77777777" w:rsidR="0092445A" w:rsidRDefault="0092445A" w:rsidP="0092445A"/>
    <w:p w14:paraId="2229D5CB" w14:textId="77777777" w:rsidR="0092445A" w:rsidRDefault="0092445A" w:rsidP="0092445A">
      <w:pPr>
        <w:spacing w:line="360" w:lineRule="auto"/>
        <w:ind w:left="720" w:hanging="720"/>
        <w:jc w:val="both"/>
      </w:pPr>
    </w:p>
    <w:sectPr w:rsidR="0092445A" w:rsidSect="00B627C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AB902" w14:textId="77777777" w:rsidR="0067582B" w:rsidRDefault="0067582B" w:rsidP="00B5321F">
      <w:r>
        <w:separator/>
      </w:r>
    </w:p>
  </w:endnote>
  <w:endnote w:type="continuationSeparator" w:id="0">
    <w:p w14:paraId="3BE06043" w14:textId="77777777" w:rsidR="0067582B" w:rsidRDefault="0067582B" w:rsidP="00B53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730799"/>
      <w:docPartObj>
        <w:docPartGallery w:val="Page Numbers (Bottom of Page)"/>
        <w:docPartUnique/>
      </w:docPartObj>
    </w:sdtPr>
    <w:sdtEndPr>
      <w:rPr>
        <w:color w:val="7F7F7F" w:themeColor="background1" w:themeShade="7F"/>
        <w:spacing w:val="60"/>
      </w:rPr>
    </w:sdtEndPr>
    <w:sdtContent>
      <w:p w14:paraId="7F2C7A54" w14:textId="2968A31F" w:rsidR="00B5321F" w:rsidRDefault="00B5321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6DDD6A0" w14:textId="77777777" w:rsidR="00B5321F" w:rsidRDefault="00B53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4CBEF" w14:textId="77777777" w:rsidR="0067582B" w:rsidRDefault="0067582B" w:rsidP="00B5321F">
      <w:r>
        <w:separator/>
      </w:r>
    </w:p>
  </w:footnote>
  <w:footnote w:type="continuationSeparator" w:id="0">
    <w:p w14:paraId="06FDDB1C" w14:textId="77777777" w:rsidR="0067582B" w:rsidRDefault="0067582B" w:rsidP="00B53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381A"/>
    <w:multiLevelType w:val="hybridMultilevel"/>
    <w:tmpl w:val="F5C08F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05A9E"/>
    <w:multiLevelType w:val="multilevel"/>
    <w:tmpl w:val="2D3CD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DBF2AB5"/>
    <w:multiLevelType w:val="hybridMultilevel"/>
    <w:tmpl w:val="167E4C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C2185A"/>
    <w:multiLevelType w:val="multilevel"/>
    <w:tmpl w:val="EF9247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8DD2490"/>
    <w:multiLevelType w:val="multilevel"/>
    <w:tmpl w:val="D704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C7906"/>
    <w:multiLevelType w:val="hybridMultilevel"/>
    <w:tmpl w:val="37D8E2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C41494"/>
    <w:multiLevelType w:val="hybridMultilevel"/>
    <w:tmpl w:val="2A901C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8D0C90"/>
    <w:multiLevelType w:val="multilevel"/>
    <w:tmpl w:val="48A078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3A2606A"/>
    <w:multiLevelType w:val="multilevel"/>
    <w:tmpl w:val="096609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BD151F6"/>
    <w:multiLevelType w:val="hybridMultilevel"/>
    <w:tmpl w:val="E9D64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F50538"/>
    <w:multiLevelType w:val="hybridMultilevel"/>
    <w:tmpl w:val="EAECD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030F8"/>
    <w:multiLevelType w:val="hybridMultilevel"/>
    <w:tmpl w:val="AAF2A6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6445D5"/>
    <w:multiLevelType w:val="multilevel"/>
    <w:tmpl w:val="6B9828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0D51002"/>
    <w:multiLevelType w:val="multilevel"/>
    <w:tmpl w:val="C3E252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28E36C4"/>
    <w:multiLevelType w:val="multilevel"/>
    <w:tmpl w:val="74EC1A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A72371"/>
    <w:multiLevelType w:val="hybridMultilevel"/>
    <w:tmpl w:val="A53C7E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646FE1"/>
    <w:multiLevelType w:val="multilevel"/>
    <w:tmpl w:val="C282A0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5C25B31"/>
    <w:multiLevelType w:val="hybridMultilevel"/>
    <w:tmpl w:val="3C2A65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E4033E"/>
    <w:multiLevelType w:val="hybridMultilevel"/>
    <w:tmpl w:val="07D60F16"/>
    <w:lvl w:ilvl="0" w:tplc="20F81FEA">
      <w:start w:val="1"/>
      <w:numFmt w:val="bullet"/>
      <w:lvlText w:val="●"/>
      <w:lvlJc w:val="left"/>
      <w:pPr>
        <w:ind w:left="720" w:hanging="360"/>
      </w:pPr>
    </w:lvl>
    <w:lvl w:ilvl="1" w:tplc="B22846D8">
      <w:start w:val="1"/>
      <w:numFmt w:val="bullet"/>
      <w:lvlText w:val="○"/>
      <w:lvlJc w:val="left"/>
      <w:pPr>
        <w:ind w:left="1440" w:hanging="360"/>
      </w:pPr>
    </w:lvl>
    <w:lvl w:ilvl="2" w:tplc="460215C6">
      <w:start w:val="1"/>
      <w:numFmt w:val="bullet"/>
      <w:lvlText w:val="■"/>
      <w:lvlJc w:val="left"/>
      <w:pPr>
        <w:ind w:left="2160" w:hanging="360"/>
      </w:pPr>
    </w:lvl>
    <w:lvl w:ilvl="3" w:tplc="C5665448">
      <w:start w:val="1"/>
      <w:numFmt w:val="bullet"/>
      <w:lvlText w:val="●"/>
      <w:lvlJc w:val="left"/>
      <w:pPr>
        <w:ind w:left="2880" w:hanging="360"/>
      </w:pPr>
    </w:lvl>
    <w:lvl w:ilvl="4" w:tplc="A1083584">
      <w:start w:val="1"/>
      <w:numFmt w:val="bullet"/>
      <w:lvlText w:val="○"/>
      <w:lvlJc w:val="left"/>
      <w:pPr>
        <w:ind w:left="3600" w:hanging="360"/>
      </w:pPr>
    </w:lvl>
    <w:lvl w:ilvl="5" w:tplc="5A8E7F74">
      <w:start w:val="1"/>
      <w:numFmt w:val="bullet"/>
      <w:lvlText w:val="■"/>
      <w:lvlJc w:val="left"/>
      <w:pPr>
        <w:ind w:left="4320" w:hanging="360"/>
      </w:pPr>
    </w:lvl>
    <w:lvl w:ilvl="6" w:tplc="29B45E94">
      <w:start w:val="1"/>
      <w:numFmt w:val="bullet"/>
      <w:lvlText w:val="●"/>
      <w:lvlJc w:val="left"/>
      <w:pPr>
        <w:ind w:left="5040" w:hanging="360"/>
      </w:pPr>
    </w:lvl>
    <w:lvl w:ilvl="7" w:tplc="D48A4D74">
      <w:start w:val="1"/>
      <w:numFmt w:val="bullet"/>
      <w:lvlText w:val="●"/>
      <w:lvlJc w:val="left"/>
      <w:pPr>
        <w:ind w:left="5760" w:hanging="360"/>
      </w:pPr>
    </w:lvl>
    <w:lvl w:ilvl="8" w:tplc="D6181856">
      <w:start w:val="1"/>
      <w:numFmt w:val="bullet"/>
      <w:lvlText w:val="●"/>
      <w:lvlJc w:val="left"/>
      <w:pPr>
        <w:ind w:left="6480" w:hanging="360"/>
      </w:pPr>
    </w:lvl>
  </w:abstractNum>
  <w:abstractNum w:abstractNumId="19" w15:restartNumberingAfterBreak="0">
    <w:nsid w:val="794779E2"/>
    <w:multiLevelType w:val="hybridMultilevel"/>
    <w:tmpl w:val="7018B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FA64D7"/>
    <w:multiLevelType w:val="multilevel"/>
    <w:tmpl w:val="BB0C60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91050772">
    <w:abstractNumId w:val="18"/>
    <w:lvlOverride w:ilvl="0">
      <w:startOverride w:val="1"/>
    </w:lvlOverride>
  </w:num>
  <w:num w:numId="2" w16cid:durableId="225141338">
    <w:abstractNumId w:val="1"/>
  </w:num>
  <w:num w:numId="3" w16cid:durableId="1141655053">
    <w:abstractNumId w:val="7"/>
  </w:num>
  <w:num w:numId="4" w16cid:durableId="195198446">
    <w:abstractNumId w:val="20"/>
  </w:num>
  <w:num w:numId="5" w16cid:durableId="1702630261">
    <w:abstractNumId w:val="4"/>
  </w:num>
  <w:num w:numId="6" w16cid:durableId="616988421">
    <w:abstractNumId w:val="5"/>
  </w:num>
  <w:num w:numId="7" w16cid:durableId="2051416081">
    <w:abstractNumId w:val="11"/>
  </w:num>
  <w:num w:numId="8" w16cid:durableId="1089693911">
    <w:abstractNumId w:val="6"/>
  </w:num>
  <w:num w:numId="9" w16cid:durableId="1778016623">
    <w:abstractNumId w:val="2"/>
  </w:num>
  <w:num w:numId="10" w16cid:durableId="524178260">
    <w:abstractNumId w:val="0"/>
  </w:num>
  <w:num w:numId="11" w16cid:durableId="1287084577">
    <w:abstractNumId w:val="17"/>
  </w:num>
  <w:num w:numId="12" w16cid:durableId="1639604486">
    <w:abstractNumId w:val="15"/>
  </w:num>
  <w:num w:numId="13" w16cid:durableId="1771662818">
    <w:abstractNumId w:val="13"/>
  </w:num>
  <w:num w:numId="14" w16cid:durableId="198125993">
    <w:abstractNumId w:val="10"/>
  </w:num>
  <w:num w:numId="15" w16cid:durableId="836849890">
    <w:abstractNumId w:val="12"/>
  </w:num>
  <w:num w:numId="16" w16cid:durableId="979383646">
    <w:abstractNumId w:val="8"/>
  </w:num>
  <w:num w:numId="17" w16cid:durableId="1437824252">
    <w:abstractNumId w:val="3"/>
  </w:num>
  <w:num w:numId="18" w16cid:durableId="1464150843">
    <w:abstractNumId w:val="19"/>
  </w:num>
  <w:num w:numId="19" w16cid:durableId="218328113">
    <w:abstractNumId w:val="14"/>
  </w:num>
  <w:num w:numId="20" w16cid:durableId="1694917664">
    <w:abstractNumId w:val="9"/>
  </w:num>
  <w:num w:numId="21" w16cid:durableId="21380580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E64"/>
    <w:rsid w:val="00016E0D"/>
    <w:rsid w:val="00037DF8"/>
    <w:rsid w:val="000468D1"/>
    <w:rsid w:val="00075496"/>
    <w:rsid w:val="000940DA"/>
    <w:rsid w:val="00122693"/>
    <w:rsid w:val="00136C49"/>
    <w:rsid w:val="0019719D"/>
    <w:rsid w:val="00197540"/>
    <w:rsid w:val="001E216F"/>
    <w:rsid w:val="001E3BBD"/>
    <w:rsid w:val="00213D1F"/>
    <w:rsid w:val="00267DFE"/>
    <w:rsid w:val="002A1010"/>
    <w:rsid w:val="002B189E"/>
    <w:rsid w:val="0030345B"/>
    <w:rsid w:val="003713BC"/>
    <w:rsid w:val="00383C21"/>
    <w:rsid w:val="0041463A"/>
    <w:rsid w:val="00474EE3"/>
    <w:rsid w:val="004A1AF3"/>
    <w:rsid w:val="004F1F5A"/>
    <w:rsid w:val="005415A0"/>
    <w:rsid w:val="005623FB"/>
    <w:rsid w:val="005A44E7"/>
    <w:rsid w:val="005F149F"/>
    <w:rsid w:val="00626A04"/>
    <w:rsid w:val="00652947"/>
    <w:rsid w:val="00655188"/>
    <w:rsid w:val="00662C61"/>
    <w:rsid w:val="0067582B"/>
    <w:rsid w:val="0068248C"/>
    <w:rsid w:val="00697592"/>
    <w:rsid w:val="006A598E"/>
    <w:rsid w:val="006C2808"/>
    <w:rsid w:val="006E143D"/>
    <w:rsid w:val="006E29EC"/>
    <w:rsid w:val="00723A61"/>
    <w:rsid w:val="007412F4"/>
    <w:rsid w:val="00755F46"/>
    <w:rsid w:val="00775A35"/>
    <w:rsid w:val="00783743"/>
    <w:rsid w:val="007B59EE"/>
    <w:rsid w:val="007D342F"/>
    <w:rsid w:val="00804568"/>
    <w:rsid w:val="00823942"/>
    <w:rsid w:val="008C1C25"/>
    <w:rsid w:val="008D4DE6"/>
    <w:rsid w:val="008E0308"/>
    <w:rsid w:val="008E51AD"/>
    <w:rsid w:val="009023B3"/>
    <w:rsid w:val="00922362"/>
    <w:rsid w:val="0092445A"/>
    <w:rsid w:val="009725D1"/>
    <w:rsid w:val="009F313F"/>
    <w:rsid w:val="00A21656"/>
    <w:rsid w:val="00A4515F"/>
    <w:rsid w:val="00A655F6"/>
    <w:rsid w:val="00B23A6B"/>
    <w:rsid w:val="00B26400"/>
    <w:rsid w:val="00B45570"/>
    <w:rsid w:val="00B5321F"/>
    <w:rsid w:val="00B627C4"/>
    <w:rsid w:val="00B675CF"/>
    <w:rsid w:val="00B76D92"/>
    <w:rsid w:val="00B959C7"/>
    <w:rsid w:val="00BA0665"/>
    <w:rsid w:val="00BB4519"/>
    <w:rsid w:val="00C30418"/>
    <w:rsid w:val="00C343F1"/>
    <w:rsid w:val="00C36D7F"/>
    <w:rsid w:val="00C46D6F"/>
    <w:rsid w:val="00C54139"/>
    <w:rsid w:val="00C72CD8"/>
    <w:rsid w:val="00CE7F6E"/>
    <w:rsid w:val="00D109DC"/>
    <w:rsid w:val="00D34E64"/>
    <w:rsid w:val="00D62B13"/>
    <w:rsid w:val="00D66AB8"/>
    <w:rsid w:val="00DA34B4"/>
    <w:rsid w:val="00DA3A2A"/>
    <w:rsid w:val="00DA6C62"/>
    <w:rsid w:val="00E06DBD"/>
    <w:rsid w:val="00E235A5"/>
    <w:rsid w:val="00ED0E68"/>
    <w:rsid w:val="00F172E4"/>
    <w:rsid w:val="00F24494"/>
    <w:rsid w:val="00F5154A"/>
    <w:rsid w:val="00F82AE0"/>
    <w:rsid w:val="00FB19E9"/>
    <w:rsid w:val="00FF0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760DE"/>
  <w15:docId w15:val="{879329FB-7071-4564-A1D4-89730CBA2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28"/>
      <w:szCs w:val="28"/>
    </w:rPr>
  </w:style>
  <w:style w:type="paragraph" w:styleId="Heading2">
    <w:name w:val="heading 2"/>
    <w:uiPriority w:val="9"/>
    <w:unhideWhenUsed/>
    <w:qFormat/>
    <w:pPr>
      <w:spacing w:before="280" w:after="16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235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235A5"/>
    <w:pPr>
      <w:spacing w:after="100"/>
    </w:pPr>
  </w:style>
  <w:style w:type="paragraph" w:styleId="TOC2">
    <w:name w:val="toc 2"/>
    <w:basedOn w:val="Normal"/>
    <w:next w:val="Normal"/>
    <w:autoRedefine/>
    <w:uiPriority w:val="39"/>
    <w:unhideWhenUsed/>
    <w:rsid w:val="00E235A5"/>
    <w:pPr>
      <w:spacing w:after="100"/>
      <w:ind w:left="240"/>
    </w:pPr>
  </w:style>
  <w:style w:type="paragraph" w:styleId="Header">
    <w:name w:val="header"/>
    <w:basedOn w:val="Normal"/>
    <w:link w:val="HeaderChar"/>
    <w:uiPriority w:val="99"/>
    <w:unhideWhenUsed/>
    <w:rsid w:val="00B5321F"/>
    <w:pPr>
      <w:tabs>
        <w:tab w:val="center" w:pos="4680"/>
        <w:tab w:val="right" w:pos="9360"/>
      </w:tabs>
    </w:pPr>
  </w:style>
  <w:style w:type="character" w:customStyle="1" w:styleId="HeaderChar">
    <w:name w:val="Header Char"/>
    <w:basedOn w:val="DefaultParagraphFont"/>
    <w:link w:val="Header"/>
    <w:uiPriority w:val="99"/>
    <w:rsid w:val="00B5321F"/>
  </w:style>
  <w:style w:type="paragraph" w:styleId="Footer">
    <w:name w:val="footer"/>
    <w:basedOn w:val="Normal"/>
    <w:link w:val="FooterChar"/>
    <w:uiPriority w:val="99"/>
    <w:unhideWhenUsed/>
    <w:rsid w:val="00B5321F"/>
    <w:pPr>
      <w:tabs>
        <w:tab w:val="center" w:pos="4680"/>
        <w:tab w:val="right" w:pos="9360"/>
      </w:tabs>
    </w:pPr>
  </w:style>
  <w:style w:type="character" w:customStyle="1" w:styleId="FooterChar">
    <w:name w:val="Footer Char"/>
    <w:basedOn w:val="DefaultParagraphFont"/>
    <w:link w:val="Footer"/>
    <w:uiPriority w:val="99"/>
    <w:rsid w:val="00B5321F"/>
  </w:style>
  <w:style w:type="table" w:styleId="TableGrid">
    <w:name w:val="Table Grid"/>
    <w:basedOn w:val="TableNormal"/>
    <w:uiPriority w:val="39"/>
    <w:rsid w:val="001226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2A1010"/>
    <w:pPr>
      <w:spacing w:before="100" w:beforeAutospacing="1" w:after="100" w:afterAutospacing="1"/>
    </w:pPr>
  </w:style>
  <w:style w:type="character" w:styleId="Emphasis">
    <w:name w:val="Emphasis"/>
    <w:basedOn w:val="DefaultParagraphFont"/>
    <w:uiPriority w:val="20"/>
    <w:qFormat/>
    <w:rsid w:val="002A1010"/>
    <w:rPr>
      <w:i/>
      <w:iCs/>
    </w:rPr>
  </w:style>
  <w:style w:type="paragraph" w:styleId="TOC3">
    <w:name w:val="toc 3"/>
    <w:basedOn w:val="Normal"/>
    <w:next w:val="Normal"/>
    <w:autoRedefine/>
    <w:uiPriority w:val="39"/>
    <w:unhideWhenUsed/>
    <w:rsid w:val="00016E0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BD660-E0E4-4A78-95D8-158A8DBD1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11</Pages>
  <Words>2950</Words>
  <Characters>16816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69</cp:revision>
  <dcterms:created xsi:type="dcterms:W3CDTF">2026-04-16T10:25:00Z</dcterms:created>
  <dcterms:modified xsi:type="dcterms:W3CDTF">2026-05-13T09:40:00Z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a22e0f9f-e766-4a6c-b01f-13b18cfef5e4</vt:lpwstr>
  </property>
</Properties>
</file>