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2EF74" w14:textId="77777777" w:rsidR="003E18A4" w:rsidRPr="004F3A92" w:rsidRDefault="00000000" w:rsidP="001B7817">
      <w:pPr>
        <w:pStyle w:val="Heading1"/>
        <w:spacing w:before="120" w:after="120" w:line="360" w:lineRule="auto"/>
        <w:rPr>
          <w:color w:val="000000" w:themeColor="text1"/>
        </w:rPr>
      </w:pPr>
      <w:r w:rsidRPr="004F3A92">
        <w:rPr>
          <w:color w:val="000000" w:themeColor="text1"/>
        </w:rPr>
        <w:t>CHAPTER THREE</w:t>
      </w:r>
    </w:p>
    <w:p w14:paraId="56D91D5D" w14:textId="77777777" w:rsidR="003E18A4" w:rsidRPr="004F3A92" w:rsidRDefault="00000000" w:rsidP="001B7817">
      <w:pPr>
        <w:pStyle w:val="Heading1"/>
        <w:spacing w:before="120" w:after="120" w:line="360" w:lineRule="auto"/>
        <w:rPr>
          <w:color w:val="000000" w:themeColor="text1"/>
        </w:rPr>
      </w:pPr>
      <w:r w:rsidRPr="004F3A92">
        <w:rPr>
          <w:color w:val="000000" w:themeColor="text1"/>
        </w:rPr>
        <w:t>RESEARCH METHODOLOGY</w:t>
      </w:r>
    </w:p>
    <w:p w14:paraId="62486C06" w14:textId="4B4B6D0C" w:rsidR="003E18A4" w:rsidRPr="004F3A92" w:rsidRDefault="00937312" w:rsidP="001B7817">
      <w:pPr>
        <w:pStyle w:val="Heading2"/>
        <w:numPr>
          <w:ilvl w:val="1"/>
          <w:numId w:val="3"/>
        </w:numPr>
        <w:spacing w:before="120" w:line="360" w:lineRule="auto"/>
        <w:rPr>
          <w:color w:val="000000" w:themeColor="text1"/>
        </w:rPr>
      </w:pPr>
      <w:r w:rsidRPr="004F3A92">
        <w:rPr>
          <w:color w:val="000000" w:themeColor="text1"/>
        </w:rPr>
        <w:tab/>
      </w:r>
      <w:r w:rsidR="00000000" w:rsidRPr="004F3A92">
        <w:rPr>
          <w:color w:val="000000" w:themeColor="text1"/>
        </w:rPr>
        <w:t>Introduction</w:t>
      </w:r>
    </w:p>
    <w:p w14:paraId="6791CD43" w14:textId="77777777" w:rsidR="00CF1EA0" w:rsidRPr="004F3A92" w:rsidRDefault="00CF1EA0" w:rsidP="001B7817">
      <w:pPr>
        <w:spacing w:before="120" w:after="120" w:line="360" w:lineRule="auto"/>
        <w:jc w:val="both"/>
        <w:rPr>
          <w:color w:val="000000" w:themeColor="text1"/>
        </w:rPr>
      </w:pPr>
      <w:r w:rsidRPr="004F3A92">
        <w:rPr>
          <w:color w:val="000000" w:themeColor="text1"/>
        </w:rPr>
        <w:t>An intellectual role is assigned to a methodology chapter. Its aim is not to list the procedures but to show that the assertions of the study have been sought in a disciplined and consistent sequence of decisions whereby the questions under inquiry, the strategies to be used, and the type of evidence to be sought are all truly consistent. This chapter outlines and justifies the methodological choices, by which this research undertakes an inquiry into educational leadership practice in the application of inclusive education with neuro-diverse learners in public secondary education in Lagos State, Nigeria. The research questions formulated in Chapter One are related to the following issues: how school leaders make sense of inclusive education of neuro-diverse learners, how they assist teachers in enacting inclusion, which structural and policy factors limit implementation, and how teachers perceive the leadership they get. These are meaning, interpretation, and institutional context questions, not distributional measurements, and that difference has direct methodological implications.</w:t>
      </w:r>
    </w:p>
    <w:p w14:paraId="5F7C7CCC" w14:textId="77777777" w:rsidR="00CF1EA0" w:rsidRPr="004F3A92" w:rsidRDefault="00CF1EA0" w:rsidP="001B7817">
      <w:pPr>
        <w:spacing w:before="120" w:after="120" w:line="360" w:lineRule="auto"/>
        <w:jc w:val="both"/>
        <w:rPr>
          <w:color w:val="000000" w:themeColor="text1"/>
        </w:rPr>
      </w:pPr>
      <w:r w:rsidRPr="004F3A92">
        <w:rPr>
          <w:color w:val="000000" w:themeColor="text1"/>
        </w:rPr>
        <w:t xml:space="preserve">Creswell and Poth (2018) suggest that the subjective meaning of the phenomenon that the participants place on it, and contextual influences on what is real and knowable in a way that cannot be sufficiently defined using a standardised instrument, make qualitative inquiry the most intellectually justifiable choice. Both are applicable in this case. In the Lagos State public secondary schools, where neurodiversity is not an officially </w:t>
      </w:r>
      <w:proofErr w:type="spellStart"/>
      <w:r w:rsidRPr="004F3A92">
        <w:rPr>
          <w:color w:val="000000" w:themeColor="text1"/>
        </w:rPr>
        <w:t>recognised</w:t>
      </w:r>
      <w:proofErr w:type="spellEnd"/>
      <w:r w:rsidRPr="004F3A92">
        <w:rPr>
          <w:color w:val="000000" w:themeColor="text1"/>
        </w:rPr>
        <w:t xml:space="preserve"> category, and where definitions of inclusive education as school leaders define them have never been subject to systematic analysis, the avenues to those definitions must be approached through interpretive, but not numeric means.</w:t>
      </w:r>
    </w:p>
    <w:p w14:paraId="3A120D77" w14:textId="45CC88CF" w:rsidR="003E18A4" w:rsidRPr="004F3A92" w:rsidRDefault="00CF1EA0" w:rsidP="001B7817">
      <w:pPr>
        <w:spacing w:before="120" w:after="120" w:line="360" w:lineRule="auto"/>
        <w:jc w:val="both"/>
        <w:rPr>
          <w:color w:val="000000" w:themeColor="text1"/>
        </w:rPr>
      </w:pPr>
      <w:r w:rsidRPr="004F3A92">
        <w:rPr>
          <w:color w:val="000000" w:themeColor="text1"/>
        </w:rPr>
        <w:t xml:space="preserve">The chapter is organized in accordance with the layers of the research onion of Saunders, Lewis and Thornhill (2019), moving up to the philosophical assumption, the reasoning approach, the research strategy, the time horizon, the sampling logic, the data collection instrument, the analytical procedure, and the quality and ethical protection. Each layer has at least one plausible alternative that is defended against and all decisions are linked directly to the research problem, the variables of the study, objectives and the contextual conditions of Lagos State. There is no </w:t>
      </w:r>
      <w:r w:rsidRPr="004F3A92">
        <w:rPr>
          <w:color w:val="000000" w:themeColor="text1"/>
        </w:rPr>
        <w:lastRenderedPageBreak/>
        <w:t>assumed self-evidence of any methodological choice here. Both are the results of judged opinion, which is brought to the fore.</w:t>
      </w:r>
    </w:p>
    <w:p w14:paraId="619B5569" w14:textId="39D49A4E" w:rsidR="003E18A4" w:rsidRPr="004F3A92" w:rsidRDefault="00937312" w:rsidP="001B7817">
      <w:pPr>
        <w:pStyle w:val="Heading2"/>
        <w:numPr>
          <w:ilvl w:val="1"/>
          <w:numId w:val="3"/>
        </w:numPr>
        <w:spacing w:before="120" w:line="360" w:lineRule="auto"/>
        <w:rPr>
          <w:color w:val="000000" w:themeColor="text1"/>
        </w:rPr>
      </w:pPr>
      <w:r w:rsidRPr="004F3A92">
        <w:rPr>
          <w:color w:val="000000" w:themeColor="text1"/>
        </w:rPr>
        <w:tab/>
      </w:r>
      <w:r w:rsidR="00000000" w:rsidRPr="004F3A92">
        <w:rPr>
          <w:color w:val="000000" w:themeColor="text1"/>
        </w:rPr>
        <w:t>Research Design Framework: The Research Onion</w:t>
      </w:r>
    </w:p>
    <w:p w14:paraId="1F288C6A" w14:textId="49A15DE1" w:rsidR="003E18A4" w:rsidRPr="004F3A92" w:rsidRDefault="00CF1EA0" w:rsidP="001B7817">
      <w:pPr>
        <w:spacing w:before="120" w:after="120" w:line="360" w:lineRule="auto"/>
        <w:jc w:val="both"/>
        <w:rPr>
          <w:color w:val="000000" w:themeColor="text1"/>
        </w:rPr>
      </w:pPr>
      <w:r w:rsidRPr="004F3A92">
        <w:rPr>
          <w:color w:val="000000" w:themeColor="text1"/>
        </w:rPr>
        <w:t xml:space="preserve">The research onion was created by Saunders, Lewis and Thornhill (2019) as a conceptual framework to </w:t>
      </w:r>
      <w:proofErr w:type="spellStart"/>
      <w:r w:rsidRPr="004F3A92">
        <w:rPr>
          <w:color w:val="000000" w:themeColor="text1"/>
        </w:rPr>
        <w:t>organise</w:t>
      </w:r>
      <w:proofErr w:type="spellEnd"/>
      <w:r w:rsidRPr="004F3A92">
        <w:rPr>
          <w:color w:val="000000" w:themeColor="text1"/>
        </w:rPr>
        <w:t xml:space="preserve"> the layered choices that make up the methodological architecture of a study. It is analytically valuable in the structural sense, in that it brings into view the dependency relations of philosophy commitments on technical decisions, so that the decisions made at the outer layers regulate what are coherent at the inner layers. This study considers the six layers which include philosophy, approach, methodological choice, strategy, time horizon and data collection techniques as points of actual decision-making and does not use them as a classification to be labeled and put aside. Collis and Hussey (2021) warn that the model is methodologically counterintuitive once condensed to a labelling exercise; </w:t>
      </w:r>
      <w:proofErr w:type="spellStart"/>
      <w:r w:rsidRPr="004F3A92">
        <w:rPr>
          <w:color w:val="000000" w:themeColor="text1"/>
        </w:rPr>
        <w:t>its</w:t>
      </w:r>
      <w:proofErr w:type="spellEnd"/>
      <w:r w:rsidRPr="004F3A92">
        <w:rPr>
          <w:color w:val="000000" w:themeColor="text1"/>
        </w:rPr>
        <w:t xml:space="preserve"> worth is in the line of reasoning used in each layer and not its naming. Cohen, Manion and Morrison (2018) support this point by pointing out that the extent to which every decision sets the stage to the next is evidence of the quality of methodological coherence in a study, which this chapter takes seriously at each step. The research onion in the current study is used as a structuring device to present a reasoned argument as to why this study of educational leadership and inclusive education in Lagos State public secondary schools is structured the way it is, as opposed to how it would otherwise have been.</w:t>
      </w:r>
    </w:p>
    <w:p w14:paraId="719F8E3B" w14:textId="314DE93B" w:rsidR="003E18A4" w:rsidRPr="004F3A92" w:rsidRDefault="00937312" w:rsidP="001B7817">
      <w:pPr>
        <w:pStyle w:val="Heading2"/>
        <w:numPr>
          <w:ilvl w:val="1"/>
          <w:numId w:val="3"/>
        </w:numPr>
        <w:spacing w:before="120" w:line="360" w:lineRule="auto"/>
        <w:rPr>
          <w:color w:val="000000" w:themeColor="text1"/>
        </w:rPr>
      </w:pPr>
      <w:r w:rsidRPr="004F3A92">
        <w:rPr>
          <w:color w:val="000000" w:themeColor="text1"/>
        </w:rPr>
        <w:tab/>
      </w:r>
      <w:r w:rsidR="00000000" w:rsidRPr="004F3A92">
        <w:rPr>
          <w:color w:val="000000" w:themeColor="text1"/>
        </w:rPr>
        <w:t>Research Philosophy</w:t>
      </w:r>
    </w:p>
    <w:p w14:paraId="7A8F52C4" w14:textId="77777777" w:rsidR="00CF1EA0" w:rsidRPr="004F3A92" w:rsidRDefault="00CF1EA0" w:rsidP="001B7817">
      <w:pPr>
        <w:spacing w:before="120" w:after="120" w:line="360" w:lineRule="auto"/>
        <w:jc w:val="both"/>
        <w:rPr>
          <w:color w:val="000000" w:themeColor="text1"/>
        </w:rPr>
      </w:pPr>
      <w:r w:rsidRPr="004F3A92">
        <w:rPr>
          <w:color w:val="000000" w:themeColor="text1"/>
        </w:rPr>
        <w:t xml:space="preserve">In all studies, there are assumptions of the character of social reality, and of the meaning of knowing something about it. Those assumptions are named research philosophy and elicit their implications on design. Scotland (2012) insists that research findings that do not place themselves within a clear philosophical position cannot be properly assessed since a measurement of adequacy has never been determined. This current debate will look at four of these </w:t>
      </w:r>
      <w:proofErr w:type="gramStart"/>
      <w:r w:rsidRPr="004F3A92">
        <w:rPr>
          <w:color w:val="000000" w:themeColor="text1"/>
        </w:rPr>
        <w:t>standpoints</w:t>
      </w:r>
      <w:proofErr w:type="gramEnd"/>
      <w:r w:rsidRPr="004F3A92">
        <w:rPr>
          <w:color w:val="000000" w:themeColor="text1"/>
        </w:rPr>
        <w:t xml:space="preserve"> positivism, interpretivism, critical realism, and pragmatism, and then explain why the philosophy chosen in this paper is appropriate and why the most reasonable alternative is also unacceptable.</w:t>
      </w:r>
    </w:p>
    <w:p w14:paraId="67671FAA" w14:textId="77777777" w:rsidR="00CF1EA0" w:rsidRPr="004F3A92" w:rsidRDefault="00CF1EA0" w:rsidP="001B7817">
      <w:pPr>
        <w:spacing w:before="120" w:after="120" w:line="360" w:lineRule="auto"/>
        <w:jc w:val="both"/>
        <w:rPr>
          <w:color w:val="000000" w:themeColor="text1"/>
        </w:rPr>
      </w:pPr>
      <w:r w:rsidRPr="004F3A92">
        <w:rPr>
          <w:color w:val="000000" w:themeColor="text1"/>
        </w:rPr>
        <w:t xml:space="preserve">Positivism is based on the principle that social reality is independent of the viewer and can be learned based on systematic observation and measurement (Bryman 2016). Its epistemic allegiance lies with objectivity: the researcher is a disinterested data-gathering device, and learning is </w:t>
      </w:r>
      <w:r w:rsidRPr="004F3A92">
        <w:rPr>
          <w:color w:val="000000" w:themeColor="text1"/>
        </w:rPr>
        <w:lastRenderedPageBreak/>
        <w:t xml:space="preserve">achieved by the systematic identification of patterns and testing propositions with empirical data in a statistical fashion. Positivist designs generate </w:t>
      </w:r>
      <w:proofErr w:type="spellStart"/>
      <w:r w:rsidRPr="004F3A92">
        <w:rPr>
          <w:color w:val="000000" w:themeColor="text1"/>
        </w:rPr>
        <w:t>generalisable</w:t>
      </w:r>
      <w:proofErr w:type="spellEnd"/>
      <w:r w:rsidRPr="004F3A92">
        <w:rPr>
          <w:color w:val="000000" w:themeColor="text1"/>
        </w:rPr>
        <w:t xml:space="preserve">, repeatable results that have known confidence levels - true advantages to research problems that are defined by quantifiable outcomes and spread out in large groups. In this case, however, positivism is analytically inappropriate to the current study. The main phenomena being examined - </w:t>
      </w:r>
      <w:proofErr w:type="spellStart"/>
      <w:r w:rsidRPr="004F3A92">
        <w:rPr>
          <w:color w:val="000000" w:themeColor="text1"/>
        </w:rPr>
        <w:t>conceptualisation</w:t>
      </w:r>
      <w:proofErr w:type="spellEnd"/>
      <w:r w:rsidRPr="004F3A92">
        <w:rPr>
          <w:color w:val="000000" w:themeColor="text1"/>
        </w:rPr>
        <w:t xml:space="preserve"> of inclusive education by school leaders in the context of neuro-diverse learners, experience of leadership support by teachers in a school environment where neuro-diverse learners are seldom formally diagnosed are constitutively meaning-laden. The response of a scaled questionnaire cannot possibly give the actual meaning of what a principal knows of inclusive education; it can only rank in terms of how the principal is responding to the prior conception of the researcher of what inclusive education is. The variable would not be </w:t>
      </w:r>
      <w:proofErr w:type="spellStart"/>
      <w:r w:rsidRPr="004F3A92">
        <w:rPr>
          <w:color w:val="000000" w:themeColor="text1"/>
        </w:rPr>
        <w:t>operationalised</w:t>
      </w:r>
      <w:proofErr w:type="spellEnd"/>
      <w:r w:rsidRPr="004F3A92">
        <w:rPr>
          <w:color w:val="000000" w:themeColor="text1"/>
        </w:rPr>
        <w:t xml:space="preserve"> by that substitution. It would substitute the research question with a smaller, narrower question. Positivism is thus dismissed.</w:t>
      </w:r>
    </w:p>
    <w:p w14:paraId="7A369D56" w14:textId="77777777" w:rsidR="00CF1EA0" w:rsidRPr="004F3A92" w:rsidRDefault="00CF1EA0" w:rsidP="001B7817">
      <w:pPr>
        <w:spacing w:before="120" w:after="120" w:line="360" w:lineRule="auto"/>
        <w:jc w:val="both"/>
        <w:rPr>
          <w:color w:val="000000" w:themeColor="text1"/>
        </w:rPr>
      </w:pPr>
      <w:r w:rsidRPr="004F3A92">
        <w:rPr>
          <w:color w:val="000000" w:themeColor="text1"/>
        </w:rPr>
        <w:t xml:space="preserve">Critical realism, which is primarily connected with Bhaskar (1998) and applied to qualitative social research by Fletcher (2017), differentiates underlying causal mechanisms, the events that they produce, and the empirical domain of direct observation. It acknowledges that social structures are causally real but requires that their impacts are context-dependent and mediated through interpretations. There is real analytical relevance here - structural constraints that act upon the leaders of the Lagos State schools (poor training of specialists, lack of resources, no diagnostic route) are real in the </w:t>
      </w:r>
      <w:proofErr w:type="spellStart"/>
      <w:r w:rsidRPr="004F3A92">
        <w:rPr>
          <w:color w:val="000000" w:themeColor="text1"/>
        </w:rPr>
        <w:t>Bhaskarian</w:t>
      </w:r>
      <w:proofErr w:type="spellEnd"/>
      <w:r w:rsidRPr="004F3A92">
        <w:rPr>
          <w:color w:val="000000" w:themeColor="text1"/>
        </w:rPr>
        <w:t xml:space="preserve"> sense, with effects independent of whether people who are subjected to them are in a position to fully explain the mechanisms at work. The weakness, which is unique to the objectives of this study, is that critical realism focuses the question of establishing mechanism, as opposed to lived experience and meaning-making. The paper is less focused on mapping structural causation than on comprehending how leaders and teachers make sense out of their own situation, and how they negotiate the institutional requirements of their situation. The interpretation task is the main task; the tracking of the mechanism is the secondary task.</w:t>
      </w:r>
    </w:p>
    <w:p w14:paraId="1C3EF19E" w14:textId="77777777" w:rsidR="00CF1EA0" w:rsidRPr="004F3A92" w:rsidRDefault="00CF1EA0" w:rsidP="001B7817">
      <w:pPr>
        <w:spacing w:before="120" w:after="120" w:line="360" w:lineRule="auto"/>
        <w:jc w:val="both"/>
        <w:rPr>
          <w:color w:val="000000" w:themeColor="text1"/>
        </w:rPr>
      </w:pPr>
      <w:r w:rsidRPr="004F3A92">
        <w:rPr>
          <w:color w:val="000000" w:themeColor="text1"/>
        </w:rPr>
        <w:t>Pragmatism, attributed to Dewey (1938) and further explained methodologically by Morgan (2014) is the philosophical approach that philosophical positioning must be based on its usefulness and not ontological belief. It has been flexible to spawn productive mixed-methods traditions. In this work, though, the philosophical agnosticism of pragmatism is a drawback and not a virtue. The research questions involve a principled adherence to a certain mode of knowing - not a collection of alternatives put together by expedient expediency.</w:t>
      </w:r>
    </w:p>
    <w:p w14:paraId="3CDA633C" w14:textId="35C7FA2A" w:rsidR="003E18A4" w:rsidRPr="004F3A92" w:rsidRDefault="00CF1EA0" w:rsidP="001B7817">
      <w:pPr>
        <w:spacing w:before="120" w:after="120" w:line="360" w:lineRule="auto"/>
        <w:jc w:val="both"/>
        <w:rPr>
          <w:color w:val="000000" w:themeColor="text1"/>
        </w:rPr>
      </w:pPr>
      <w:r w:rsidRPr="004F3A92">
        <w:rPr>
          <w:color w:val="000000" w:themeColor="text1"/>
        </w:rPr>
        <w:lastRenderedPageBreak/>
        <w:t>The standpoint, which is interpretivism, is that social reality is not presented but is the product of meanings that participants place on their experiences, relationships, and institutional settings (Creswell and Poth 2018). It has a constructivist ontology (social reality is multiple and contextually produced), a subjectivist epistemology (where the interpretive interaction of the researcher with the participant accounts is the process of knowing) and a methodological blind spot (the epistemology) that is deemed a confound, and thus to be managed, by the researcher. It is not a defaulting position. It is a philosophically proper decision in the context of the study whose key questions are related to meaning and experience. The meanings participants construct around inclusion are not peripheral context in the Lagos state government secondary schools in which neurodiversity is not formally defined in institutions, in which principals have never undergone any specialist training about neuro-diverse learners, and in which teachers regularly have classes of fifty or more pupils without the support of any specialist. According to Merriam and Tisdell (2016), interpretivist inquiry is analytically best justified when a phenomenon is contextually and meaning contested or unresolved, and when the research problem cannot otherwise be satisfactorily addressed through direct access to the subjective frameworks of participants. Here all three conditions are met. The resulting body of knowledge will be contextually based, perspectival and limited to the three case schools and fifteen participants by which it is produced. It is no apology. This study is aimed to generate the right kind of scope condition.</w:t>
      </w:r>
    </w:p>
    <w:p w14:paraId="211DBB75" w14:textId="3F06BE5A" w:rsidR="003E18A4" w:rsidRPr="004F3A92" w:rsidRDefault="00937312" w:rsidP="001B7817">
      <w:pPr>
        <w:pStyle w:val="Heading2"/>
        <w:numPr>
          <w:ilvl w:val="1"/>
          <w:numId w:val="3"/>
        </w:numPr>
        <w:spacing w:before="120" w:line="360" w:lineRule="auto"/>
        <w:rPr>
          <w:color w:val="000000" w:themeColor="text1"/>
        </w:rPr>
      </w:pPr>
      <w:r w:rsidRPr="004F3A92">
        <w:rPr>
          <w:color w:val="000000" w:themeColor="text1"/>
        </w:rPr>
        <w:tab/>
      </w:r>
      <w:r w:rsidR="00000000" w:rsidRPr="004F3A92">
        <w:rPr>
          <w:color w:val="000000" w:themeColor="text1"/>
        </w:rPr>
        <w:t>Research Approach</w:t>
      </w:r>
    </w:p>
    <w:p w14:paraId="2845601B" w14:textId="77777777" w:rsidR="00CF1EA0" w:rsidRPr="004F3A92" w:rsidRDefault="00CF1EA0" w:rsidP="001B7817">
      <w:pPr>
        <w:spacing w:before="120" w:after="120" w:line="360" w:lineRule="auto"/>
        <w:jc w:val="both"/>
        <w:rPr>
          <w:color w:val="000000" w:themeColor="text1"/>
        </w:rPr>
      </w:pPr>
      <w:r w:rsidRPr="004F3A92">
        <w:rPr>
          <w:color w:val="000000" w:themeColor="text1"/>
        </w:rPr>
        <w:t xml:space="preserve">Research approach deals with the manner in which </w:t>
      </w:r>
      <w:proofErr w:type="gramStart"/>
      <w:r w:rsidRPr="004F3A92">
        <w:rPr>
          <w:color w:val="000000" w:themeColor="text1"/>
        </w:rPr>
        <w:t>a research</w:t>
      </w:r>
      <w:proofErr w:type="gramEnd"/>
      <w:r w:rsidRPr="004F3A92">
        <w:rPr>
          <w:color w:val="000000" w:themeColor="text1"/>
        </w:rPr>
        <w:t xml:space="preserve"> travels between the existing theory and evidence. In methodological scholarship, three ways of thinking have been distinguished: deductive, inductive and abductive. Both of them suggest a varying relationship between theory and data, and logic of inference (Bryman 2016).</w:t>
      </w:r>
    </w:p>
    <w:p w14:paraId="0884AEF3" w14:textId="77777777" w:rsidR="00CF1EA0" w:rsidRPr="004F3A92" w:rsidRDefault="00CF1EA0" w:rsidP="001B7817">
      <w:pPr>
        <w:spacing w:before="120" w:after="120" w:line="360" w:lineRule="auto"/>
        <w:jc w:val="both"/>
        <w:rPr>
          <w:color w:val="000000" w:themeColor="text1"/>
        </w:rPr>
      </w:pPr>
      <w:r w:rsidRPr="004F3A92">
        <w:rPr>
          <w:color w:val="000000" w:themeColor="text1"/>
        </w:rPr>
        <w:t>Deductive method starts with theory and verifies it with data. The hypotheses, which are represented by pre-specified hypotheses based on the existing frameworks, are tested against the empirical evidence to prove or reject them. Deductive designs can best be used when the phenomenon is well-</w:t>
      </w:r>
      <w:proofErr w:type="spellStart"/>
      <w:r w:rsidRPr="004F3A92">
        <w:rPr>
          <w:color w:val="000000" w:themeColor="text1"/>
        </w:rPr>
        <w:t>theorised</w:t>
      </w:r>
      <w:proofErr w:type="spellEnd"/>
      <w:r w:rsidRPr="004F3A92">
        <w:rPr>
          <w:color w:val="000000" w:themeColor="text1"/>
        </w:rPr>
        <w:t xml:space="preserve">, when the variables can be </w:t>
      </w:r>
      <w:proofErr w:type="spellStart"/>
      <w:r w:rsidRPr="004F3A92">
        <w:rPr>
          <w:color w:val="000000" w:themeColor="text1"/>
        </w:rPr>
        <w:t>operationalised</w:t>
      </w:r>
      <w:proofErr w:type="spellEnd"/>
      <w:r w:rsidRPr="004F3A92">
        <w:rPr>
          <w:color w:val="000000" w:themeColor="text1"/>
        </w:rPr>
        <w:t xml:space="preserve"> precisely, and when the aim is hypothesis-testing in an established causal structure. This work cannot move in a deductive sense in any substantive sense. The theory of social justice leadership as the main framework developed in Chapter Two is an excellent conceptual guide, but its use in Lagos State public </w:t>
      </w:r>
      <w:r w:rsidRPr="004F3A92">
        <w:rPr>
          <w:color w:val="000000" w:themeColor="text1"/>
        </w:rPr>
        <w:lastRenderedPageBreak/>
        <w:t>secondary schools where the main assumptions related to the institutional context and diagnostic infrastructure are unlikely to be valid is not an easy test. The information has to interrogate the theory, not just ratify it.</w:t>
      </w:r>
    </w:p>
    <w:p w14:paraId="65384A29" w14:textId="77777777" w:rsidR="00CF1EA0" w:rsidRPr="004F3A92" w:rsidRDefault="00CF1EA0" w:rsidP="001B7817">
      <w:pPr>
        <w:spacing w:before="120" w:after="120" w:line="360" w:lineRule="auto"/>
        <w:jc w:val="both"/>
        <w:rPr>
          <w:color w:val="000000" w:themeColor="text1"/>
        </w:rPr>
      </w:pPr>
      <w:r w:rsidRPr="004F3A92">
        <w:rPr>
          <w:color w:val="000000" w:themeColor="text1"/>
        </w:rPr>
        <w:t xml:space="preserve">Induction that is pure is also not appropriate. </w:t>
      </w:r>
      <w:proofErr w:type="gramStart"/>
      <w:r w:rsidRPr="004F3A92">
        <w:rPr>
          <w:color w:val="000000" w:themeColor="text1"/>
        </w:rPr>
        <w:t>A</w:t>
      </w:r>
      <w:proofErr w:type="gramEnd"/>
      <w:r w:rsidRPr="004F3A92">
        <w:rPr>
          <w:color w:val="000000" w:themeColor="text1"/>
        </w:rPr>
        <w:t xml:space="preserve"> inductive approach is a starting point with data and derives theory bottom up, without prior frameworks. Chapter Two, though, has already built a significant theoretical base- social justice, distributed, and transformational leadership models give an interpretive discipline to the questions posed, the gaps uncovered, and the analysis expectations imposed on the data. It would be intellectually dishonest to continue as though that foundation was not in existence and would be abandoning the </w:t>
      </w:r>
      <w:proofErr w:type="spellStart"/>
      <w:r w:rsidRPr="004F3A92">
        <w:rPr>
          <w:color w:val="000000" w:themeColor="text1"/>
        </w:rPr>
        <w:t>contextualising</w:t>
      </w:r>
      <w:proofErr w:type="spellEnd"/>
      <w:r w:rsidRPr="004F3A92">
        <w:rPr>
          <w:color w:val="000000" w:themeColor="text1"/>
        </w:rPr>
        <w:t xml:space="preserve"> work which the literature review has accomplished.</w:t>
      </w:r>
    </w:p>
    <w:p w14:paraId="74D6384E" w14:textId="3B81F557" w:rsidR="003E18A4" w:rsidRPr="004F3A92" w:rsidRDefault="00CF1EA0" w:rsidP="001B7817">
      <w:pPr>
        <w:spacing w:before="120" w:after="120" w:line="360" w:lineRule="auto"/>
        <w:jc w:val="both"/>
        <w:rPr>
          <w:color w:val="000000" w:themeColor="text1"/>
        </w:rPr>
      </w:pPr>
      <w:r w:rsidRPr="004F3A92">
        <w:rPr>
          <w:color w:val="000000" w:themeColor="text1"/>
        </w:rPr>
        <w:t>The methodology is thus abductive - a form of reasoning that switches back and forth between theories and data without testing a priori hypotheses or constructing theory out of a blank slate but building on and refining existing ideas in contextually specific inquiry. According to Thomas (2021), the abductive reasoning is identified as the most candid explanation of the process in which qualitative researchers operate: theory informs what is observed in data and data reform the theoretical anticipations that the researcher brings to the field. Similarly, Patton (2015) describes qualitative inquiry as a process whereby theory and data are engaged in a continuing conversation. Social justice leadership theory is the first interpretive lens used in this study. The information collected with school leaders and teachers at that time puts the applicability of that lens to the test - shedding light on where it works and where it falls short, as well as where new analytical terminology might be needed to explain what the Lagos State evidence tells us. That is the abductive method of inference, and it is the most justifiable to the goal and pattern of this query.</w:t>
      </w:r>
    </w:p>
    <w:p w14:paraId="593B0DEF" w14:textId="4EE24183" w:rsidR="003E18A4" w:rsidRPr="004F3A92" w:rsidRDefault="00937312" w:rsidP="001B7817">
      <w:pPr>
        <w:pStyle w:val="Heading2"/>
        <w:numPr>
          <w:ilvl w:val="1"/>
          <w:numId w:val="3"/>
        </w:numPr>
        <w:spacing w:before="120" w:line="360" w:lineRule="auto"/>
        <w:rPr>
          <w:color w:val="000000" w:themeColor="text1"/>
        </w:rPr>
      </w:pPr>
      <w:r w:rsidRPr="004F3A92">
        <w:rPr>
          <w:color w:val="000000" w:themeColor="text1"/>
        </w:rPr>
        <w:tab/>
      </w:r>
      <w:r w:rsidR="00000000" w:rsidRPr="004F3A92">
        <w:rPr>
          <w:color w:val="000000" w:themeColor="text1"/>
        </w:rPr>
        <w:t>Research Strategy and Methodological Design</w:t>
      </w:r>
    </w:p>
    <w:p w14:paraId="4DC9D1C5" w14:textId="77777777" w:rsidR="00CF1EA0" w:rsidRPr="004F3A92" w:rsidRDefault="00CF1EA0" w:rsidP="001B7817">
      <w:pPr>
        <w:spacing w:before="120" w:after="120" w:line="360" w:lineRule="auto"/>
        <w:jc w:val="both"/>
        <w:rPr>
          <w:color w:val="000000" w:themeColor="text1"/>
        </w:rPr>
      </w:pPr>
      <w:r w:rsidRPr="004F3A92">
        <w:rPr>
          <w:color w:val="000000" w:themeColor="text1"/>
        </w:rPr>
        <w:t xml:space="preserve">The method of research used in this study is a collective case study of three secondary schools, which are state-owned in Lagos State, Nigeria. According to Yin (2018), a case study is a thorough exploration of a modern phenomenon in its real-life environment, where the limits between the phenomenon and its environment are not as evident, and the researcher has little control over the events. Both circumstances are valid here. The phenomenon of inclusive leadership of neuro-diverse learners in Lagos State public secondary schools is inseparable in its institutional meaning to the context of a particular school and its resource environment, as well as to its leadership culture </w:t>
      </w:r>
      <w:r w:rsidRPr="004F3A92">
        <w:rPr>
          <w:color w:val="000000" w:themeColor="text1"/>
        </w:rPr>
        <w:lastRenderedPageBreak/>
        <w:t xml:space="preserve">and policy pressures on it. Stake (1995) differentiates between intrinsic case studies where the case itself is the focal point of interest and instrumental case studies where cases are used to shed light on a larger problem. This work is collective in the </w:t>
      </w:r>
      <w:proofErr w:type="spellStart"/>
      <w:r w:rsidRPr="004F3A92">
        <w:rPr>
          <w:color w:val="000000" w:themeColor="text1"/>
        </w:rPr>
        <w:t>Stakean</w:t>
      </w:r>
      <w:proofErr w:type="spellEnd"/>
      <w:r w:rsidRPr="004F3A92">
        <w:rPr>
          <w:color w:val="000000" w:themeColor="text1"/>
        </w:rPr>
        <w:t xml:space="preserve"> sense, namely, each of the three schools will be studied separately due to its institutional particularity, and the main purpose of its analysis is to compare the differences, in what way and in which circumstances educational leadership practices and inclusive education practice are more or less efficiently enabled.</w:t>
      </w:r>
    </w:p>
    <w:p w14:paraId="52813FE4" w14:textId="77777777" w:rsidR="00CF1EA0" w:rsidRPr="004F3A92" w:rsidRDefault="00CF1EA0" w:rsidP="001B7817">
      <w:pPr>
        <w:spacing w:before="120" w:after="120" w:line="360" w:lineRule="auto"/>
        <w:jc w:val="both"/>
        <w:rPr>
          <w:color w:val="000000" w:themeColor="text1"/>
        </w:rPr>
      </w:pPr>
      <w:r w:rsidRPr="004F3A92">
        <w:rPr>
          <w:color w:val="000000" w:themeColor="text1"/>
        </w:rPr>
        <w:t xml:space="preserve">The reasons why case study is better than alternatives have a substantive basis. Survey research might have sampled a greater number of school leaders in the Lagos State and generated descriptive information regarding self-reported attitudes or practices. What it could not have generated is the contextually specific, interpretively rich narrative of how leaders actually construct sense of their institutional location, negotiate policy ambiguity, and feel the pressures of inclusive education in an environment where the conceptual structures that frame the international literature are not institutionally constituted. Flyvbjerg (2011) claims that the case study generates the very type of contextual, specific knowledge that </w:t>
      </w:r>
      <w:proofErr w:type="spellStart"/>
      <w:r w:rsidRPr="004F3A92">
        <w:rPr>
          <w:color w:val="000000" w:themeColor="text1"/>
        </w:rPr>
        <w:t>can not</w:t>
      </w:r>
      <w:proofErr w:type="spellEnd"/>
      <w:r w:rsidRPr="004F3A92">
        <w:rPr>
          <w:color w:val="000000" w:themeColor="text1"/>
        </w:rPr>
        <w:t xml:space="preserve"> be generated by the large-sample </w:t>
      </w:r>
      <w:proofErr w:type="spellStart"/>
      <w:r w:rsidRPr="004F3A92">
        <w:rPr>
          <w:color w:val="000000" w:themeColor="text1"/>
        </w:rPr>
        <w:t>generalising</w:t>
      </w:r>
      <w:proofErr w:type="spellEnd"/>
      <w:r w:rsidRPr="004F3A92">
        <w:rPr>
          <w:color w:val="000000" w:themeColor="text1"/>
        </w:rPr>
        <w:t xml:space="preserve"> techniques - the knowledge that is irreplaceable in terms of creating theory in under-investigated contexts. The public secondary education of Lagos State is just such an environment. Moreover, even ethnographic designs, although capable of generating exceptionally rich institutional accounts, would necessitate long-term immersive presence on each school site over a long period, which is neither possible within the time frame of the research nor relative to the research questions to which that study was dedicated. The semi-structured interviews as the main method of research used in the case study design give the richness needed without the protracted researcher embeddedness that comes with ethnography.</w:t>
      </w:r>
    </w:p>
    <w:p w14:paraId="437CF90D" w14:textId="77777777" w:rsidR="00CF1EA0" w:rsidRPr="004F3A92" w:rsidRDefault="00CF1EA0" w:rsidP="001B7817">
      <w:pPr>
        <w:spacing w:before="120" w:after="120" w:line="360" w:lineRule="auto"/>
        <w:jc w:val="both"/>
        <w:rPr>
          <w:color w:val="000000" w:themeColor="text1"/>
        </w:rPr>
      </w:pPr>
      <w:r w:rsidRPr="004F3A92">
        <w:rPr>
          <w:color w:val="000000" w:themeColor="text1"/>
        </w:rPr>
        <w:t xml:space="preserve">The qualitative approach is adopted in the methodology. According to Merriam and Tisdell (2016), qualitative research is characterized by inquiry with a meaning, understanding, and the interpretive processes involved in the construction of social realities by participants of the study a description that perfectly aligns with the objectives of the present study. There is no quantitative strand used. The proposed mixed-method design involving a survey data and qualitative interviews could, theoretically, create a broader picture of reported leadership </w:t>
      </w:r>
      <w:proofErr w:type="spellStart"/>
      <w:r w:rsidRPr="004F3A92">
        <w:rPr>
          <w:color w:val="000000" w:themeColor="text1"/>
        </w:rPr>
        <w:t>behaviours</w:t>
      </w:r>
      <w:proofErr w:type="spellEnd"/>
      <w:r w:rsidRPr="004F3A92">
        <w:rPr>
          <w:color w:val="000000" w:themeColor="text1"/>
        </w:rPr>
        <w:t xml:space="preserve"> in the Lagos state. The weakness of this study, in terms of its context, is that there are no validated survey tools to measure the inclusive leadership </w:t>
      </w:r>
      <w:proofErr w:type="spellStart"/>
      <w:r w:rsidRPr="004F3A92">
        <w:rPr>
          <w:color w:val="000000" w:themeColor="text1"/>
        </w:rPr>
        <w:t>behaviours</w:t>
      </w:r>
      <w:proofErr w:type="spellEnd"/>
      <w:r w:rsidRPr="004F3A92">
        <w:rPr>
          <w:color w:val="000000" w:themeColor="text1"/>
        </w:rPr>
        <w:t xml:space="preserve"> or neurodiversity awareness of Nigerian public secondary schools. The transfer of tools to a Western context would bring with it the conceptual assumptions </w:t>
      </w:r>
      <w:r w:rsidRPr="004F3A92">
        <w:rPr>
          <w:color w:val="000000" w:themeColor="text1"/>
        </w:rPr>
        <w:lastRenderedPageBreak/>
        <w:t xml:space="preserve">of such contexts, such as the assumption of common definitional frameworks of neurodiversity and the well-established SEN accountability models, which are not relevant in Lagos State. Spurious measurement accuracy is analytically inferior to </w:t>
      </w:r>
      <w:proofErr w:type="spellStart"/>
      <w:r w:rsidRPr="004F3A92">
        <w:rPr>
          <w:color w:val="000000" w:themeColor="text1"/>
        </w:rPr>
        <w:t>recognised</w:t>
      </w:r>
      <w:proofErr w:type="spellEnd"/>
      <w:r w:rsidRPr="004F3A92">
        <w:rPr>
          <w:color w:val="000000" w:themeColor="text1"/>
        </w:rPr>
        <w:t xml:space="preserve"> interpretive range. The qualitative design is thus not a concession occasioned by the resources; it is rather an epistemological commitment that is in line with the interpretivist philosophy and abductive approach as developed above.</w:t>
      </w:r>
    </w:p>
    <w:p w14:paraId="60BEB021" w14:textId="2C6B3ECA" w:rsidR="003E18A4" w:rsidRPr="004F3A92" w:rsidRDefault="00CF1EA0" w:rsidP="001B7817">
      <w:pPr>
        <w:spacing w:before="120" w:after="120" w:line="360" w:lineRule="auto"/>
        <w:jc w:val="both"/>
        <w:rPr>
          <w:color w:val="000000" w:themeColor="text1"/>
        </w:rPr>
      </w:pPr>
      <w:r w:rsidRPr="004F3A92">
        <w:rPr>
          <w:color w:val="000000" w:themeColor="text1"/>
        </w:rPr>
        <w:t xml:space="preserve">Semi-structured interviews are used to create primary data. There is no use of any secondary data in the empirical part. School principals, special educational needs coordinators where formally appointed and classroom teachers with sufficient institutional experience to talk substantively about the leadership </w:t>
      </w:r>
      <w:proofErr w:type="gramStart"/>
      <w:r w:rsidRPr="004F3A92">
        <w:rPr>
          <w:color w:val="000000" w:themeColor="text1"/>
        </w:rPr>
        <w:t>support</w:t>
      </w:r>
      <w:proofErr w:type="gramEnd"/>
      <w:r w:rsidRPr="004F3A92">
        <w:rPr>
          <w:color w:val="000000" w:themeColor="text1"/>
        </w:rPr>
        <w:t xml:space="preserve"> they have or have not received are participants across the three case schools. There are three schools that can be meaningfully compared across cross-sites: fewer would run the risk of analytical over-dependence on a single institutional setting, but more would push interpretive richness further than can be maintained within the time-span and analytical capacities of the study.</w:t>
      </w:r>
    </w:p>
    <w:p w14:paraId="0E77DD66" w14:textId="5ADE1009" w:rsidR="003E18A4" w:rsidRPr="004F3A92" w:rsidRDefault="00937312" w:rsidP="001B7817">
      <w:pPr>
        <w:pStyle w:val="Heading2"/>
        <w:numPr>
          <w:ilvl w:val="1"/>
          <w:numId w:val="3"/>
        </w:numPr>
        <w:spacing w:before="120" w:line="360" w:lineRule="auto"/>
        <w:rPr>
          <w:color w:val="000000" w:themeColor="text1"/>
        </w:rPr>
      </w:pPr>
      <w:r w:rsidRPr="004F3A92">
        <w:rPr>
          <w:color w:val="000000" w:themeColor="text1"/>
        </w:rPr>
        <w:tab/>
      </w:r>
      <w:r w:rsidR="00000000" w:rsidRPr="004F3A92">
        <w:rPr>
          <w:color w:val="000000" w:themeColor="text1"/>
        </w:rPr>
        <w:t>Time Horizon</w:t>
      </w:r>
    </w:p>
    <w:p w14:paraId="0EC27724" w14:textId="77777777" w:rsidR="00CF1EA0" w:rsidRPr="004F3A92" w:rsidRDefault="00CF1EA0" w:rsidP="001B7817">
      <w:pPr>
        <w:spacing w:before="120" w:after="120" w:line="360" w:lineRule="auto"/>
        <w:jc w:val="both"/>
        <w:rPr>
          <w:color w:val="000000" w:themeColor="text1"/>
        </w:rPr>
      </w:pPr>
      <w:r w:rsidRPr="004F3A92">
        <w:rPr>
          <w:color w:val="000000" w:themeColor="text1"/>
        </w:rPr>
        <w:t>Research time horizon is the time frame used to collect data. Saunders, Lewis and Thornhill (2019) differentiate between cross-sectional designs and longitudinal designs, where data are collected at one point in time and data are collected at a series of points respectively to capture the change over time. Longitudinal designs would be of special help to research studies that are interested in the evolution of institutional practices, policy alteration, or how attitudinal change may manifest across academic years. Instead, they are much more rigorous regarding their access to the researcher, commitment of participants, and the complexity of their analysis.</w:t>
      </w:r>
    </w:p>
    <w:p w14:paraId="59E7D958" w14:textId="5561580C" w:rsidR="003E18A4" w:rsidRPr="004F3A92" w:rsidRDefault="00CF1EA0" w:rsidP="001B7817">
      <w:pPr>
        <w:spacing w:before="120" w:after="120" w:line="360" w:lineRule="auto"/>
        <w:jc w:val="both"/>
        <w:rPr>
          <w:color w:val="000000" w:themeColor="text1"/>
        </w:rPr>
      </w:pPr>
      <w:r w:rsidRPr="004F3A92">
        <w:rPr>
          <w:color w:val="000000" w:themeColor="text1"/>
        </w:rPr>
        <w:t xml:space="preserve">The current research adopts a cross-sectional time span. The research questions are interpretive in nature as opposed to developmental: they seek how school leaders make sense of inclusive education of neuro-diverse learners, how they currently support teachers and how teachers currently feel about that support. They do not question how these phenomena have evolved over the years. A longitudinal study would have involved a commitment by the researcher to access to at least two academic terms - an access promise that would have posed considerable gatekeeping problems in the approval system at the Lagos State Ministry of Education, and which would have been impractical in the dissertation timeline. Bryman (2016) admits that cross-sectional design is </w:t>
      </w:r>
      <w:r w:rsidRPr="004F3A92">
        <w:rPr>
          <w:color w:val="000000" w:themeColor="text1"/>
        </w:rPr>
        <w:lastRenderedPageBreak/>
        <w:t>unable to show the developmental paths, yet he points out the clear fact that the limitation is irrelevant to the application of cross-sectional designs in cases when the purpose of the research is descriptive and interpretative, but not processual. This study is exactly descriptive and interpretive.</w:t>
      </w:r>
    </w:p>
    <w:p w14:paraId="2E89E195" w14:textId="77777777" w:rsidR="003E18A4" w:rsidRPr="004F3A92" w:rsidRDefault="00000000" w:rsidP="001B7817">
      <w:pPr>
        <w:spacing w:before="120" w:after="120" w:line="360" w:lineRule="auto"/>
        <w:jc w:val="center"/>
        <w:rPr>
          <w:color w:val="000000" w:themeColor="text1"/>
        </w:rPr>
      </w:pPr>
      <w:r w:rsidRPr="004F3A92">
        <w:rPr>
          <w:b/>
          <w:bCs/>
          <w:i/>
          <w:iCs/>
          <w:color w:val="000000" w:themeColor="text1"/>
          <w:sz w:val="22"/>
          <w:szCs w:val="22"/>
        </w:rPr>
        <w:t>Figure 1: 24-Week Project Gantt Chart — Educational Leadership Practices in Implementing Inclusive Education for Neuro-diverse Learners in Lagos State Public Secondary Schools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1011"/>
        <w:gridCol w:w="1011"/>
        <w:gridCol w:w="1121"/>
        <w:gridCol w:w="1231"/>
        <w:gridCol w:w="1231"/>
        <w:gridCol w:w="1231"/>
      </w:tblGrid>
      <w:tr w:rsidR="003E18A4" w:rsidRPr="004F3A92" w14:paraId="23EF48F1" w14:textId="77777777">
        <w:tc>
          <w:tcPr>
            <w:tcW w:w="0" w:type="auto"/>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7A9FD815" w14:textId="77777777" w:rsidR="003E18A4" w:rsidRPr="004F3A92" w:rsidRDefault="00000000" w:rsidP="001B7817">
            <w:pPr>
              <w:spacing w:before="120" w:after="120" w:line="360" w:lineRule="auto"/>
              <w:jc w:val="center"/>
              <w:rPr>
                <w:color w:val="000000" w:themeColor="text1"/>
              </w:rPr>
            </w:pPr>
            <w:r w:rsidRPr="004F3A92">
              <w:rPr>
                <w:b/>
                <w:bCs/>
                <w:color w:val="000000" w:themeColor="text1"/>
                <w:sz w:val="18"/>
                <w:szCs w:val="18"/>
              </w:rPr>
              <w:t>Phase</w:t>
            </w:r>
          </w:p>
        </w:tc>
        <w:tc>
          <w:tcPr>
            <w:tcW w:w="0" w:type="auto"/>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61319E5B" w14:textId="77777777" w:rsidR="003E18A4" w:rsidRPr="004F3A92" w:rsidRDefault="00000000" w:rsidP="001B7817">
            <w:pPr>
              <w:spacing w:before="120" w:after="120" w:line="360" w:lineRule="auto"/>
              <w:jc w:val="center"/>
              <w:rPr>
                <w:color w:val="000000" w:themeColor="text1"/>
              </w:rPr>
            </w:pPr>
            <w:proofErr w:type="spellStart"/>
            <w:r w:rsidRPr="004F3A92">
              <w:rPr>
                <w:b/>
                <w:bCs/>
                <w:color w:val="000000" w:themeColor="text1"/>
                <w:sz w:val="18"/>
                <w:szCs w:val="18"/>
              </w:rPr>
              <w:t>Wks</w:t>
            </w:r>
            <w:proofErr w:type="spellEnd"/>
            <w:r w:rsidRPr="004F3A92">
              <w:rPr>
                <w:b/>
                <w:bCs/>
                <w:color w:val="000000" w:themeColor="text1"/>
                <w:sz w:val="18"/>
                <w:szCs w:val="18"/>
              </w:rPr>
              <w:t xml:space="preserve"> 1–4</w:t>
            </w:r>
          </w:p>
        </w:tc>
        <w:tc>
          <w:tcPr>
            <w:tcW w:w="0" w:type="auto"/>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4794E54C" w14:textId="77777777" w:rsidR="003E18A4" w:rsidRPr="004F3A92" w:rsidRDefault="00000000" w:rsidP="001B7817">
            <w:pPr>
              <w:spacing w:before="120" w:after="120" w:line="360" w:lineRule="auto"/>
              <w:jc w:val="center"/>
              <w:rPr>
                <w:color w:val="000000" w:themeColor="text1"/>
              </w:rPr>
            </w:pPr>
            <w:proofErr w:type="spellStart"/>
            <w:r w:rsidRPr="004F3A92">
              <w:rPr>
                <w:b/>
                <w:bCs/>
                <w:color w:val="000000" w:themeColor="text1"/>
                <w:sz w:val="18"/>
                <w:szCs w:val="18"/>
              </w:rPr>
              <w:t>Wks</w:t>
            </w:r>
            <w:proofErr w:type="spellEnd"/>
            <w:r w:rsidRPr="004F3A92">
              <w:rPr>
                <w:b/>
                <w:bCs/>
                <w:color w:val="000000" w:themeColor="text1"/>
                <w:sz w:val="18"/>
                <w:szCs w:val="18"/>
              </w:rPr>
              <w:t xml:space="preserve"> 5–8</w:t>
            </w:r>
          </w:p>
        </w:tc>
        <w:tc>
          <w:tcPr>
            <w:tcW w:w="0" w:type="auto"/>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362D5F17" w14:textId="77777777" w:rsidR="003E18A4" w:rsidRPr="004F3A92" w:rsidRDefault="00000000" w:rsidP="001B7817">
            <w:pPr>
              <w:spacing w:before="120" w:after="120" w:line="360" w:lineRule="auto"/>
              <w:jc w:val="center"/>
              <w:rPr>
                <w:color w:val="000000" w:themeColor="text1"/>
              </w:rPr>
            </w:pPr>
            <w:proofErr w:type="spellStart"/>
            <w:r w:rsidRPr="004F3A92">
              <w:rPr>
                <w:b/>
                <w:bCs/>
                <w:color w:val="000000" w:themeColor="text1"/>
                <w:sz w:val="18"/>
                <w:szCs w:val="18"/>
              </w:rPr>
              <w:t>Wks</w:t>
            </w:r>
            <w:proofErr w:type="spellEnd"/>
            <w:r w:rsidRPr="004F3A92">
              <w:rPr>
                <w:b/>
                <w:bCs/>
                <w:color w:val="000000" w:themeColor="text1"/>
                <w:sz w:val="18"/>
                <w:szCs w:val="18"/>
              </w:rPr>
              <w:t xml:space="preserve"> 9–12</w:t>
            </w:r>
          </w:p>
        </w:tc>
        <w:tc>
          <w:tcPr>
            <w:tcW w:w="0" w:type="auto"/>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05A5BDF7" w14:textId="77777777" w:rsidR="003E18A4" w:rsidRPr="004F3A92" w:rsidRDefault="00000000" w:rsidP="001B7817">
            <w:pPr>
              <w:spacing w:before="120" w:after="120" w:line="360" w:lineRule="auto"/>
              <w:jc w:val="center"/>
              <w:rPr>
                <w:color w:val="000000" w:themeColor="text1"/>
              </w:rPr>
            </w:pPr>
            <w:proofErr w:type="spellStart"/>
            <w:r w:rsidRPr="004F3A92">
              <w:rPr>
                <w:b/>
                <w:bCs/>
                <w:color w:val="000000" w:themeColor="text1"/>
                <w:sz w:val="18"/>
                <w:szCs w:val="18"/>
              </w:rPr>
              <w:t>Wks</w:t>
            </w:r>
            <w:proofErr w:type="spellEnd"/>
            <w:r w:rsidRPr="004F3A92">
              <w:rPr>
                <w:b/>
                <w:bCs/>
                <w:color w:val="000000" w:themeColor="text1"/>
                <w:sz w:val="18"/>
                <w:szCs w:val="18"/>
              </w:rPr>
              <w:t xml:space="preserve"> 13–16</w:t>
            </w:r>
          </w:p>
        </w:tc>
        <w:tc>
          <w:tcPr>
            <w:tcW w:w="0" w:type="auto"/>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42756095" w14:textId="77777777" w:rsidR="003E18A4" w:rsidRPr="004F3A92" w:rsidRDefault="00000000" w:rsidP="001B7817">
            <w:pPr>
              <w:spacing w:before="120" w:after="120" w:line="360" w:lineRule="auto"/>
              <w:jc w:val="center"/>
              <w:rPr>
                <w:color w:val="000000" w:themeColor="text1"/>
              </w:rPr>
            </w:pPr>
            <w:proofErr w:type="spellStart"/>
            <w:r w:rsidRPr="004F3A92">
              <w:rPr>
                <w:b/>
                <w:bCs/>
                <w:color w:val="000000" w:themeColor="text1"/>
                <w:sz w:val="18"/>
                <w:szCs w:val="18"/>
              </w:rPr>
              <w:t>Wks</w:t>
            </w:r>
            <w:proofErr w:type="spellEnd"/>
            <w:r w:rsidRPr="004F3A92">
              <w:rPr>
                <w:b/>
                <w:bCs/>
                <w:color w:val="000000" w:themeColor="text1"/>
                <w:sz w:val="18"/>
                <w:szCs w:val="18"/>
              </w:rPr>
              <w:t xml:space="preserve"> 17–20</w:t>
            </w:r>
          </w:p>
        </w:tc>
        <w:tc>
          <w:tcPr>
            <w:tcW w:w="0" w:type="auto"/>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2C070248" w14:textId="77777777" w:rsidR="003E18A4" w:rsidRPr="004F3A92" w:rsidRDefault="00000000" w:rsidP="001B7817">
            <w:pPr>
              <w:spacing w:before="120" w:after="120" w:line="360" w:lineRule="auto"/>
              <w:jc w:val="center"/>
              <w:rPr>
                <w:color w:val="000000" w:themeColor="text1"/>
              </w:rPr>
            </w:pPr>
            <w:proofErr w:type="spellStart"/>
            <w:r w:rsidRPr="004F3A92">
              <w:rPr>
                <w:b/>
                <w:bCs/>
                <w:color w:val="000000" w:themeColor="text1"/>
                <w:sz w:val="18"/>
                <w:szCs w:val="18"/>
              </w:rPr>
              <w:t>Wks</w:t>
            </w:r>
            <w:proofErr w:type="spellEnd"/>
            <w:r w:rsidRPr="004F3A92">
              <w:rPr>
                <w:b/>
                <w:bCs/>
                <w:color w:val="000000" w:themeColor="text1"/>
                <w:sz w:val="18"/>
                <w:szCs w:val="18"/>
              </w:rPr>
              <w:t xml:space="preserve"> 21–24</w:t>
            </w:r>
          </w:p>
        </w:tc>
      </w:tr>
      <w:tr w:rsidR="003E18A4" w:rsidRPr="004F3A92" w14:paraId="4F92CC9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DCE15A7" w14:textId="77777777" w:rsidR="003E18A4" w:rsidRPr="004F3A92" w:rsidRDefault="00000000" w:rsidP="001B7817">
            <w:pPr>
              <w:spacing w:before="120" w:after="120" w:line="360" w:lineRule="auto"/>
              <w:rPr>
                <w:color w:val="000000" w:themeColor="text1"/>
              </w:rPr>
            </w:pPr>
            <w:r w:rsidRPr="004F3A92">
              <w:rPr>
                <w:color w:val="000000" w:themeColor="text1"/>
                <w:sz w:val="18"/>
                <w:szCs w:val="18"/>
              </w:rPr>
              <w:t>Literature Review</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60" w:type="dxa"/>
              <w:left w:w="80" w:type="dxa"/>
              <w:bottom w:w="60" w:type="dxa"/>
              <w:right w:w="80" w:type="dxa"/>
            </w:tcMar>
          </w:tcPr>
          <w:p w14:paraId="562161D0" w14:textId="77777777" w:rsidR="003E18A4" w:rsidRPr="004F3A92" w:rsidRDefault="00000000" w:rsidP="001B7817">
            <w:pPr>
              <w:spacing w:before="120" w:after="120" w:line="360" w:lineRule="auto"/>
              <w:jc w:val="center"/>
              <w:rPr>
                <w:color w:val="000000" w:themeColor="text1"/>
              </w:rPr>
            </w:pPr>
            <w:r w:rsidRPr="004F3A92">
              <w:rPr>
                <w:color w:val="000000" w:themeColor="text1"/>
                <w:sz w:val="18"/>
                <w:szCs w:val="18"/>
              </w:rPr>
              <w:t>██</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60" w:type="dxa"/>
              <w:left w:w="80" w:type="dxa"/>
              <w:bottom w:w="60" w:type="dxa"/>
              <w:right w:w="80" w:type="dxa"/>
            </w:tcMar>
          </w:tcPr>
          <w:p w14:paraId="59B2409A" w14:textId="77777777" w:rsidR="003E18A4" w:rsidRPr="004F3A92" w:rsidRDefault="00000000" w:rsidP="001B7817">
            <w:pPr>
              <w:spacing w:before="120" w:after="120" w:line="360" w:lineRule="auto"/>
              <w:jc w:val="center"/>
              <w:rPr>
                <w:color w:val="000000" w:themeColor="text1"/>
              </w:rPr>
            </w:pPr>
            <w:r w:rsidRPr="004F3A92">
              <w:rPr>
                <w:color w:val="000000" w:themeColor="text1"/>
                <w:sz w:val="18"/>
                <w:szCs w:val="18"/>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6653E32"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50FCD5F"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A467AC0"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CDFC4EF" w14:textId="77777777" w:rsidR="003E18A4" w:rsidRPr="004F3A92" w:rsidRDefault="003E18A4" w:rsidP="001B7817">
            <w:pPr>
              <w:spacing w:before="120" w:after="120" w:line="360" w:lineRule="auto"/>
              <w:jc w:val="center"/>
              <w:rPr>
                <w:color w:val="000000" w:themeColor="text1"/>
              </w:rPr>
            </w:pPr>
          </w:p>
        </w:tc>
      </w:tr>
      <w:tr w:rsidR="003E18A4" w:rsidRPr="004F3A92" w14:paraId="74EDE80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DC03099" w14:textId="77777777" w:rsidR="003E18A4" w:rsidRPr="004F3A92" w:rsidRDefault="00000000" w:rsidP="001B7817">
            <w:pPr>
              <w:spacing w:before="120" w:after="120" w:line="360" w:lineRule="auto"/>
              <w:rPr>
                <w:color w:val="000000" w:themeColor="text1"/>
              </w:rPr>
            </w:pPr>
            <w:r w:rsidRPr="004F3A92">
              <w:rPr>
                <w:color w:val="000000" w:themeColor="text1"/>
                <w:sz w:val="18"/>
                <w:szCs w:val="18"/>
              </w:rPr>
              <w:t>Instrument Design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11532B3"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60" w:type="dxa"/>
              <w:left w:w="80" w:type="dxa"/>
              <w:bottom w:w="60" w:type="dxa"/>
              <w:right w:w="80" w:type="dxa"/>
            </w:tcMar>
          </w:tcPr>
          <w:p w14:paraId="0546E40F" w14:textId="77777777" w:rsidR="003E18A4" w:rsidRPr="004F3A92" w:rsidRDefault="00000000" w:rsidP="001B7817">
            <w:pPr>
              <w:spacing w:before="120" w:after="120" w:line="360" w:lineRule="auto"/>
              <w:jc w:val="center"/>
              <w:rPr>
                <w:color w:val="000000" w:themeColor="text1"/>
              </w:rPr>
            </w:pPr>
            <w:r w:rsidRPr="004F3A92">
              <w:rPr>
                <w:color w:val="000000" w:themeColor="text1"/>
                <w:sz w:val="18"/>
                <w:szCs w:val="18"/>
              </w:rPr>
              <w:t>██</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60" w:type="dxa"/>
              <w:left w:w="80" w:type="dxa"/>
              <w:bottom w:w="60" w:type="dxa"/>
              <w:right w:w="80" w:type="dxa"/>
            </w:tcMar>
          </w:tcPr>
          <w:p w14:paraId="0BA7BD90" w14:textId="77777777" w:rsidR="003E18A4" w:rsidRPr="004F3A92" w:rsidRDefault="00000000" w:rsidP="001B7817">
            <w:pPr>
              <w:spacing w:before="120" w:after="120" w:line="360" w:lineRule="auto"/>
              <w:jc w:val="center"/>
              <w:rPr>
                <w:color w:val="000000" w:themeColor="text1"/>
              </w:rPr>
            </w:pPr>
            <w:r w:rsidRPr="004F3A92">
              <w:rPr>
                <w:color w:val="000000" w:themeColor="text1"/>
                <w:sz w:val="18"/>
                <w:szCs w:val="18"/>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3D1FF3F0"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0DDE01A0"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8F11CE3" w14:textId="77777777" w:rsidR="003E18A4" w:rsidRPr="004F3A92" w:rsidRDefault="003E18A4" w:rsidP="001B7817">
            <w:pPr>
              <w:spacing w:before="120" w:after="120" w:line="360" w:lineRule="auto"/>
              <w:jc w:val="center"/>
              <w:rPr>
                <w:color w:val="000000" w:themeColor="text1"/>
              </w:rPr>
            </w:pPr>
          </w:p>
        </w:tc>
      </w:tr>
      <w:tr w:rsidR="003E18A4" w:rsidRPr="004F3A92" w14:paraId="54CDA17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5EC7F1C" w14:textId="77777777" w:rsidR="003E18A4" w:rsidRPr="004F3A92" w:rsidRDefault="00000000" w:rsidP="001B7817">
            <w:pPr>
              <w:spacing w:before="120" w:after="120" w:line="360" w:lineRule="auto"/>
              <w:rPr>
                <w:color w:val="000000" w:themeColor="text1"/>
              </w:rPr>
            </w:pPr>
            <w:r w:rsidRPr="004F3A92">
              <w:rPr>
                <w:color w:val="000000" w:themeColor="text1"/>
                <w:sz w:val="18"/>
                <w:szCs w:val="18"/>
              </w:rPr>
              <w:t>Ethics Approval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3CD53229"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60" w:type="dxa"/>
              <w:left w:w="80" w:type="dxa"/>
              <w:bottom w:w="60" w:type="dxa"/>
              <w:right w:w="80" w:type="dxa"/>
            </w:tcMar>
          </w:tcPr>
          <w:p w14:paraId="59F21254" w14:textId="77777777" w:rsidR="003E18A4" w:rsidRPr="004F3A92" w:rsidRDefault="00000000" w:rsidP="001B7817">
            <w:pPr>
              <w:spacing w:before="120" w:after="120" w:line="360" w:lineRule="auto"/>
              <w:jc w:val="center"/>
              <w:rPr>
                <w:color w:val="000000" w:themeColor="text1"/>
              </w:rPr>
            </w:pPr>
            <w:r w:rsidRPr="004F3A92">
              <w:rPr>
                <w:color w:val="000000" w:themeColor="text1"/>
                <w:sz w:val="18"/>
                <w:szCs w:val="18"/>
              </w:rPr>
              <w:t>██</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60" w:type="dxa"/>
              <w:left w:w="80" w:type="dxa"/>
              <w:bottom w:w="60" w:type="dxa"/>
              <w:right w:w="80" w:type="dxa"/>
            </w:tcMar>
          </w:tcPr>
          <w:p w14:paraId="36B60CA3" w14:textId="77777777" w:rsidR="003E18A4" w:rsidRPr="004F3A92" w:rsidRDefault="00000000" w:rsidP="001B7817">
            <w:pPr>
              <w:spacing w:before="120" w:after="120" w:line="360" w:lineRule="auto"/>
              <w:jc w:val="center"/>
              <w:rPr>
                <w:color w:val="000000" w:themeColor="text1"/>
              </w:rPr>
            </w:pPr>
            <w:r w:rsidRPr="004F3A92">
              <w:rPr>
                <w:color w:val="000000" w:themeColor="text1"/>
                <w:sz w:val="18"/>
                <w:szCs w:val="18"/>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010FA72E"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08D3AA5"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50FA8DA" w14:textId="77777777" w:rsidR="003E18A4" w:rsidRPr="004F3A92" w:rsidRDefault="003E18A4" w:rsidP="001B7817">
            <w:pPr>
              <w:spacing w:before="120" w:after="120" w:line="360" w:lineRule="auto"/>
              <w:jc w:val="center"/>
              <w:rPr>
                <w:color w:val="000000" w:themeColor="text1"/>
              </w:rPr>
            </w:pPr>
          </w:p>
        </w:tc>
      </w:tr>
      <w:tr w:rsidR="003E18A4" w:rsidRPr="004F3A92" w14:paraId="5D4EA3B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FB920A2" w14:textId="77777777" w:rsidR="003E18A4" w:rsidRPr="004F3A92" w:rsidRDefault="00000000" w:rsidP="001B7817">
            <w:pPr>
              <w:spacing w:before="120" w:after="120" w:line="360" w:lineRule="auto"/>
              <w:rPr>
                <w:color w:val="000000" w:themeColor="text1"/>
              </w:rPr>
            </w:pPr>
            <w:r w:rsidRPr="004F3A92">
              <w:rPr>
                <w:color w:val="000000" w:themeColor="text1"/>
                <w:sz w:val="18"/>
                <w:szCs w:val="18"/>
              </w:rPr>
              <w:t>Data Collection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C25DA18"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32C8C48"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60" w:type="dxa"/>
              <w:left w:w="80" w:type="dxa"/>
              <w:bottom w:w="60" w:type="dxa"/>
              <w:right w:w="80" w:type="dxa"/>
            </w:tcMar>
          </w:tcPr>
          <w:p w14:paraId="1F0E7D86" w14:textId="77777777" w:rsidR="003E18A4" w:rsidRPr="004F3A92" w:rsidRDefault="00000000" w:rsidP="001B7817">
            <w:pPr>
              <w:spacing w:before="120" w:after="120" w:line="360" w:lineRule="auto"/>
              <w:jc w:val="center"/>
              <w:rPr>
                <w:color w:val="000000" w:themeColor="text1"/>
              </w:rPr>
            </w:pPr>
            <w:r w:rsidRPr="004F3A92">
              <w:rPr>
                <w:color w:val="000000" w:themeColor="text1"/>
                <w:sz w:val="18"/>
                <w:szCs w:val="18"/>
              </w:rPr>
              <w:t>██</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60" w:type="dxa"/>
              <w:left w:w="80" w:type="dxa"/>
              <w:bottom w:w="60" w:type="dxa"/>
              <w:right w:w="80" w:type="dxa"/>
            </w:tcMar>
          </w:tcPr>
          <w:p w14:paraId="09F24F94" w14:textId="77777777" w:rsidR="003E18A4" w:rsidRPr="004F3A92" w:rsidRDefault="00000000" w:rsidP="001B7817">
            <w:pPr>
              <w:spacing w:before="120" w:after="120" w:line="360" w:lineRule="auto"/>
              <w:jc w:val="center"/>
              <w:rPr>
                <w:color w:val="000000" w:themeColor="text1"/>
              </w:rPr>
            </w:pPr>
            <w:r w:rsidRPr="004F3A92">
              <w:rPr>
                <w:color w:val="000000" w:themeColor="text1"/>
                <w:sz w:val="18"/>
                <w:szCs w:val="18"/>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FE3A8B3"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BCB9CE4" w14:textId="77777777" w:rsidR="003E18A4" w:rsidRPr="004F3A92" w:rsidRDefault="003E18A4" w:rsidP="001B7817">
            <w:pPr>
              <w:spacing w:before="120" w:after="120" w:line="360" w:lineRule="auto"/>
              <w:jc w:val="center"/>
              <w:rPr>
                <w:color w:val="000000" w:themeColor="text1"/>
              </w:rPr>
            </w:pPr>
          </w:p>
        </w:tc>
      </w:tr>
      <w:tr w:rsidR="003E18A4" w:rsidRPr="004F3A92" w14:paraId="198A46D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CEB182B" w14:textId="77777777" w:rsidR="003E18A4" w:rsidRPr="004F3A92" w:rsidRDefault="00000000" w:rsidP="001B7817">
            <w:pPr>
              <w:spacing w:before="120" w:after="120" w:line="360" w:lineRule="auto"/>
              <w:rPr>
                <w:color w:val="000000" w:themeColor="text1"/>
              </w:rPr>
            </w:pPr>
            <w:r w:rsidRPr="004F3A92">
              <w:rPr>
                <w:color w:val="000000" w:themeColor="text1"/>
                <w:sz w:val="18"/>
                <w:szCs w:val="18"/>
              </w:rPr>
              <w:t>Data Analysis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20AF30D"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091B13DD"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ED5CC77"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60" w:type="dxa"/>
              <w:left w:w="80" w:type="dxa"/>
              <w:bottom w:w="60" w:type="dxa"/>
              <w:right w:w="80" w:type="dxa"/>
            </w:tcMar>
          </w:tcPr>
          <w:p w14:paraId="1B11E080" w14:textId="77777777" w:rsidR="003E18A4" w:rsidRPr="004F3A92" w:rsidRDefault="00000000" w:rsidP="001B7817">
            <w:pPr>
              <w:spacing w:before="120" w:after="120" w:line="360" w:lineRule="auto"/>
              <w:jc w:val="center"/>
              <w:rPr>
                <w:color w:val="000000" w:themeColor="text1"/>
              </w:rPr>
            </w:pPr>
            <w:r w:rsidRPr="004F3A92">
              <w:rPr>
                <w:color w:val="000000" w:themeColor="text1"/>
                <w:sz w:val="18"/>
                <w:szCs w:val="18"/>
              </w:rPr>
              <w:t>██</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60" w:type="dxa"/>
              <w:left w:w="80" w:type="dxa"/>
              <w:bottom w:w="60" w:type="dxa"/>
              <w:right w:w="80" w:type="dxa"/>
            </w:tcMar>
          </w:tcPr>
          <w:p w14:paraId="17DE5E4D" w14:textId="77777777" w:rsidR="003E18A4" w:rsidRPr="004F3A92" w:rsidRDefault="00000000" w:rsidP="001B7817">
            <w:pPr>
              <w:spacing w:before="120" w:after="120" w:line="360" w:lineRule="auto"/>
              <w:jc w:val="center"/>
              <w:rPr>
                <w:color w:val="000000" w:themeColor="text1"/>
              </w:rPr>
            </w:pPr>
            <w:r w:rsidRPr="004F3A92">
              <w:rPr>
                <w:color w:val="000000" w:themeColor="text1"/>
                <w:sz w:val="18"/>
                <w:szCs w:val="18"/>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8D4749B" w14:textId="77777777" w:rsidR="003E18A4" w:rsidRPr="004F3A92" w:rsidRDefault="003E18A4" w:rsidP="001B7817">
            <w:pPr>
              <w:spacing w:before="120" w:after="120" w:line="360" w:lineRule="auto"/>
              <w:jc w:val="center"/>
              <w:rPr>
                <w:color w:val="000000" w:themeColor="text1"/>
              </w:rPr>
            </w:pPr>
          </w:p>
        </w:tc>
      </w:tr>
      <w:tr w:rsidR="003E18A4" w:rsidRPr="004F3A92" w14:paraId="63AE14B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8CC4220" w14:textId="77777777" w:rsidR="003E18A4" w:rsidRPr="004F3A92" w:rsidRDefault="00000000" w:rsidP="001B7817">
            <w:pPr>
              <w:spacing w:before="120" w:after="120" w:line="360" w:lineRule="auto"/>
              <w:rPr>
                <w:color w:val="000000" w:themeColor="text1"/>
              </w:rPr>
            </w:pPr>
            <w:r w:rsidRPr="004F3A92">
              <w:rPr>
                <w:color w:val="000000" w:themeColor="text1"/>
                <w:sz w:val="18"/>
                <w:szCs w:val="18"/>
              </w:rPr>
              <w:t>Writing &amp; Submission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7F11C347"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77D6C15"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1A8540B"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1AD11D9" w14:textId="77777777" w:rsidR="003E18A4" w:rsidRPr="004F3A92" w:rsidRDefault="003E18A4" w:rsidP="001B7817">
            <w:pPr>
              <w:spacing w:before="120" w:after="120" w:line="360" w:lineRule="auto"/>
              <w:jc w:val="center"/>
              <w:rPr>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60" w:type="dxa"/>
              <w:left w:w="80" w:type="dxa"/>
              <w:bottom w:w="60" w:type="dxa"/>
              <w:right w:w="80" w:type="dxa"/>
            </w:tcMar>
          </w:tcPr>
          <w:p w14:paraId="2792823B" w14:textId="77777777" w:rsidR="003E18A4" w:rsidRPr="004F3A92" w:rsidRDefault="00000000" w:rsidP="001B7817">
            <w:pPr>
              <w:spacing w:before="120" w:after="120" w:line="360" w:lineRule="auto"/>
              <w:jc w:val="center"/>
              <w:rPr>
                <w:color w:val="000000" w:themeColor="text1"/>
              </w:rPr>
            </w:pPr>
            <w:r w:rsidRPr="004F3A92">
              <w:rPr>
                <w:color w:val="000000" w:themeColor="text1"/>
                <w:sz w:val="18"/>
                <w:szCs w:val="18"/>
              </w:rPr>
              <w:t>██</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60" w:type="dxa"/>
              <w:left w:w="80" w:type="dxa"/>
              <w:bottom w:w="60" w:type="dxa"/>
              <w:right w:w="80" w:type="dxa"/>
            </w:tcMar>
          </w:tcPr>
          <w:p w14:paraId="3A9AE774" w14:textId="77777777" w:rsidR="003E18A4" w:rsidRPr="004F3A92" w:rsidRDefault="00000000" w:rsidP="001B7817">
            <w:pPr>
              <w:spacing w:before="120" w:after="120" w:line="360" w:lineRule="auto"/>
              <w:jc w:val="center"/>
              <w:rPr>
                <w:color w:val="000000" w:themeColor="text1"/>
              </w:rPr>
            </w:pPr>
            <w:r w:rsidRPr="004F3A92">
              <w:rPr>
                <w:color w:val="000000" w:themeColor="text1"/>
                <w:sz w:val="18"/>
                <w:szCs w:val="18"/>
              </w:rPr>
              <w:t>██</w:t>
            </w:r>
          </w:p>
        </w:tc>
      </w:tr>
    </w:tbl>
    <w:p w14:paraId="285CDC6A" w14:textId="77777777" w:rsidR="003E18A4" w:rsidRPr="004F3A92" w:rsidRDefault="003E18A4" w:rsidP="001B7817">
      <w:pPr>
        <w:spacing w:before="120" w:after="120" w:line="360" w:lineRule="auto"/>
        <w:rPr>
          <w:color w:val="000000" w:themeColor="text1"/>
        </w:rPr>
      </w:pPr>
    </w:p>
    <w:p w14:paraId="0D8089A1" w14:textId="6B465008" w:rsidR="003E18A4" w:rsidRPr="004F3A92" w:rsidRDefault="003C080E" w:rsidP="001B7817">
      <w:pPr>
        <w:spacing w:before="120" w:after="120" w:line="360" w:lineRule="auto"/>
        <w:jc w:val="both"/>
        <w:rPr>
          <w:color w:val="000000" w:themeColor="text1"/>
        </w:rPr>
      </w:pPr>
      <w:r w:rsidRPr="004F3A92">
        <w:rPr>
          <w:color w:val="000000" w:themeColor="text1"/>
        </w:rPr>
        <w:t xml:space="preserve">The Gantt chart is a diagram that shows a chronological yet parallel project plan in six stages in </w:t>
      </w:r>
      <w:proofErr w:type="gramStart"/>
      <w:r w:rsidRPr="004F3A92">
        <w:rPr>
          <w:color w:val="000000" w:themeColor="text1"/>
        </w:rPr>
        <w:t>twenty four</w:t>
      </w:r>
      <w:proofErr w:type="gramEnd"/>
      <w:r w:rsidRPr="004F3A92">
        <w:rPr>
          <w:color w:val="000000" w:themeColor="text1"/>
        </w:rPr>
        <w:t xml:space="preserve"> weeks. Literature review drives instrument design and the two stages are intertwined to enable the interview guide to be modified in regard to the developing theoretical insights. Ethics approval is sought concurrently with refinement of the instruments in the process whereby field work can be initiated once institutional clearance is obtained. Analysis of data starts in the later phase of the data collection process as it is customary in reflexive thematic analysis where repetitive reading aids in the continuity of analytical processes. Writing activities are initiated in parallel with late-stage analysis to keep the momentum towards final submission. The timeline is based on the sound judgment of the amount of time needed to carry out fieldwork in three schools in Lagos State and at the same time maintain enough time to do intensive analytical and writing works.</w:t>
      </w:r>
    </w:p>
    <w:p w14:paraId="172CA508" w14:textId="1F34D46D" w:rsidR="003E18A4" w:rsidRPr="004F3A92" w:rsidRDefault="00937312" w:rsidP="001B7817">
      <w:pPr>
        <w:pStyle w:val="Heading2"/>
        <w:numPr>
          <w:ilvl w:val="1"/>
          <w:numId w:val="3"/>
        </w:numPr>
        <w:spacing w:before="120" w:line="360" w:lineRule="auto"/>
        <w:rPr>
          <w:color w:val="000000" w:themeColor="text1"/>
        </w:rPr>
      </w:pPr>
      <w:r w:rsidRPr="004F3A92">
        <w:rPr>
          <w:color w:val="000000" w:themeColor="text1"/>
        </w:rPr>
        <w:lastRenderedPageBreak/>
        <w:tab/>
      </w:r>
      <w:r w:rsidR="00000000" w:rsidRPr="004F3A92">
        <w:rPr>
          <w:color w:val="000000" w:themeColor="text1"/>
        </w:rPr>
        <w:t>Population, Sampling, and Sample Size</w:t>
      </w:r>
    </w:p>
    <w:p w14:paraId="55869B35" w14:textId="77777777" w:rsidR="003C080E" w:rsidRPr="004F3A92" w:rsidRDefault="003C080E" w:rsidP="001B7817">
      <w:pPr>
        <w:spacing w:before="120" w:after="120" w:line="360" w:lineRule="auto"/>
        <w:jc w:val="both"/>
        <w:rPr>
          <w:color w:val="000000" w:themeColor="text1"/>
        </w:rPr>
      </w:pPr>
      <w:r w:rsidRPr="004F3A92">
        <w:rPr>
          <w:color w:val="000000" w:themeColor="text1"/>
        </w:rPr>
        <w:t xml:space="preserve">The study population is educational leaders and classroom teachers in the secondary schools in Lagos state of Nigeria. The geographic and institutional focus is Lagos State, as it is the most resource-rich sub-national educational setting in Nigeria - having a formal policy framework on special education, a number of special education units in its schools, and a relatively developed administrative infrastructure - where it is likely to be most plausible to explore how inclusive leadership of neuro-diverse learners is perceived and practiced in the Nigerian context. It is limited to the population attending specifically to public secondary schools since these schools are governed under vastly different resource, governance, and accountability conditions that would make cross-school comparison meaningless. In the context of the public secondary schools, the intended population includes school principals, where relevant, special educational needs coordinators and classroom teachers experiencing </w:t>
      </w:r>
      <w:proofErr w:type="spellStart"/>
      <w:r w:rsidRPr="004F3A92">
        <w:rPr>
          <w:color w:val="000000" w:themeColor="text1"/>
        </w:rPr>
        <w:t>first hand</w:t>
      </w:r>
      <w:proofErr w:type="spellEnd"/>
      <w:r w:rsidRPr="004F3A92">
        <w:rPr>
          <w:color w:val="000000" w:themeColor="text1"/>
        </w:rPr>
        <w:t xml:space="preserve"> the experience of dealing with learners who might present with neuro-diverse characteristics.</w:t>
      </w:r>
    </w:p>
    <w:p w14:paraId="27FD15D3" w14:textId="77777777" w:rsidR="003C080E" w:rsidRPr="004F3A92" w:rsidRDefault="003C080E" w:rsidP="001B7817">
      <w:pPr>
        <w:spacing w:before="120" w:after="120" w:line="360" w:lineRule="auto"/>
        <w:jc w:val="both"/>
        <w:rPr>
          <w:color w:val="000000" w:themeColor="text1"/>
        </w:rPr>
      </w:pPr>
      <w:r w:rsidRPr="004F3A92">
        <w:rPr>
          <w:color w:val="000000" w:themeColor="text1"/>
        </w:rPr>
        <w:t xml:space="preserve">Sampling can be of two general types: probability and non-probability. Probability sampling such as simple random, stratified and cluster methods attracts respondents in a manner that provides them with a known opportunity to be selected, thus being able to make a statistical inference about the entire population (Bryman 2016). The given method is the right method when the purpose is the numerical </w:t>
      </w:r>
      <w:proofErr w:type="spellStart"/>
      <w:r w:rsidRPr="004F3A92">
        <w:rPr>
          <w:color w:val="000000" w:themeColor="text1"/>
        </w:rPr>
        <w:t>generalisation</w:t>
      </w:r>
      <w:proofErr w:type="spellEnd"/>
      <w:r w:rsidRPr="004F3A92">
        <w:rPr>
          <w:color w:val="000000" w:themeColor="text1"/>
        </w:rPr>
        <w:t>. Non-probability sampling does not provide equal chances of selection, but rather participants are selected based on their ability to shed more light on the research problem. In the case of qualitative inquiry, non-probability sampling is not a compromise to expediency. It is the most epistemologically suitable option, since picking the participants based on their experience and knowledge that is relevant would yield a statistically representative sample that is analytically weak. Probability sampling would provide an equal opportunity of selection to a new principal with no experience of inclusive education and to a long-serving head who has been through inclusion policy over ten years - an analytical nonsense in a study whose aim is to discover how experienced practitioners make sense of their situation.</w:t>
      </w:r>
    </w:p>
    <w:p w14:paraId="333B03C3" w14:textId="77777777" w:rsidR="003C080E" w:rsidRPr="004F3A92" w:rsidRDefault="003C080E" w:rsidP="001B7817">
      <w:pPr>
        <w:spacing w:before="120" w:after="120" w:line="360" w:lineRule="auto"/>
        <w:jc w:val="both"/>
        <w:rPr>
          <w:color w:val="000000" w:themeColor="text1"/>
        </w:rPr>
      </w:pPr>
      <w:r w:rsidRPr="004F3A92">
        <w:rPr>
          <w:color w:val="000000" w:themeColor="text1"/>
        </w:rPr>
        <w:t xml:space="preserve">The method used here is therefore purposive sampling. According to Patton (2015), the qualitative inquiry is purposive sampling: the subjects are chosen due to what they know, what they have gone through, and what they are in a position to provide in the knowledge of the research issue. The participants in this research will be purposely chosen to cover participants who have a firsthand, </w:t>
      </w:r>
      <w:r w:rsidRPr="004F3A92">
        <w:rPr>
          <w:color w:val="000000" w:themeColor="text1"/>
        </w:rPr>
        <w:lastRenderedPageBreak/>
        <w:t>substantive experience of leadership and implementation of inclusive education in secondary schools in Lagos State. Involving a school principal in each participating school, an SEN coordinator in one of them, formally appointed, and a group of classroom teachers with adequate teaching experience to talk intelligently about the leadership support they have or have not been receiving. This will produce a total of about four to five respondents in three schools making a total of fifteen respondents.</w:t>
      </w:r>
    </w:p>
    <w:p w14:paraId="7A0C2DF2" w14:textId="77777777" w:rsidR="003C080E" w:rsidRPr="004F3A92" w:rsidRDefault="003C080E" w:rsidP="001B7817">
      <w:pPr>
        <w:spacing w:before="120" w:after="120" w:line="360" w:lineRule="auto"/>
        <w:jc w:val="both"/>
        <w:rPr>
          <w:color w:val="000000" w:themeColor="text1"/>
        </w:rPr>
      </w:pPr>
      <w:proofErr w:type="spellStart"/>
      <w:r w:rsidRPr="004F3A92">
        <w:rPr>
          <w:color w:val="000000" w:themeColor="text1"/>
        </w:rPr>
        <w:t>Malterud</w:t>
      </w:r>
      <w:proofErr w:type="spellEnd"/>
      <w:r w:rsidRPr="004F3A92">
        <w:rPr>
          <w:color w:val="000000" w:themeColor="text1"/>
        </w:rPr>
        <w:t xml:space="preserve">, Siersma and Guassora (2016) offer the notion of information power as the right foundation of the decision of the sample size in a qualitative interview research: the richer the information the participants possess, the more definite the research question, the more established the theoretical model, and the focused the analysis strategy, the smaller the sample that can be used to reach the level of analytical sufficiency. This work rates highly on all these dimensions. Robinson (2014) also points out that the interpretive richness of the data per respondent in purposive </w:t>
      </w:r>
      <w:proofErr w:type="gramStart"/>
      <w:r w:rsidRPr="004F3A92">
        <w:rPr>
          <w:color w:val="000000" w:themeColor="text1"/>
        </w:rPr>
        <w:t>interview based</w:t>
      </w:r>
      <w:proofErr w:type="gramEnd"/>
      <w:r w:rsidRPr="004F3A92">
        <w:rPr>
          <w:color w:val="000000" w:themeColor="text1"/>
        </w:rPr>
        <w:t xml:space="preserve"> designs is more effective in protecting against the risk of analytical under-sufficiency than the number of respondents. The sample size of 15 fits the accepted tradition of qualitative case study research in educational research - </w:t>
      </w:r>
      <w:proofErr w:type="spellStart"/>
      <w:r w:rsidRPr="004F3A92">
        <w:rPr>
          <w:color w:val="000000" w:themeColor="text1"/>
        </w:rPr>
        <w:t>Hoppey</w:t>
      </w:r>
      <w:proofErr w:type="spellEnd"/>
      <w:r w:rsidRPr="004F3A92">
        <w:rPr>
          <w:color w:val="000000" w:themeColor="text1"/>
        </w:rPr>
        <w:t xml:space="preserve"> and McLeskey (2013) used a similar level of participant range in their qualitative case study of inclusive school leadership - and has the analytical capacity of the thematic analysis that this study will utilize.</w:t>
      </w:r>
    </w:p>
    <w:p w14:paraId="404BA283" w14:textId="77777777" w:rsidR="003C080E" w:rsidRPr="004F3A92" w:rsidRDefault="003C080E" w:rsidP="001B7817">
      <w:pPr>
        <w:spacing w:before="120" w:after="120" w:line="360" w:lineRule="auto"/>
        <w:jc w:val="both"/>
        <w:rPr>
          <w:color w:val="000000" w:themeColor="text1"/>
        </w:rPr>
      </w:pPr>
      <w:r w:rsidRPr="004F3A92">
        <w:rPr>
          <w:color w:val="000000" w:themeColor="text1"/>
        </w:rPr>
        <w:t>The participants have been assured access in a two-stage process. The researcher will then seek formal research consent of the Lagos State Ministry of Education, where he presents an application letter alongside the institutional ethics approval of the study. After obtaining the approval of the Ministry, the researcher informs the principals of the three schools chosen through a formal written letter and personal visit about the purpose of the study and the voluntary nature of the study as well as the institutional commitments that the researcher will keep. The participants of the teachers are then identified by first talking to the principals and SEN coordinators, with strict instructions that the researcher needs a scale of teaching experience and that they should not fall back to those staff members who are known to be well disposed of the current leadership. This recommendation will minimize recruitment bias in favor of teachers who will give positive reports.</w:t>
      </w:r>
    </w:p>
    <w:p w14:paraId="5FD6814F" w14:textId="30A65056" w:rsidR="003E18A4" w:rsidRPr="004F3A92" w:rsidRDefault="003C080E" w:rsidP="001B7817">
      <w:pPr>
        <w:spacing w:before="120" w:after="120" w:line="360" w:lineRule="auto"/>
        <w:jc w:val="both"/>
        <w:rPr>
          <w:color w:val="000000" w:themeColor="text1"/>
        </w:rPr>
      </w:pPr>
      <w:r w:rsidRPr="004F3A92">
        <w:rPr>
          <w:color w:val="000000" w:themeColor="text1"/>
        </w:rPr>
        <w:t xml:space="preserve">Potential limitations include the possibility that the principals will still have informal control over the availability of teachers, which may bias the sample to include those who are positively oriented towards the leadership of their school. Individual interviews (not group interviews) will be utilized </w:t>
      </w:r>
      <w:r w:rsidRPr="004F3A92">
        <w:rPr>
          <w:color w:val="000000" w:themeColor="text1"/>
        </w:rPr>
        <w:lastRenderedPageBreak/>
        <w:t>to minimize the social desirability pressure and all the interviews will be held privately without the presence of school administration. Two more schools in similar districts are kept on a temporary list in case of contingency where a primary school refuses to participate after the initial contact.</w:t>
      </w:r>
    </w:p>
    <w:p w14:paraId="432B9328" w14:textId="72EC0C0F" w:rsidR="003E18A4" w:rsidRPr="004F3A92" w:rsidRDefault="00937312" w:rsidP="001B7817">
      <w:pPr>
        <w:pStyle w:val="Heading2"/>
        <w:numPr>
          <w:ilvl w:val="1"/>
          <w:numId w:val="3"/>
        </w:numPr>
        <w:spacing w:before="120" w:line="360" w:lineRule="auto"/>
        <w:rPr>
          <w:color w:val="000000" w:themeColor="text1"/>
        </w:rPr>
      </w:pPr>
      <w:r w:rsidRPr="004F3A92">
        <w:rPr>
          <w:color w:val="000000" w:themeColor="text1"/>
        </w:rPr>
        <w:tab/>
      </w:r>
      <w:r w:rsidR="00000000" w:rsidRPr="004F3A92">
        <w:rPr>
          <w:color w:val="000000" w:themeColor="text1"/>
        </w:rPr>
        <w:t>Data Collection Methods</w:t>
      </w:r>
    </w:p>
    <w:p w14:paraId="10A631FC" w14:textId="77777777" w:rsidR="003C080E" w:rsidRPr="004F3A92" w:rsidRDefault="003C080E" w:rsidP="001B7817">
      <w:pPr>
        <w:spacing w:before="120" w:after="120" w:line="360" w:lineRule="auto"/>
        <w:jc w:val="both"/>
        <w:rPr>
          <w:color w:val="000000" w:themeColor="text1"/>
        </w:rPr>
      </w:pPr>
      <w:r w:rsidRPr="004F3A92">
        <w:rPr>
          <w:color w:val="000000" w:themeColor="text1"/>
        </w:rPr>
        <w:t xml:space="preserve">The interview that will be used as a data collection tool is the semi-structured interview. Semi-structured interviews lie between the strictly defined rigor of an all-purpose questionnaire and the unpredictability of a completely unstructured dialogue. A set of thematic anchors rather than a fixed script is an interview guide, which is structured around the four research questions of the study and informed by the conceptual and theoretical framework, developed in Chapter Two. According to DiCicco-Bloom and Crabtree (2006), semi-structured interviews are the best tool to use when the researcher desires that the interviews cover thematical issues in all the participants yet retain the flexibility of the analysis to capture unforeseen (unanticipated) pathways of inquiry that might lead to the discovery of dimensions of the phenomenon not originally planned. Such consistency and flexibility </w:t>
      </w:r>
      <w:proofErr w:type="gramStart"/>
      <w:r w:rsidRPr="004F3A92">
        <w:rPr>
          <w:color w:val="000000" w:themeColor="text1"/>
        </w:rPr>
        <w:t>is</w:t>
      </w:r>
      <w:proofErr w:type="gramEnd"/>
      <w:r w:rsidRPr="004F3A92">
        <w:rPr>
          <w:color w:val="000000" w:themeColor="text1"/>
        </w:rPr>
        <w:t xml:space="preserve"> precisely what this study demands: consistency among fifteen participants will guarantee that the data will cover the same conceptual space; flexibility will guarantee that not only the researcher, but participants themselves will define what comes up.</w:t>
      </w:r>
    </w:p>
    <w:p w14:paraId="52D85209" w14:textId="77777777" w:rsidR="003C080E" w:rsidRPr="004F3A92" w:rsidRDefault="003C080E" w:rsidP="001B7817">
      <w:pPr>
        <w:spacing w:before="120" w:after="120" w:line="360" w:lineRule="auto"/>
        <w:jc w:val="both"/>
        <w:rPr>
          <w:color w:val="000000" w:themeColor="text1"/>
        </w:rPr>
      </w:pPr>
      <w:r w:rsidRPr="004F3A92">
        <w:rPr>
          <w:color w:val="000000" w:themeColor="text1"/>
        </w:rPr>
        <w:t xml:space="preserve">There is no proven interview tool to investigate inclusive leadership and neurodiversity in Nigerian secondary schools. Such adaptation of a guide used in UK or US contexts would bring the risk of importing the conceptual assumptions of those locations - especially assumptions of diagnostic infrastructure, institutional vocabulary of special educational needs, and the presence of formal individual education plan models - to Lagos State. It was thus based on first principles that the guide was developed, based on the conceptual explanations of Chapter Two, the empirical literature on leadership and inclusive practice analyzed in Chapter Two, and a pilot study was done with two secondary school teachers in Lagos who did not form part of the final sample. The pilot verified that the language employed was understandable, the questions were open ended and not programmed and the time of the interview of fifty or sixty minutes was realistic. After the pilot, some slight modifications to the sequencing and phrasing of questions were undertaken. According to Kvale and Brinkmann (2009), pilot work is not an option in the interview-based design; it is a </w:t>
      </w:r>
      <w:r w:rsidRPr="004F3A92">
        <w:rPr>
          <w:color w:val="000000" w:themeColor="text1"/>
        </w:rPr>
        <w:lastRenderedPageBreak/>
        <w:t>procedure which makes the instrument calibrated to the very communicative and conceptual context of the study population.</w:t>
      </w:r>
    </w:p>
    <w:p w14:paraId="4FCFF3AB" w14:textId="77777777" w:rsidR="003C080E" w:rsidRPr="004F3A92" w:rsidRDefault="003C080E" w:rsidP="001B7817">
      <w:pPr>
        <w:spacing w:before="120" w:after="120" w:line="360" w:lineRule="auto"/>
        <w:jc w:val="both"/>
        <w:rPr>
          <w:color w:val="000000" w:themeColor="text1"/>
        </w:rPr>
      </w:pPr>
      <w:r w:rsidRPr="004F3A92">
        <w:rPr>
          <w:color w:val="000000" w:themeColor="text1"/>
        </w:rPr>
        <w:t xml:space="preserve">The interview guide is structured into four thematic areas that are directly related to the objectives of the research. The former looks at the understanding of inclusive education and neurodiversity within the institutional context of the school leaders, not by asking them to define what inclusive education is or what neurodiversity is, but by asking them to narrate specific instances in which they have made a decision on how to support learners with different needs, and how they made sense of the needs in question and what informed their decision. The second is whether leaders can help teachers to adopt inclusive practices and involves asking participants to explain particular mechanisms like professional dialogue, classroom observation, resource provision, collaborative planning, etc. instead of endorsing inclusive values in general. The third part looks at structural and policy issues including exploring the systemic challenges the participants have to deal with as well as the strategies that </w:t>
      </w:r>
      <w:proofErr w:type="gramStart"/>
      <w:r w:rsidRPr="004F3A92">
        <w:rPr>
          <w:color w:val="000000" w:themeColor="text1"/>
        </w:rPr>
        <w:t>either participants</w:t>
      </w:r>
      <w:proofErr w:type="gramEnd"/>
      <w:r w:rsidRPr="004F3A92">
        <w:rPr>
          <w:color w:val="000000" w:themeColor="text1"/>
        </w:rPr>
        <w:t xml:space="preserve"> have devised to operate around these challenges. The fourth section, to be used with teacher participants, examines how teachers perceive and experience the leadership support they are provided with: how useful it can be in practice and how consistent it is, as well as how it fits in the realities of their own classrooms.</w:t>
      </w:r>
    </w:p>
    <w:p w14:paraId="54347B09" w14:textId="77C3BD23" w:rsidR="003E18A4" w:rsidRPr="004F3A92" w:rsidRDefault="003C080E" w:rsidP="001B7817">
      <w:pPr>
        <w:spacing w:before="120" w:after="120" w:line="360" w:lineRule="auto"/>
        <w:jc w:val="both"/>
        <w:rPr>
          <w:color w:val="000000" w:themeColor="text1"/>
        </w:rPr>
      </w:pPr>
      <w:r w:rsidRPr="004F3A92">
        <w:rPr>
          <w:color w:val="000000" w:themeColor="text1"/>
        </w:rPr>
        <w:t xml:space="preserve">Face-to-face interviews will be undertaken at every participating school, in a privacy room, prearranged with the school principal to ensure confidentiality of participants, and </w:t>
      </w:r>
      <w:proofErr w:type="spellStart"/>
      <w:r w:rsidRPr="004F3A92">
        <w:rPr>
          <w:color w:val="000000" w:themeColor="text1"/>
        </w:rPr>
        <w:t>minimise</w:t>
      </w:r>
      <w:proofErr w:type="spellEnd"/>
      <w:r w:rsidRPr="004F3A92">
        <w:rPr>
          <w:color w:val="000000" w:themeColor="text1"/>
        </w:rPr>
        <w:t xml:space="preserve"> disruption. The interviews will be recorded in audio on the mobile phone of the researcher with a clear informed consent beforehand. The recordings are moved to the personal encrypted OneDrive account of the researcher right after every session and are permanently deleted off the recording device the same day, a practice that not only provides the safety of data but also avoids using institutional server infrastructure, which is not always available in the Lagos State fieldwork setting. The initiation of transcription takes place at the fieldwork stage where the researcher can examine the emergent themes and focus on the further interview questions in which the former would enhance the analysis and the latter would not distort the consistency of the thematic structure of the dataset. The completed transcripts will be kept in a password-protected folder in the OneDrive of the researcher, and will only be viewed by the researcher and the supervising academic.</w:t>
      </w:r>
    </w:p>
    <w:p w14:paraId="7C60EFBE" w14:textId="0C5B254B" w:rsidR="003E18A4" w:rsidRPr="004F3A92" w:rsidRDefault="00937312" w:rsidP="001B7817">
      <w:pPr>
        <w:pStyle w:val="Heading2"/>
        <w:numPr>
          <w:ilvl w:val="1"/>
          <w:numId w:val="3"/>
        </w:numPr>
        <w:spacing w:before="120" w:line="360" w:lineRule="auto"/>
        <w:rPr>
          <w:color w:val="000000" w:themeColor="text1"/>
        </w:rPr>
      </w:pPr>
      <w:r w:rsidRPr="004F3A92">
        <w:rPr>
          <w:color w:val="000000" w:themeColor="text1"/>
        </w:rPr>
        <w:tab/>
      </w:r>
      <w:r w:rsidR="00000000" w:rsidRPr="004F3A92">
        <w:rPr>
          <w:color w:val="000000" w:themeColor="text1"/>
        </w:rPr>
        <w:t>Data Analysis Procedures</w:t>
      </w:r>
    </w:p>
    <w:p w14:paraId="2A4EBB0B" w14:textId="77777777" w:rsidR="003C080E" w:rsidRPr="004F3A92" w:rsidRDefault="003C080E" w:rsidP="001B7817">
      <w:pPr>
        <w:spacing w:before="120" w:after="120" w:line="360" w:lineRule="auto"/>
        <w:jc w:val="both"/>
        <w:rPr>
          <w:color w:val="000000" w:themeColor="text1"/>
        </w:rPr>
      </w:pPr>
      <w:r w:rsidRPr="004F3A92">
        <w:rPr>
          <w:color w:val="000000" w:themeColor="text1"/>
        </w:rPr>
        <w:lastRenderedPageBreak/>
        <w:t>The methodology of analysis is the reflexive thematic analysis, which was introduced by Braun and Clarke (2022). Reflexive thematic analysis is a qualitative analysis approach that is preoccupied with the identification, development and interpretation of patterns of meaning in a dataset. It contrasts with other types of thematic analysis by explicitly considering the subjectivity of the researcher as an analytical resource, and not as a problem that must be suppressed by a procedure. Braun and Clarke (2019) discuss that nothing can be observed in data, and that everything can be interpreted, without the analyst making some theoretical commitments, some prior knowledge, and being in some sort of positioning; reflexivity, the conscious and documented engagement with that positioning, is the right response to that positioning, not the bracketing or the methodological neutrality claims.</w:t>
      </w:r>
    </w:p>
    <w:p w14:paraId="296A4D32" w14:textId="77777777" w:rsidR="003C080E" w:rsidRPr="004F3A92" w:rsidRDefault="003C080E" w:rsidP="001B7817">
      <w:pPr>
        <w:spacing w:before="120" w:after="120" w:line="360" w:lineRule="auto"/>
        <w:jc w:val="both"/>
        <w:rPr>
          <w:color w:val="000000" w:themeColor="text1"/>
        </w:rPr>
      </w:pPr>
      <w:r w:rsidRPr="004F3A92">
        <w:rPr>
          <w:color w:val="000000" w:themeColor="text1"/>
        </w:rPr>
        <w:t xml:space="preserve">The reason as to why reflexive thematic analysis is selected instead of other methods is based on the correspondence of the philosophical assumptions of the method and the study. Framework analysis is a deductive creation of themes based on an agreed-upon analytical scheme - a method more appropriate to applied policy analysis with pre-defined categories than a study of phenomena which may not fit the pre-existing theoretical anticipations in this new situation. At the opposite extreme is grounded theory, which works on the basis of a desire to produce new theory based on data without any prior theoretical commitment - a desire which is incompatible with the interpretivist stance taken in this paper and which is unsuitable in the context of a large theoretical framework that has already been developed in Chapter Two. Reflexive thematic analysis is a method of analysis that is generative, not prescriptive: the theoretical knowledge available to the researcher fine-tunes the analytical lens without dictating the themes that will be identified. As Miles, Huberman and Saldana (2020) observe, such a balance between data-led discovery and theoretical orientation describes </w:t>
      </w:r>
      <w:proofErr w:type="gramStart"/>
      <w:r w:rsidRPr="004F3A92">
        <w:rPr>
          <w:color w:val="000000" w:themeColor="text1"/>
        </w:rPr>
        <w:t>an analytically rigorous qualitative research</w:t>
      </w:r>
      <w:proofErr w:type="gramEnd"/>
      <w:r w:rsidRPr="004F3A92">
        <w:rPr>
          <w:color w:val="000000" w:themeColor="text1"/>
        </w:rPr>
        <w:t xml:space="preserve">. NVivo qualitative data analysis software serves as an </w:t>
      </w:r>
      <w:proofErr w:type="spellStart"/>
      <w:r w:rsidRPr="004F3A92">
        <w:rPr>
          <w:color w:val="000000" w:themeColor="text1"/>
        </w:rPr>
        <w:t>organisational</w:t>
      </w:r>
      <w:proofErr w:type="spellEnd"/>
      <w:r w:rsidRPr="004F3A92">
        <w:rPr>
          <w:color w:val="000000" w:themeColor="text1"/>
        </w:rPr>
        <w:t xml:space="preserve"> resource to facilitate the coding process of fifteen transcripts, without replacing algorithmic </w:t>
      </w:r>
      <w:proofErr w:type="spellStart"/>
      <w:r w:rsidRPr="004F3A92">
        <w:rPr>
          <w:color w:val="000000" w:themeColor="text1"/>
        </w:rPr>
        <w:t>categorisation</w:t>
      </w:r>
      <w:proofErr w:type="spellEnd"/>
      <w:r w:rsidRPr="004F3A92">
        <w:rPr>
          <w:color w:val="000000" w:themeColor="text1"/>
        </w:rPr>
        <w:t xml:space="preserve"> with the interpretive judgement, by the researcher, himself.</w:t>
      </w:r>
    </w:p>
    <w:p w14:paraId="7A0C8B0C" w14:textId="6E20337B" w:rsidR="003E18A4" w:rsidRPr="004F3A92" w:rsidRDefault="003C080E" w:rsidP="001B7817">
      <w:pPr>
        <w:spacing w:before="120" w:after="120" w:line="360" w:lineRule="auto"/>
        <w:jc w:val="both"/>
        <w:rPr>
          <w:color w:val="000000" w:themeColor="text1"/>
        </w:rPr>
      </w:pPr>
      <w:r w:rsidRPr="004F3A92">
        <w:rPr>
          <w:color w:val="000000" w:themeColor="text1"/>
        </w:rPr>
        <w:t xml:space="preserve">It is analyzed according to Braun and Clarke (2022) six-phase process. Phase One The researcher reads the fifteen transcripts multiple times, line by line, in the Phase One, making initial annotations that document substantive observations, questions, and reflexive notes regarding interpretive assumptions triggered by the data. Phase Two is systematic code production - descriptive labels that are used on data segments and give what is analytically important about </w:t>
      </w:r>
      <w:r w:rsidRPr="004F3A92">
        <w:rPr>
          <w:color w:val="000000" w:themeColor="text1"/>
        </w:rPr>
        <w:lastRenderedPageBreak/>
        <w:t xml:space="preserve">them. Coding is used in all the transcripts. The supervising academic independently codes a sample of two transcripts and any differences between the two coding rounds are discussed and worked out before the entire dataset is coded. This is an independent verification that enhances the reliability of the analytical record. Phase Three </w:t>
      </w:r>
      <w:proofErr w:type="gramStart"/>
      <w:r w:rsidRPr="004F3A92">
        <w:rPr>
          <w:color w:val="000000" w:themeColor="text1"/>
        </w:rPr>
        <w:t>groups</w:t>
      </w:r>
      <w:proofErr w:type="gramEnd"/>
      <w:r w:rsidRPr="004F3A92">
        <w:rPr>
          <w:color w:val="000000" w:themeColor="text1"/>
        </w:rPr>
        <w:t xml:space="preserve"> codes into candidate themes, which were reviewed throughout the entire dataset in Phase Four to determine whether each theme narrates a consistent and representative story. Weak or too broad themes are broken down into codes again; new themes which cross an anticipated boundary are retained and analyzed in terms of their analytic importance. Phase Five entails the identification and labeling of each theme with specificity, so that each theme represents a discrete and limited aspect of experience in the participants as opposed to a vaguely assembled assortment of similar observations. Phase Six results in the written account of analysis in Chapter Four where the themes are developed in detail using participant evidence and interpreted within the theoretical framework. There are no inferential statistics and significance levels, and the aim of the study is analytical </w:t>
      </w:r>
      <w:proofErr w:type="spellStart"/>
      <w:r w:rsidRPr="004F3A92">
        <w:rPr>
          <w:color w:val="000000" w:themeColor="text1"/>
        </w:rPr>
        <w:t>rigour</w:t>
      </w:r>
      <w:proofErr w:type="spellEnd"/>
      <w:r w:rsidRPr="004F3A92">
        <w:rPr>
          <w:color w:val="000000" w:themeColor="text1"/>
        </w:rPr>
        <w:t xml:space="preserve"> and not statistical accuracy.</w:t>
      </w:r>
    </w:p>
    <w:p w14:paraId="4E3F48B7" w14:textId="65E29F2A" w:rsidR="003E18A4" w:rsidRPr="004F3A92" w:rsidRDefault="00000000" w:rsidP="001B7817">
      <w:pPr>
        <w:pStyle w:val="Heading3"/>
        <w:numPr>
          <w:ilvl w:val="2"/>
          <w:numId w:val="3"/>
        </w:numPr>
        <w:spacing w:before="120" w:after="120" w:line="360" w:lineRule="auto"/>
        <w:rPr>
          <w:b/>
          <w:bCs/>
          <w:color w:val="000000" w:themeColor="text1"/>
        </w:rPr>
      </w:pPr>
      <w:r w:rsidRPr="004F3A92">
        <w:rPr>
          <w:b/>
          <w:bCs/>
          <w:color w:val="000000" w:themeColor="text1"/>
        </w:rPr>
        <w:t>Validity, Reliability, and Trustworthiness</w:t>
      </w:r>
    </w:p>
    <w:p w14:paraId="2B34A173" w14:textId="77777777" w:rsidR="003C080E" w:rsidRPr="004F3A92" w:rsidRDefault="003C080E" w:rsidP="001B7817">
      <w:pPr>
        <w:spacing w:before="120" w:after="120" w:line="360" w:lineRule="auto"/>
        <w:jc w:val="both"/>
        <w:rPr>
          <w:color w:val="000000" w:themeColor="text1"/>
        </w:rPr>
      </w:pPr>
      <w:r w:rsidRPr="004F3A92">
        <w:rPr>
          <w:color w:val="000000" w:themeColor="text1"/>
        </w:rPr>
        <w:t xml:space="preserve">The quantitative measures of internal validity, external validity and reliability do not make sense in interpreting the qualitative research in the interpretivist paradigm. In a quantitative sense, internal validity is the issue pertaining to whether a tool measures what it claims to measure as part of a controlled experimental design. External validity is an issue of whether the results can be statistically extrapolated to a broader population. The assumptions of these criteria are a realist epistemology and a </w:t>
      </w:r>
      <w:proofErr w:type="spellStart"/>
      <w:r w:rsidRPr="004F3A92">
        <w:rPr>
          <w:color w:val="000000" w:themeColor="text1"/>
        </w:rPr>
        <w:t>standardisation</w:t>
      </w:r>
      <w:proofErr w:type="spellEnd"/>
      <w:r w:rsidRPr="004F3A92">
        <w:rPr>
          <w:color w:val="000000" w:themeColor="text1"/>
        </w:rPr>
        <w:t xml:space="preserve"> of measurement logic that cannot be reconciled with the philosophical premises of this study. Another framework suggested by Lincoln and Guba (1985) was credibility, transferability, dependability and confirmability, which today is widely recognized as the proper standards of qualitative </w:t>
      </w:r>
      <w:proofErr w:type="spellStart"/>
      <w:r w:rsidRPr="004F3A92">
        <w:rPr>
          <w:color w:val="000000" w:themeColor="text1"/>
        </w:rPr>
        <w:t>rigour</w:t>
      </w:r>
      <w:proofErr w:type="spellEnd"/>
      <w:r w:rsidRPr="004F3A92">
        <w:rPr>
          <w:color w:val="000000" w:themeColor="text1"/>
        </w:rPr>
        <w:t>, and these are the standards used in this case.</w:t>
      </w:r>
    </w:p>
    <w:p w14:paraId="524F58F6" w14:textId="1D227ACB" w:rsidR="003E18A4" w:rsidRPr="004F3A92" w:rsidRDefault="003C080E" w:rsidP="001B7817">
      <w:pPr>
        <w:spacing w:before="120" w:after="120" w:line="360" w:lineRule="auto"/>
        <w:jc w:val="both"/>
        <w:rPr>
          <w:color w:val="000000" w:themeColor="text1"/>
        </w:rPr>
      </w:pPr>
      <w:r w:rsidRPr="004F3A92">
        <w:rPr>
          <w:color w:val="000000" w:themeColor="text1"/>
        </w:rPr>
        <w:t xml:space="preserve">Credibility The interpretive equivalent of internal validity is known as credibility which means the degree to which the account given by the researcher reflects the views of the participants. It is strengthened by extended interaction with each school site over several visits before and during data collection, by a member-checking process where essential interpretations made by each participant are returned to them to be confirmed before the final analysis process is performed, and by keeping a reflexive research journal as work in the field progresses where the researcher </w:t>
      </w:r>
      <w:r w:rsidRPr="004F3A92">
        <w:rPr>
          <w:color w:val="000000" w:themeColor="text1"/>
        </w:rPr>
        <w:lastRenderedPageBreak/>
        <w:t xml:space="preserve">documents assumptions, interpretive choices, and analytical doubts as they occur. Transferability - the qualitative analog of </w:t>
      </w:r>
      <w:proofErr w:type="spellStart"/>
      <w:r w:rsidRPr="004F3A92">
        <w:rPr>
          <w:color w:val="000000" w:themeColor="text1"/>
        </w:rPr>
        <w:t>generalisability</w:t>
      </w:r>
      <w:proofErr w:type="spellEnd"/>
      <w:r w:rsidRPr="004F3A92">
        <w:rPr>
          <w:color w:val="000000" w:themeColor="text1"/>
        </w:rPr>
        <w:t xml:space="preserve"> is not offered by statistical projection, but by the descriptive richness and </w:t>
      </w:r>
      <w:proofErr w:type="spellStart"/>
      <w:r w:rsidRPr="004F3A92">
        <w:rPr>
          <w:color w:val="000000" w:themeColor="text1"/>
        </w:rPr>
        <w:t>contextualisation</w:t>
      </w:r>
      <w:proofErr w:type="spellEnd"/>
      <w:r w:rsidRPr="004F3A92">
        <w:rPr>
          <w:color w:val="000000" w:themeColor="text1"/>
        </w:rPr>
        <w:t xml:space="preserve"> of the school settings, the roles of participants, and the conditions in the institutions, which enables the readers to determine themselves whether results can be analytically applied to their own circumstances. Reliability is taken care of by having an audit trail that is kept on all analytical decisions such as the original coded transcripts, theme development notes, and records of commentary on the analysis by the supervisor that records the development of the analysis and exposes it to scrutiny. Confirmability - the extent to which the results are based on the information of the participants instead of the assumption of the researcher - is enhanced with the help of the independent coding verification presented in Section 3.8. According to Nowell et al. (2017), the credibility of a qualitative study cannot be gained by following the procedures but by the consistency and intellectual </w:t>
      </w:r>
      <w:proofErr w:type="spellStart"/>
      <w:r w:rsidRPr="004F3A92">
        <w:rPr>
          <w:color w:val="000000" w:themeColor="text1"/>
        </w:rPr>
        <w:t>rigour</w:t>
      </w:r>
      <w:proofErr w:type="spellEnd"/>
      <w:r w:rsidRPr="004F3A92">
        <w:rPr>
          <w:color w:val="000000" w:themeColor="text1"/>
        </w:rPr>
        <w:t xml:space="preserve"> of the analytical thinking of the researcher, which this study actively seeks using all of the strategies described above.</w:t>
      </w:r>
    </w:p>
    <w:p w14:paraId="4914B799" w14:textId="4BA5C402" w:rsidR="003E18A4" w:rsidRPr="004F3A92" w:rsidRDefault="00000000" w:rsidP="001B7817">
      <w:pPr>
        <w:pStyle w:val="Heading2"/>
        <w:numPr>
          <w:ilvl w:val="1"/>
          <w:numId w:val="3"/>
        </w:numPr>
        <w:spacing w:before="120" w:line="360" w:lineRule="auto"/>
        <w:rPr>
          <w:color w:val="000000" w:themeColor="text1"/>
        </w:rPr>
      </w:pPr>
      <w:r w:rsidRPr="004F3A92">
        <w:rPr>
          <w:color w:val="000000" w:themeColor="text1"/>
        </w:rPr>
        <w:t>Ethical Considerations</w:t>
      </w:r>
    </w:p>
    <w:p w14:paraId="4E34F878" w14:textId="77777777" w:rsidR="003C080E" w:rsidRPr="004F3A92" w:rsidRDefault="003C080E" w:rsidP="001B7817">
      <w:pPr>
        <w:spacing w:before="120" w:after="120" w:line="360" w:lineRule="auto"/>
        <w:jc w:val="both"/>
        <w:rPr>
          <w:color w:val="000000" w:themeColor="text1"/>
        </w:rPr>
      </w:pPr>
      <w:r w:rsidRPr="004F3A92">
        <w:rPr>
          <w:color w:val="000000" w:themeColor="text1"/>
        </w:rPr>
        <w:t>Ethical responsibility to this study is construed as a pragmatic obligation rather than the formality of a procedure. The ethical requirements of fieldwork in Lagos State secondary schools are occasioned by the unique institutional and relational aspects of the fieldwork in the setting of the study. School authority line-ups are top-down and teacher participants might well believe that criticizing their principals is a professional risk. The fact that few of the involved schools have developed research governance frameworks implies that the researcher cannot presuppose that the participants are already aware of the rights which research participation implies. These circumstances influence the ethical procedures implemented in this case in a specific manner.</w:t>
      </w:r>
    </w:p>
    <w:p w14:paraId="612CFD51" w14:textId="77777777" w:rsidR="003C080E" w:rsidRPr="004F3A92" w:rsidRDefault="003C080E" w:rsidP="001B7817">
      <w:pPr>
        <w:spacing w:before="120" w:after="120" w:line="360" w:lineRule="auto"/>
        <w:jc w:val="both"/>
        <w:rPr>
          <w:color w:val="000000" w:themeColor="text1"/>
        </w:rPr>
      </w:pPr>
      <w:r w:rsidRPr="004F3A92">
        <w:rPr>
          <w:color w:val="000000" w:themeColor="text1"/>
        </w:rPr>
        <w:t xml:space="preserve">All participants involved in any data collection are informed of the same beforehand. All participants will be given an information sheet in plain language stating the purpose of the study, the nature and anticipated length of their participation, the voluntary nature of their participation, their right to withdraw at any time with no penalty or explanation, and the intended uses to which the information will be utilized. The consent forms are signed in the presence of the researcher and are kept in a secure place. In the case of teacher participants, the information sheet will clarify that the involvement will in no way depend on the role of a school principal but rather this will be a personal decision of the teacher participant and none of the content of the interviews will be </w:t>
      </w:r>
      <w:r w:rsidRPr="004F3A92">
        <w:rPr>
          <w:color w:val="000000" w:themeColor="text1"/>
        </w:rPr>
        <w:lastRenderedPageBreak/>
        <w:t>reported to the school management by the researcher. The latter is especially crucial in the light of the power relations within the context of Lagos State public secondary school community, in which the participants of the teacher group might be worried that the critical description of leadership might be spread among their principals.</w:t>
      </w:r>
    </w:p>
    <w:p w14:paraId="15FEF195" w14:textId="77777777" w:rsidR="003C080E" w:rsidRPr="004F3A92" w:rsidRDefault="003C080E" w:rsidP="001B7817">
      <w:pPr>
        <w:spacing w:before="120" w:after="120" w:line="360" w:lineRule="auto"/>
        <w:jc w:val="both"/>
        <w:rPr>
          <w:color w:val="000000" w:themeColor="text1"/>
        </w:rPr>
      </w:pPr>
      <w:r w:rsidRPr="004F3A92">
        <w:rPr>
          <w:color w:val="000000" w:themeColor="text1"/>
        </w:rPr>
        <w:t xml:space="preserve">Anonymity and confidentiality are ensured. Schools are identified using pseudonymous identifiers - School A, School B, School C - and participants are identified using pseudonyms before transcription. No names or recognizable institutional information are included in any data file, analysis note, or written product. Institutional characteristics that could enable an informed reader to </w:t>
      </w:r>
      <w:proofErr w:type="spellStart"/>
      <w:r w:rsidRPr="004F3A92">
        <w:rPr>
          <w:color w:val="000000" w:themeColor="text1"/>
        </w:rPr>
        <w:t>recognise</w:t>
      </w:r>
      <w:proofErr w:type="spellEnd"/>
      <w:r w:rsidRPr="004F3A92">
        <w:rPr>
          <w:color w:val="000000" w:themeColor="text1"/>
        </w:rPr>
        <w:t xml:space="preserve"> a school - particular policy initiatives, unusual staffing systems, named community settings - are either </w:t>
      </w:r>
      <w:proofErr w:type="spellStart"/>
      <w:r w:rsidRPr="004F3A92">
        <w:rPr>
          <w:color w:val="000000" w:themeColor="text1"/>
        </w:rPr>
        <w:t>generalised</w:t>
      </w:r>
      <w:proofErr w:type="spellEnd"/>
      <w:r w:rsidRPr="004F3A92">
        <w:rPr>
          <w:color w:val="000000" w:themeColor="text1"/>
        </w:rPr>
        <w:t xml:space="preserve"> or not included in the final report. The storage of all audio records and transcripts will be on the personal encrypted OneDrive account of the researcher, which is secured with a strong password and a two-factor authentication. None of the research data are stored locally on the computer of the researcher other than where the data is uploaded to OneDrive. The data governance policy of the home institution of the researcher is that information about research data containing human participants should be stored within five years of the thesis submission after which all documents are destroyed forever. This is in line with the provisions of the UK General Data Protection Regulation (UK GDPR 2021) that governs the storage, processing, and maintenance of personal data by researchers based in UK institutions, irrespective of their fieldwork location.</w:t>
      </w:r>
    </w:p>
    <w:p w14:paraId="7C33E54B" w14:textId="70869CD8" w:rsidR="003E18A4" w:rsidRPr="004F3A92" w:rsidRDefault="003C080E" w:rsidP="001B7817">
      <w:pPr>
        <w:spacing w:before="120" w:after="120" w:line="360" w:lineRule="auto"/>
        <w:jc w:val="both"/>
        <w:rPr>
          <w:color w:val="000000" w:themeColor="text1"/>
        </w:rPr>
      </w:pPr>
      <w:r w:rsidRPr="004F3A92">
        <w:rPr>
          <w:color w:val="000000" w:themeColor="text1"/>
        </w:rPr>
        <w:t>The right to withdraw of participants is not limited. Any participant can opt to withdraw their data at any stage until four weeks after their interview which is when the transcripts are incorporated into the coded dataset and individual contributions cannot be undone without affecting the integrity of the analysis. These withdrawal limits and the practical limits of the same are described well when the point of consent is reached in a manner that the participants are able to make informed decisions regarding their involvement. The research has been given an ethical clearance by the research ethics committee at the home institution of the researcher before the data is collected and the research is conducted in line with the Ethical Guidelines of the British Educational Research Association (BERA 2024), which provide the responsibilities of the researcher as regards to the participants, institutions, and the community in which the research is carried out. The Lagos State Ministry of Education has also given a formal research permission as a condition to the access to schools.</w:t>
      </w:r>
    </w:p>
    <w:p w14:paraId="6DF05A97" w14:textId="2D190FC5" w:rsidR="003E18A4" w:rsidRPr="004F3A92" w:rsidRDefault="00000000" w:rsidP="001B7817">
      <w:pPr>
        <w:pStyle w:val="Heading2"/>
        <w:numPr>
          <w:ilvl w:val="1"/>
          <w:numId w:val="3"/>
        </w:numPr>
        <w:spacing w:before="120" w:line="360" w:lineRule="auto"/>
        <w:rPr>
          <w:color w:val="000000" w:themeColor="text1"/>
        </w:rPr>
      </w:pPr>
      <w:r w:rsidRPr="004F3A92">
        <w:rPr>
          <w:color w:val="000000" w:themeColor="text1"/>
        </w:rPr>
        <w:lastRenderedPageBreak/>
        <w:t>Chapter Summary</w:t>
      </w:r>
    </w:p>
    <w:p w14:paraId="366330F0" w14:textId="77777777" w:rsidR="003C080E" w:rsidRPr="004F3A92" w:rsidRDefault="003C080E" w:rsidP="001B7817">
      <w:pPr>
        <w:spacing w:before="120" w:after="120" w:line="360" w:lineRule="auto"/>
        <w:jc w:val="both"/>
        <w:rPr>
          <w:color w:val="000000" w:themeColor="text1"/>
        </w:rPr>
      </w:pPr>
      <w:r w:rsidRPr="004F3A92">
        <w:rPr>
          <w:color w:val="000000" w:themeColor="text1"/>
        </w:rPr>
        <w:t>This chapter has developed a methodological argument as opposed to a procedural inventory. Starting with an interpretivist philosophical approach, that is, that the meanings that school leaders and teachers in Lagos State public secondary schools are creating about inclusive education to neuro-diverse learners are only available to measurement of meaning via an interpretive approach, the chapter has defended every successive methodological choice as the logical extension of that premise. The iterative relationship between the social justice leadership theoretical framework and the Lagos State evidence that the study will be exposed to are reflected in an abductive reasoning approach. The research questions demand an institutional depth and cross-site comparison that a qualitative collective case study design across three public secondary schools offers. By not using statistically representative but analytically thin random selection to choose participants, purposive sampling of fifteen participants is used to assure that the data generated is generated by individuals with substantive, relevant experience.</w:t>
      </w:r>
    </w:p>
    <w:p w14:paraId="16593916" w14:textId="77777777" w:rsidR="003C080E" w:rsidRPr="004F3A92" w:rsidRDefault="003C080E" w:rsidP="001B7817">
      <w:pPr>
        <w:spacing w:before="120" w:after="120" w:line="360" w:lineRule="auto"/>
        <w:jc w:val="both"/>
        <w:rPr>
          <w:color w:val="000000" w:themeColor="text1"/>
        </w:rPr>
      </w:pPr>
      <w:r w:rsidRPr="004F3A92">
        <w:rPr>
          <w:color w:val="000000" w:themeColor="text1"/>
        </w:rPr>
        <w:t>The data gathered in semi-structured interviews, which are face-to-face in each of the schools, audio-taped, and promptly saved on the personal encrypted OneDrive of the researcher, are thematically coherent among participants and open to the serendipitous revelations that are stifled by over-structured instruments. The thematic analysis that is reflexive, implemented in the six-phase process suggested by Braun and Clarke (2022), offers an epistemologically appropriate analytical approach to the interpretivist position and can interact with the framework of social justice leadership formulated in Chapter Two productively. Quality is ensured by the member checking, reflexive journaling, a critical audit trail, and independent code verification. Informed consent, participant anonymity, data security, and the right to withdraw are principles that are ethically committed with special consideration of the hierarchical and institutional conditions of Lagos State public secondary schooling.</w:t>
      </w:r>
    </w:p>
    <w:p w14:paraId="44FBEDF6" w14:textId="22D94124" w:rsidR="003C080E" w:rsidRPr="004F3A92" w:rsidRDefault="003C080E" w:rsidP="001B7817">
      <w:pPr>
        <w:spacing w:before="120" w:after="120" w:line="360" w:lineRule="auto"/>
        <w:jc w:val="both"/>
        <w:rPr>
          <w:color w:val="000000" w:themeColor="text1"/>
        </w:rPr>
        <w:sectPr w:rsidR="003C080E" w:rsidRPr="004F3A92">
          <w:pgSz w:w="12240" w:h="15840"/>
          <w:pgMar w:top="1440" w:right="1440" w:bottom="1440" w:left="1440" w:header="708" w:footer="708" w:gutter="0"/>
          <w:cols w:space="720"/>
          <w:docGrid w:linePitch="360"/>
        </w:sectPr>
      </w:pPr>
      <w:r w:rsidRPr="004F3A92">
        <w:rPr>
          <w:color w:val="000000" w:themeColor="text1"/>
        </w:rPr>
        <w:t>The methodology is inherently consistent and can produce defensible contextually-grounded evidence to address the research problem. Every decision has passed the test of being compared with at least one plausible alternative, and the justification of rejection in any particular case has been based upon the intellectual and practical conditions of this study, and not on generic preference.</w:t>
      </w:r>
    </w:p>
    <w:p w14:paraId="19EB6635" w14:textId="77777777" w:rsidR="003E18A4" w:rsidRPr="004F3A92" w:rsidRDefault="00000000" w:rsidP="001B7817">
      <w:pPr>
        <w:spacing w:before="120" w:after="120" w:line="360" w:lineRule="auto"/>
        <w:rPr>
          <w:color w:val="000000" w:themeColor="text1"/>
        </w:rPr>
      </w:pPr>
      <w:r w:rsidRPr="004F3A92">
        <w:rPr>
          <w:b/>
          <w:bCs/>
          <w:color w:val="000000" w:themeColor="text1"/>
          <w:sz w:val="26"/>
          <w:szCs w:val="26"/>
        </w:rPr>
        <w:lastRenderedPageBreak/>
        <w:t>References</w:t>
      </w:r>
    </w:p>
    <w:p w14:paraId="76BCB5B9"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BERA (2024) Ethical Guidelines for Educational Research. 5th </w:t>
      </w:r>
      <w:proofErr w:type="spellStart"/>
      <w:r w:rsidRPr="004F3A92">
        <w:rPr>
          <w:color w:val="000000" w:themeColor="text1"/>
          <w:sz w:val="22"/>
          <w:szCs w:val="22"/>
        </w:rPr>
        <w:t>edn</w:t>
      </w:r>
      <w:proofErr w:type="spellEnd"/>
      <w:r w:rsidRPr="004F3A92">
        <w:rPr>
          <w:color w:val="000000" w:themeColor="text1"/>
          <w:sz w:val="22"/>
          <w:szCs w:val="22"/>
        </w:rPr>
        <w:t>. London: British Educational Research Association.</w:t>
      </w:r>
    </w:p>
    <w:p w14:paraId="40947C6F"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Bhaskar, R. (1998) The Possibility of Naturalism: A Philosophical Critique of the Contemporary Human Sciences. 3rd </w:t>
      </w:r>
      <w:proofErr w:type="spellStart"/>
      <w:r w:rsidRPr="004F3A92">
        <w:rPr>
          <w:color w:val="000000" w:themeColor="text1"/>
          <w:sz w:val="22"/>
          <w:szCs w:val="22"/>
        </w:rPr>
        <w:t>edn</w:t>
      </w:r>
      <w:proofErr w:type="spellEnd"/>
      <w:r w:rsidRPr="004F3A92">
        <w:rPr>
          <w:color w:val="000000" w:themeColor="text1"/>
          <w:sz w:val="22"/>
          <w:szCs w:val="22"/>
        </w:rPr>
        <w:t>. London: Routledge.</w:t>
      </w:r>
    </w:p>
    <w:p w14:paraId="1B767C7A"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Braun, V. and Clarke, V. (2019) Reflecting on reflexive thematic analysis. Qualitative Research in Sport, Exercise and Health, 11(4), pp. 589–597.</w:t>
      </w:r>
    </w:p>
    <w:p w14:paraId="2B92191B"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Braun, V. and Clarke, V. (2022) Thematic Analysis: A Practical Guide. London: SAGE.</w:t>
      </w:r>
    </w:p>
    <w:p w14:paraId="1ED9F0E9"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Bryman, A. (2016) Social Research Methods. 5th </w:t>
      </w:r>
      <w:proofErr w:type="spellStart"/>
      <w:r w:rsidRPr="004F3A92">
        <w:rPr>
          <w:color w:val="000000" w:themeColor="text1"/>
          <w:sz w:val="22"/>
          <w:szCs w:val="22"/>
        </w:rPr>
        <w:t>edn</w:t>
      </w:r>
      <w:proofErr w:type="spellEnd"/>
      <w:r w:rsidRPr="004F3A92">
        <w:rPr>
          <w:color w:val="000000" w:themeColor="text1"/>
          <w:sz w:val="22"/>
          <w:szCs w:val="22"/>
        </w:rPr>
        <w:t>. Oxford: Oxford University Press.</w:t>
      </w:r>
    </w:p>
    <w:p w14:paraId="29FBD4CA"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Cohen, L., Manion, L. and Morrison, K. (2018) Research Methods in Education. 8th </w:t>
      </w:r>
      <w:proofErr w:type="spellStart"/>
      <w:r w:rsidRPr="004F3A92">
        <w:rPr>
          <w:color w:val="000000" w:themeColor="text1"/>
          <w:sz w:val="22"/>
          <w:szCs w:val="22"/>
        </w:rPr>
        <w:t>edn</w:t>
      </w:r>
      <w:proofErr w:type="spellEnd"/>
      <w:r w:rsidRPr="004F3A92">
        <w:rPr>
          <w:color w:val="000000" w:themeColor="text1"/>
          <w:sz w:val="22"/>
          <w:szCs w:val="22"/>
        </w:rPr>
        <w:t>. London: Routledge.</w:t>
      </w:r>
    </w:p>
    <w:p w14:paraId="3D1F216D"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Collis, J. and Hussey, R. (2021) Business Research: A Practical Guide for Undergraduate and Postgraduate Students. 5th </w:t>
      </w:r>
      <w:proofErr w:type="spellStart"/>
      <w:r w:rsidRPr="004F3A92">
        <w:rPr>
          <w:color w:val="000000" w:themeColor="text1"/>
          <w:sz w:val="22"/>
          <w:szCs w:val="22"/>
        </w:rPr>
        <w:t>edn</w:t>
      </w:r>
      <w:proofErr w:type="spellEnd"/>
      <w:r w:rsidRPr="004F3A92">
        <w:rPr>
          <w:color w:val="000000" w:themeColor="text1"/>
          <w:sz w:val="22"/>
          <w:szCs w:val="22"/>
        </w:rPr>
        <w:t>. London: Macmillan.</w:t>
      </w:r>
    </w:p>
    <w:p w14:paraId="6E52167B"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Creswell, J.W. and Poth, C.N. (2018) Qualitative Inquiry and Research Design: Choosing Among Five Approaches. 4th </w:t>
      </w:r>
      <w:proofErr w:type="spellStart"/>
      <w:r w:rsidRPr="004F3A92">
        <w:rPr>
          <w:color w:val="000000" w:themeColor="text1"/>
          <w:sz w:val="22"/>
          <w:szCs w:val="22"/>
        </w:rPr>
        <w:t>edn</w:t>
      </w:r>
      <w:proofErr w:type="spellEnd"/>
      <w:r w:rsidRPr="004F3A92">
        <w:rPr>
          <w:color w:val="000000" w:themeColor="text1"/>
          <w:sz w:val="22"/>
          <w:szCs w:val="22"/>
        </w:rPr>
        <w:t>. Thousand Oaks, CA: SAGE.</w:t>
      </w:r>
    </w:p>
    <w:p w14:paraId="5E355C40"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Dewey, J. (1938) Experience and Education. New York: Macmillan.</w:t>
      </w:r>
    </w:p>
    <w:p w14:paraId="4020EEEC"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DiCicco-Bloom, B. and Crabtree, B.F. (2006) The qualitative research interview. Medical Education, 40(4), pp. 314–321.</w:t>
      </w:r>
    </w:p>
    <w:p w14:paraId="4A7AAE3F"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Fletcher, A.J. (2017) Applying critical realism in qualitative research: methodology meets method. International Journal of Social Research Methodology, 20(2), pp. 181–194.</w:t>
      </w:r>
    </w:p>
    <w:p w14:paraId="5F7B90E9"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Flyvbjerg, B. (2011) Case study. In: Denzin, N.K. and Lincoln, Y.S. (eds.) The SAGE Handbook of Qualitative Research. 4th </w:t>
      </w:r>
      <w:proofErr w:type="spellStart"/>
      <w:r w:rsidRPr="004F3A92">
        <w:rPr>
          <w:color w:val="000000" w:themeColor="text1"/>
          <w:sz w:val="22"/>
          <w:szCs w:val="22"/>
        </w:rPr>
        <w:t>edn</w:t>
      </w:r>
      <w:proofErr w:type="spellEnd"/>
      <w:r w:rsidRPr="004F3A92">
        <w:rPr>
          <w:color w:val="000000" w:themeColor="text1"/>
          <w:sz w:val="22"/>
          <w:szCs w:val="22"/>
        </w:rPr>
        <w:t>. Thousand Oaks, CA: SAGE, pp. 301–316.</w:t>
      </w:r>
    </w:p>
    <w:p w14:paraId="2273154F"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Hoppey, D. and McLeskey, J. (2013) A case study of principal leadership in an effective inclusive school. Journal of Special Education, 46(4), pp. 245–256.</w:t>
      </w:r>
    </w:p>
    <w:p w14:paraId="3405494C"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Kvale, S. and Brinkmann, S. (2009) </w:t>
      </w:r>
      <w:proofErr w:type="spellStart"/>
      <w:r w:rsidRPr="004F3A92">
        <w:rPr>
          <w:color w:val="000000" w:themeColor="text1"/>
          <w:sz w:val="22"/>
          <w:szCs w:val="22"/>
        </w:rPr>
        <w:t>InterViews</w:t>
      </w:r>
      <w:proofErr w:type="spellEnd"/>
      <w:r w:rsidRPr="004F3A92">
        <w:rPr>
          <w:color w:val="000000" w:themeColor="text1"/>
          <w:sz w:val="22"/>
          <w:szCs w:val="22"/>
        </w:rPr>
        <w:t xml:space="preserve">: Learning the Craft of Qualitative Research Interviewing. 2nd </w:t>
      </w:r>
      <w:proofErr w:type="spellStart"/>
      <w:r w:rsidRPr="004F3A92">
        <w:rPr>
          <w:color w:val="000000" w:themeColor="text1"/>
          <w:sz w:val="22"/>
          <w:szCs w:val="22"/>
        </w:rPr>
        <w:t>edn</w:t>
      </w:r>
      <w:proofErr w:type="spellEnd"/>
      <w:r w:rsidRPr="004F3A92">
        <w:rPr>
          <w:color w:val="000000" w:themeColor="text1"/>
          <w:sz w:val="22"/>
          <w:szCs w:val="22"/>
        </w:rPr>
        <w:t>. Thousand Oaks, CA: SAGE.</w:t>
      </w:r>
    </w:p>
    <w:p w14:paraId="49D9BB08"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Lincoln, Y.S. and Guba, E.G. (1985) Naturalistic Inquiry. Beverly Hills, CA: SAGE.</w:t>
      </w:r>
    </w:p>
    <w:p w14:paraId="40E8F441" w14:textId="77777777" w:rsidR="003E18A4" w:rsidRPr="004F3A92" w:rsidRDefault="00000000" w:rsidP="001B7817">
      <w:pPr>
        <w:spacing w:before="120" w:after="120" w:line="360" w:lineRule="auto"/>
        <w:ind w:left="720" w:hanging="720"/>
        <w:rPr>
          <w:color w:val="000000" w:themeColor="text1"/>
        </w:rPr>
      </w:pPr>
      <w:proofErr w:type="spellStart"/>
      <w:r w:rsidRPr="004F3A92">
        <w:rPr>
          <w:color w:val="000000" w:themeColor="text1"/>
          <w:sz w:val="22"/>
          <w:szCs w:val="22"/>
        </w:rPr>
        <w:t>Malterud</w:t>
      </w:r>
      <w:proofErr w:type="spellEnd"/>
      <w:r w:rsidRPr="004F3A92">
        <w:rPr>
          <w:color w:val="000000" w:themeColor="text1"/>
          <w:sz w:val="22"/>
          <w:szCs w:val="22"/>
        </w:rPr>
        <w:t>, K., Siersma, V.D. and Guassora, A.D. (2016) Sample size in qualitative interview studies: guided by information power. Qualitative Health Research, 26(13), pp. 1753–1760.</w:t>
      </w:r>
    </w:p>
    <w:p w14:paraId="43EF2CFE"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lastRenderedPageBreak/>
        <w:t xml:space="preserve">Merriam, S.B. and Tisdell, E.J. (2016) Qualitative Research: A Guide to Design and Implementation. 4th </w:t>
      </w:r>
      <w:proofErr w:type="spellStart"/>
      <w:r w:rsidRPr="004F3A92">
        <w:rPr>
          <w:color w:val="000000" w:themeColor="text1"/>
          <w:sz w:val="22"/>
          <w:szCs w:val="22"/>
        </w:rPr>
        <w:t>edn</w:t>
      </w:r>
      <w:proofErr w:type="spellEnd"/>
      <w:r w:rsidRPr="004F3A92">
        <w:rPr>
          <w:color w:val="000000" w:themeColor="text1"/>
          <w:sz w:val="22"/>
          <w:szCs w:val="22"/>
        </w:rPr>
        <w:t>. San Francisco: Jossey-Bass.</w:t>
      </w:r>
    </w:p>
    <w:p w14:paraId="499DDBC6"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Miles, M.B., Huberman, A.M. and Saldana, J. (2020) Qualitative Data Analysis: A Methods Sourcebook. 4th </w:t>
      </w:r>
      <w:proofErr w:type="spellStart"/>
      <w:r w:rsidRPr="004F3A92">
        <w:rPr>
          <w:color w:val="000000" w:themeColor="text1"/>
          <w:sz w:val="22"/>
          <w:szCs w:val="22"/>
        </w:rPr>
        <w:t>edn</w:t>
      </w:r>
      <w:proofErr w:type="spellEnd"/>
      <w:r w:rsidRPr="004F3A92">
        <w:rPr>
          <w:color w:val="000000" w:themeColor="text1"/>
          <w:sz w:val="22"/>
          <w:szCs w:val="22"/>
        </w:rPr>
        <w:t>. Thousand Oaks, CA: SAGE.</w:t>
      </w:r>
    </w:p>
    <w:p w14:paraId="48050A0E"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Morgan, D.L. (2014) Integrating Qualitative and Quantitative Methods: A Pragmatic Approach. Thousand Oaks, CA: SAGE.</w:t>
      </w:r>
    </w:p>
    <w:p w14:paraId="045F8DBC"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Nowell, L.S., Norris, J.M., White, D.E. and Moules, N.J. (2017) Thematic analysis: striving to meet the trustworthiness criteria. International Journal of Qualitative Methods, 16(1). doi:10.1177/1609406917733847.</w:t>
      </w:r>
    </w:p>
    <w:p w14:paraId="60CD262F"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Patton, M.Q. (2015) Qualitative Research and Evaluation Methods. 4th </w:t>
      </w:r>
      <w:proofErr w:type="spellStart"/>
      <w:r w:rsidRPr="004F3A92">
        <w:rPr>
          <w:color w:val="000000" w:themeColor="text1"/>
          <w:sz w:val="22"/>
          <w:szCs w:val="22"/>
        </w:rPr>
        <w:t>edn</w:t>
      </w:r>
      <w:proofErr w:type="spellEnd"/>
      <w:r w:rsidRPr="004F3A92">
        <w:rPr>
          <w:color w:val="000000" w:themeColor="text1"/>
          <w:sz w:val="22"/>
          <w:szCs w:val="22"/>
        </w:rPr>
        <w:t>. Thousand Oaks, CA: SAGE.</w:t>
      </w:r>
    </w:p>
    <w:p w14:paraId="393EBE74"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Robinson, O.C. (2014) Sampling in interview-based qualitative research: a theoretical and practical guide. Qualitative Research in Psychology, 11(1), pp. 25–41.</w:t>
      </w:r>
    </w:p>
    <w:p w14:paraId="371D38C4"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Saunders, M., Lewis, P. and Thornhill, A. (2019) Research Methods for Business Students. 8th </w:t>
      </w:r>
      <w:proofErr w:type="spellStart"/>
      <w:r w:rsidRPr="004F3A92">
        <w:rPr>
          <w:color w:val="000000" w:themeColor="text1"/>
          <w:sz w:val="22"/>
          <w:szCs w:val="22"/>
        </w:rPr>
        <w:t>edn</w:t>
      </w:r>
      <w:proofErr w:type="spellEnd"/>
      <w:r w:rsidRPr="004F3A92">
        <w:rPr>
          <w:color w:val="000000" w:themeColor="text1"/>
          <w:sz w:val="22"/>
          <w:szCs w:val="22"/>
        </w:rPr>
        <w:t>. Harlow: Pearson.</w:t>
      </w:r>
    </w:p>
    <w:p w14:paraId="77177BC2"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Scotland, J. (2012) Exploring the philosophical underpinnings of research: relating ontology and epistemology to the methodology and methods of the scientific, interpretive, and critical research paradigms. English Language Teaching, 5(9), pp. 9–16.</w:t>
      </w:r>
    </w:p>
    <w:p w14:paraId="5AF3C965"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Stake, R.E. (1995) The Art of Case Study Research. Thousand Oaks, CA: SAGE.</w:t>
      </w:r>
    </w:p>
    <w:p w14:paraId="558214B6"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Thomas, G. (2021) How to Do Your Research Project: A Guide for Students. 4th </w:t>
      </w:r>
      <w:proofErr w:type="spellStart"/>
      <w:r w:rsidRPr="004F3A92">
        <w:rPr>
          <w:color w:val="000000" w:themeColor="text1"/>
          <w:sz w:val="22"/>
          <w:szCs w:val="22"/>
        </w:rPr>
        <w:t>edn</w:t>
      </w:r>
      <w:proofErr w:type="spellEnd"/>
      <w:r w:rsidRPr="004F3A92">
        <w:rPr>
          <w:color w:val="000000" w:themeColor="text1"/>
          <w:sz w:val="22"/>
          <w:szCs w:val="22"/>
        </w:rPr>
        <w:t>. London: SAGE.</w:t>
      </w:r>
    </w:p>
    <w:p w14:paraId="7A616EF8"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UK General Data Protection Regulation (2021) Available at: www.ico.org.uk (Accessed: 20 April 2026).</w:t>
      </w:r>
    </w:p>
    <w:p w14:paraId="06EB0CAB" w14:textId="77777777" w:rsidR="003E18A4" w:rsidRPr="004F3A92" w:rsidRDefault="00000000" w:rsidP="001B7817">
      <w:pPr>
        <w:spacing w:before="120" w:after="120" w:line="360" w:lineRule="auto"/>
        <w:ind w:left="720" w:hanging="720"/>
        <w:rPr>
          <w:color w:val="000000" w:themeColor="text1"/>
        </w:rPr>
      </w:pPr>
      <w:r w:rsidRPr="004F3A92">
        <w:rPr>
          <w:color w:val="000000" w:themeColor="text1"/>
          <w:sz w:val="22"/>
          <w:szCs w:val="22"/>
        </w:rPr>
        <w:t xml:space="preserve">Yin, R.K. (2018) Case Study Research and Design Methods. 6th </w:t>
      </w:r>
      <w:proofErr w:type="spellStart"/>
      <w:r w:rsidRPr="004F3A92">
        <w:rPr>
          <w:color w:val="000000" w:themeColor="text1"/>
          <w:sz w:val="22"/>
          <w:szCs w:val="22"/>
        </w:rPr>
        <w:t>edn</w:t>
      </w:r>
      <w:proofErr w:type="spellEnd"/>
      <w:r w:rsidRPr="004F3A92">
        <w:rPr>
          <w:color w:val="000000" w:themeColor="text1"/>
          <w:sz w:val="22"/>
          <w:szCs w:val="22"/>
        </w:rPr>
        <w:t>. Thousand Oaks, CA: SAGE.</w:t>
      </w:r>
    </w:p>
    <w:sectPr w:rsidR="003E18A4" w:rsidRPr="004F3A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77D54"/>
    <w:multiLevelType w:val="multilevel"/>
    <w:tmpl w:val="87D8C90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70D44FF"/>
    <w:multiLevelType w:val="hybridMultilevel"/>
    <w:tmpl w:val="D6181052"/>
    <w:lvl w:ilvl="0" w:tplc="59C2D25A">
      <w:start w:val="1"/>
      <w:numFmt w:val="bullet"/>
      <w:lvlText w:val="●"/>
      <w:lvlJc w:val="left"/>
      <w:pPr>
        <w:ind w:left="720" w:hanging="360"/>
      </w:pPr>
    </w:lvl>
    <w:lvl w:ilvl="1" w:tplc="5C32594C">
      <w:start w:val="1"/>
      <w:numFmt w:val="bullet"/>
      <w:lvlText w:val="○"/>
      <w:lvlJc w:val="left"/>
      <w:pPr>
        <w:ind w:left="1440" w:hanging="360"/>
      </w:pPr>
    </w:lvl>
    <w:lvl w:ilvl="2" w:tplc="247E6658">
      <w:start w:val="1"/>
      <w:numFmt w:val="bullet"/>
      <w:lvlText w:val="■"/>
      <w:lvlJc w:val="left"/>
      <w:pPr>
        <w:ind w:left="2160" w:hanging="360"/>
      </w:pPr>
    </w:lvl>
    <w:lvl w:ilvl="3" w:tplc="B11E3CBC">
      <w:start w:val="1"/>
      <w:numFmt w:val="bullet"/>
      <w:lvlText w:val="●"/>
      <w:lvlJc w:val="left"/>
      <w:pPr>
        <w:ind w:left="2880" w:hanging="360"/>
      </w:pPr>
    </w:lvl>
    <w:lvl w:ilvl="4" w:tplc="4A562794">
      <w:start w:val="1"/>
      <w:numFmt w:val="bullet"/>
      <w:lvlText w:val="○"/>
      <w:lvlJc w:val="left"/>
      <w:pPr>
        <w:ind w:left="3600" w:hanging="360"/>
      </w:pPr>
    </w:lvl>
    <w:lvl w:ilvl="5" w:tplc="9EDCE400">
      <w:start w:val="1"/>
      <w:numFmt w:val="bullet"/>
      <w:lvlText w:val="■"/>
      <w:lvlJc w:val="left"/>
      <w:pPr>
        <w:ind w:left="4320" w:hanging="360"/>
      </w:pPr>
    </w:lvl>
    <w:lvl w:ilvl="6" w:tplc="664259FE">
      <w:start w:val="1"/>
      <w:numFmt w:val="bullet"/>
      <w:lvlText w:val="●"/>
      <w:lvlJc w:val="left"/>
      <w:pPr>
        <w:ind w:left="5040" w:hanging="360"/>
      </w:pPr>
    </w:lvl>
    <w:lvl w:ilvl="7" w:tplc="E060666A">
      <w:start w:val="1"/>
      <w:numFmt w:val="bullet"/>
      <w:lvlText w:val="●"/>
      <w:lvlJc w:val="left"/>
      <w:pPr>
        <w:ind w:left="5760" w:hanging="360"/>
      </w:pPr>
    </w:lvl>
    <w:lvl w:ilvl="8" w:tplc="4FAE1E98">
      <w:start w:val="1"/>
      <w:numFmt w:val="bullet"/>
      <w:lvlText w:val="●"/>
      <w:lvlJc w:val="left"/>
      <w:pPr>
        <w:ind w:left="6480" w:hanging="360"/>
      </w:pPr>
    </w:lvl>
  </w:abstractNum>
  <w:abstractNum w:abstractNumId="2" w15:restartNumberingAfterBreak="0">
    <w:nsid w:val="307233F7"/>
    <w:multiLevelType w:val="hybridMultilevel"/>
    <w:tmpl w:val="70167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4553477">
    <w:abstractNumId w:val="1"/>
    <w:lvlOverride w:ilvl="0">
      <w:startOverride w:val="1"/>
    </w:lvlOverride>
  </w:num>
  <w:num w:numId="2" w16cid:durableId="956326205">
    <w:abstractNumId w:val="2"/>
  </w:num>
  <w:num w:numId="3" w16cid:durableId="1634287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8A4"/>
    <w:rsid w:val="001B7817"/>
    <w:rsid w:val="003C080E"/>
    <w:rsid w:val="003E18A4"/>
    <w:rsid w:val="004F3A92"/>
    <w:rsid w:val="005C5572"/>
    <w:rsid w:val="006054C7"/>
    <w:rsid w:val="007735B4"/>
    <w:rsid w:val="00937312"/>
    <w:rsid w:val="00CF1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83D45"/>
  <w15:docId w15:val="{CACA525F-1E62-4F98-ADDE-F06161EC1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jc w:val="center"/>
      <w:outlineLvl w:val="0"/>
    </w:pPr>
    <w:rPr>
      <w:b/>
      <w:bCs/>
      <w:cap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7320</Words>
  <Characters>41727</Characters>
  <Application>Microsoft Office Word</Application>
  <DocSecurity>0</DocSecurity>
  <Lines>347</Lines>
  <Paragraphs>97</Paragraphs>
  <ScaleCrop>false</ScaleCrop>
  <Company/>
  <LinksUpToDate>false</LinksUpToDate>
  <CharactersWithSpaces>48950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7</cp:revision>
  <dcterms:created xsi:type="dcterms:W3CDTF">2026-04-22T11:37:00Z</dcterms:created>
  <dcterms:modified xsi:type="dcterms:W3CDTF">2026-04-24T12:27:00Z</dcterms:modified>
</cp:coreProperties>
</file>