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33C855" w14:textId="77777777" w:rsidR="000E642F" w:rsidRDefault="000E642F">
      <w:pPr>
        <w:spacing w:after="100"/>
        <w:rPr>
          <w:color w:val="000000" w:themeColor="text1"/>
        </w:rPr>
      </w:pPr>
    </w:p>
    <w:p w14:paraId="09228E18" w14:textId="77777777" w:rsidR="00527A9F" w:rsidRDefault="00527A9F">
      <w:pPr>
        <w:spacing w:after="100"/>
        <w:rPr>
          <w:color w:val="000000" w:themeColor="text1"/>
        </w:rPr>
      </w:pPr>
    </w:p>
    <w:p w14:paraId="7A84BDC0" w14:textId="77777777" w:rsidR="00527A9F" w:rsidRDefault="00527A9F">
      <w:pPr>
        <w:spacing w:after="100"/>
        <w:rPr>
          <w:color w:val="000000" w:themeColor="text1"/>
        </w:rPr>
      </w:pPr>
    </w:p>
    <w:p w14:paraId="5EAB776D" w14:textId="77777777" w:rsidR="00527A9F" w:rsidRDefault="00527A9F">
      <w:pPr>
        <w:spacing w:after="100"/>
        <w:rPr>
          <w:color w:val="000000" w:themeColor="text1"/>
        </w:rPr>
      </w:pPr>
    </w:p>
    <w:p w14:paraId="7DE53F97" w14:textId="77777777" w:rsidR="00527A9F" w:rsidRPr="00FE1FBD" w:rsidRDefault="00527A9F">
      <w:pPr>
        <w:spacing w:after="100"/>
        <w:rPr>
          <w:color w:val="000000" w:themeColor="text1"/>
        </w:rPr>
      </w:pPr>
    </w:p>
    <w:p w14:paraId="20992EAF" w14:textId="77777777" w:rsidR="000E642F" w:rsidRPr="00FE1FBD" w:rsidRDefault="000E642F">
      <w:pPr>
        <w:spacing w:after="100"/>
        <w:rPr>
          <w:color w:val="000000" w:themeColor="text1"/>
        </w:rPr>
      </w:pPr>
    </w:p>
    <w:p w14:paraId="2FA0C631" w14:textId="77777777" w:rsidR="000E642F" w:rsidRPr="00FE1FBD" w:rsidRDefault="000E642F">
      <w:pPr>
        <w:spacing w:after="100"/>
        <w:rPr>
          <w:color w:val="000000" w:themeColor="text1"/>
        </w:rPr>
      </w:pPr>
    </w:p>
    <w:p w14:paraId="45E01EBE" w14:textId="77777777" w:rsidR="000E642F" w:rsidRPr="00802FCD" w:rsidRDefault="00000000">
      <w:pPr>
        <w:spacing w:after="300"/>
        <w:jc w:val="center"/>
        <w:rPr>
          <w:color w:val="000000" w:themeColor="text1"/>
          <w:sz w:val="32"/>
          <w:szCs w:val="32"/>
        </w:rPr>
      </w:pPr>
      <w:r w:rsidRPr="00802FCD">
        <w:rPr>
          <w:b/>
          <w:bCs/>
          <w:color w:val="000000" w:themeColor="text1"/>
          <w:sz w:val="32"/>
          <w:szCs w:val="32"/>
        </w:rPr>
        <w:t>Responsibilities of a Health and Social Care Worker</w:t>
      </w:r>
    </w:p>
    <w:p w14:paraId="4E3881F3" w14:textId="1E623EAF" w:rsidR="00F16B60" w:rsidRPr="00802FCD" w:rsidRDefault="00000000" w:rsidP="00FE1FBD">
      <w:pPr>
        <w:spacing w:after="200"/>
        <w:jc w:val="center"/>
        <w:rPr>
          <w:color w:val="000000" w:themeColor="text1"/>
          <w:sz w:val="28"/>
          <w:szCs w:val="28"/>
        </w:rPr>
      </w:pPr>
      <w:r w:rsidRPr="00802FCD">
        <w:rPr>
          <w:color w:val="000000" w:themeColor="text1"/>
          <w:sz w:val="28"/>
          <w:szCs w:val="28"/>
        </w:rPr>
        <w:t>Portfolio of Evidence</w:t>
      </w:r>
      <w:r w:rsidR="00FE1FBD" w:rsidRPr="00802FCD">
        <w:rPr>
          <w:color w:val="000000" w:themeColor="text1"/>
          <w:sz w:val="28"/>
          <w:szCs w:val="28"/>
        </w:rPr>
        <w:t xml:space="preserve"> </w:t>
      </w:r>
      <w:r w:rsidR="00802FCD" w:rsidRPr="00802FCD">
        <w:rPr>
          <w:color w:val="000000" w:themeColor="text1"/>
          <w:sz w:val="28"/>
          <w:szCs w:val="28"/>
        </w:rPr>
        <w:t xml:space="preserve">| </w:t>
      </w:r>
      <w:r w:rsidR="00F16B60" w:rsidRPr="00802FCD">
        <w:rPr>
          <w:color w:val="000000" w:themeColor="text1"/>
          <w:sz w:val="28"/>
          <w:szCs w:val="28"/>
        </w:rPr>
        <w:t>Report</w:t>
      </w:r>
    </w:p>
    <w:p w14:paraId="68DE375E" w14:textId="77777777" w:rsidR="000E642F" w:rsidRPr="00FE1FBD" w:rsidRDefault="00000000">
      <w:pPr>
        <w:spacing w:after="100"/>
        <w:jc w:val="center"/>
        <w:rPr>
          <w:color w:val="000000" w:themeColor="text1"/>
        </w:rPr>
      </w:pPr>
      <w:r w:rsidRPr="00FE1FBD">
        <w:rPr>
          <w:color w:val="000000" w:themeColor="text1"/>
        </w:rPr>
        <w:t>OTHM Level 3 Foundation Diploma in Health and Social Care</w:t>
      </w:r>
    </w:p>
    <w:p w14:paraId="2FFF0729" w14:textId="77777777" w:rsidR="000E642F" w:rsidRPr="00FE1FBD" w:rsidRDefault="00000000">
      <w:pPr>
        <w:spacing w:after="100"/>
        <w:jc w:val="center"/>
        <w:rPr>
          <w:color w:val="000000" w:themeColor="text1"/>
        </w:rPr>
      </w:pPr>
      <w:r w:rsidRPr="00FE1FBD">
        <w:rPr>
          <w:color w:val="000000" w:themeColor="text1"/>
          <w:sz w:val="22"/>
          <w:szCs w:val="22"/>
        </w:rPr>
        <w:t>Unit Reference: H/618/5284 | Unit Level 3</w:t>
      </w:r>
    </w:p>
    <w:p w14:paraId="65C28CF4" w14:textId="43D2657C" w:rsidR="000E642F" w:rsidRPr="00FE1FBD" w:rsidRDefault="000E642F">
      <w:pPr>
        <w:spacing w:after="600"/>
        <w:jc w:val="center"/>
        <w:rPr>
          <w:color w:val="000000" w:themeColor="text1"/>
        </w:rPr>
      </w:pPr>
    </w:p>
    <w:p w14:paraId="73A65D68" w14:textId="77777777" w:rsidR="000E642F" w:rsidRPr="00FE1FBD" w:rsidRDefault="000E642F">
      <w:pPr>
        <w:spacing w:after="100"/>
        <w:rPr>
          <w:color w:val="000000" w:themeColor="text1"/>
        </w:rPr>
      </w:pPr>
    </w:p>
    <w:p w14:paraId="505A46C8" w14:textId="77777777" w:rsidR="000E642F" w:rsidRPr="00FE1FBD" w:rsidRDefault="000E642F">
      <w:pPr>
        <w:spacing w:after="100"/>
        <w:rPr>
          <w:color w:val="000000" w:themeColor="text1"/>
        </w:rPr>
      </w:pPr>
    </w:p>
    <w:p w14:paraId="325A44FE" w14:textId="77777777" w:rsidR="000E642F" w:rsidRPr="00FE1FBD" w:rsidRDefault="000E642F">
      <w:pPr>
        <w:spacing w:after="100"/>
        <w:rPr>
          <w:color w:val="000000" w:themeColor="text1"/>
        </w:rPr>
      </w:pPr>
    </w:p>
    <w:p w14:paraId="4C15920C" w14:textId="77777777" w:rsidR="000E642F" w:rsidRPr="00FE1FBD" w:rsidRDefault="00000000">
      <w:pPr>
        <w:rPr>
          <w:color w:val="000000" w:themeColor="text1"/>
        </w:rPr>
      </w:pPr>
      <w:r w:rsidRPr="00FE1FBD">
        <w:rPr>
          <w:color w:val="000000" w:themeColor="text1"/>
        </w:rPr>
        <w:br w:type="page"/>
      </w:r>
    </w:p>
    <w:p w14:paraId="7290C507" w14:textId="77777777" w:rsidR="000E642F" w:rsidRPr="00802FCD" w:rsidRDefault="00000000" w:rsidP="00802FCD">
      <w:pPr>
        <w:pStyle w:val="Heading1"/>
        <w:spacing w:before="120" w:after="120"/>
        <w:rPr>
          <w:color w:val="000000" w:themeColor="text1"/>
          <w:sz w:val="24"/>
          <w:szCs w:val="24"/>
        </w:rPr>
      </w:pPr>
      <w:r w:rsidRPr="00802FCD">
        <w:rPr>
          <w:color w:val="000000" w:themeColor="text1"/>
          <w:sz w:val="24"/>
          <w:szCs w:val="24"/>
        </w:rPr>
        <w:lastRenderedPageBreak/>
        <w:t>Introduction</w:t>
      </w:r>
    </w:p>
    <w:p w14:paraId="36E3823F" w14:textId="637A7A07" w:rsidR="000E642F" w:rsidRPr="00802FCD" w:rsidRDefault="00827989" w:rsidP="00802FCD">
      <w:pPr>
        <w:spacing w:before="120" w:after="120"/>
        <w:jc w:val="both"/>
        <w:rPr>
          <w:color w:val="000000" w:themeColor="text1"/>
        </w:rPr>
      </w:pPr>
      <w:r w:rsidRPr="00802FCD">
        <w:rPr>
          <w:color w:val="000000" w:themeColor="text1"/>
        </w:rPr>
        <w:t>This report assesses the functions and duties of employees in the health and social care departments. It looks at the difference between working and personal relationships, role of regulatory and advisory bodies, the necessity of following agreed means of working, practical paths of reaching such guiding and how front-line staff plays a role in the quality assurance processes. The combination of these dimensions forms the professional framework against which safe, effective, and person-</w:t>
      </w:r>
      <w:proofErr w:type="spellStart"/>
      <w:r w:rsidRPr="00802FCD">
        <w:rPr>
          <w:color w:val="000000" w:themeColor="text1"/>
        </w:rPr>
        <w:t>centred</w:t>
      </w:r>
      <w:proofErr w:type="spellEnd"/>
      <w:r w:rsidRPr="00802FCD">
        <w:rPr>
          <w:color w:val="000000" w:themeColor="text1"/>
        </w:rPr>
        <w:t xml:space="preserve"> care is provided throughout the United Kingdom.</w:t>
      </w:r>
    </w:p>
    <w:p w14:paraId="51088985" w14:textId="77777777" w:rsidR="000E642F" w:rsidRPr="00802FCD" w:rsidRDefault="00000000" w:rsidP="00802FCD">
      <w:pPr>
        <w:pStyle w:val="Heading1"/>
        <w:spacing w:before="120" w:after="120"/>
        <w:rPr>
          <w:color w:val="000000" w:themeColor="text1"/>
          <w:sz w:val="24"/>
          <w:szCs w:val="24"/>
        </w:rPr>
      </w:pPr>
      <w:r w:rsidRPr="00802FCD">
        <w:rPr>
          <w:color w:val="000000" w:themeColor="text1"/>
          <w:sz w:val="24"/>
          <w:szCs w:val="24"/>
        </w:rPr>
        <w:t>Roles and Responsibilities in Health and Social Care Settings</w:t>
      </w:r>
    </w:p>
    <w:p w14:paraId="0C5B5059" w14:textId="62F5175C" w:rsidR="00827989" w:rsidRPr="00802FCD" w:rsidRDefault="00827989" w:rsidP="00802FCD">
      <w:pPr>
        <w:spacing w:before="120" w:after="120"/>
        <w:jc w:val="both"/>
        <w:rPr>
          <w:color w:val="000000" w:themeColor="text1"/>
        </w:rPr>
      </w:pPr>
      <w:r w:rsidRPr="00802FCD">
        <w:rPr>
          <w:color w:val="000000" w:themeColor="text1"/>
        </w:rPr>
        <w:t xml:space="preserve">All health and social care practitioners work within a specific role defined by legislature, </w:t>
      </w:r>
      <w:proofErr w:type="spellStart"/>
      <w:r w:rsidRPr="00802FCD">
        <w:rPr>
          <w:color w:val="000000" w:themeColor="text1"/>
        </w:rPr>
        <w:t>organisational</w:t>
      </w:r>
      <w:proofErr w:type="spellEnd"/>
      <w:r w:rsidRPr="00802FCD">
        <w:rPr>
          <w:color w:val="000000" w:themeColor="text1"/>
        </w:rPr>
        <w:t xml:space="preserve"> policy as well as professional codes. Regulations under the Health and Social Care Act 2008 mandate providers to ensure that staffs are competent, properly engaged and overseen in their area of jurisdiction. Role clarity remains a structural protection in favor of accountability and safety, as well as, effective interprofessional practice.</w:t>
      </w:r>
    </w:p>
    <w:p w14:paraId="036B3037" w14:textId="4A392C83" w:rsidR="000E642F" w:rsidRPr="00802FCD" w:rsidRDefault="00827989" w:rsidP="00802FCD">
      <w:pPr>
        <w:spacing w:before="120" w:after="120"/>
        <w:jc w:val="both"/>
        <w:rPr>
          <w:color w:val="000000" w:themeColor="text1"/>
        </w:rPr>
      </w:pPr>
      <w:r w:rsidRPr="00802FCD">
        <w:rPr>
          <w:color w:val="000000" w:themeColor="text1"/>
        </w:rPr>
        <w:t xml:space="preserve">The responsibilities come under the overlap of structures. Care Act 2014 creates responsibilities in both protecting and wellbeing and Mental Capacity Act of 2005 regulates decisions of people who lack capacity. The Nursing and Midwifery Council Code (2018) provides the expectations in the form of </w:t>
      </w:r>
      <w:proofErr w:type="spellStart"/>
      <w:r w:rsidRPr="00802FCD">
        <w:rPr>
          <w:color w:val="000000" w:themeColor="text1"/>
        </w:rPr>
        <w:t>candour</w:t>
      </w:r>
      <w:proofErr w:type="spellEnd"/>
      <w:r w:rsidRPr="00802FCD">
        <w:rPr>
          <w:color w:val="000000" w:themeColor="text1"/>
        </w:rPr>
        <w:t>, safe practice, and accurate records; the similar requirements exist within HCPC (2016). Tasks and boundaries are also further stipulated by employer structures such as Skills for Care Core and Care Certificate standards (2021). Roles help in coordinated care, proper delegation, and minimized duplication. Openness to ambiguity is dangerous and can be oppressive, so role clarity is a key to responsible, person-</w:t>
      </w:r>
      <w:proofErr w:type="spellStart"/>
      <w:r w:rsidRPr="00802FCD">
        <w:rPr>
          <w:color w:val="000000" w:themeColor="text1"/>
        </w:rPr>
        <w:t>centred</w:t>
      </w:r>
      <w:proofErr w:type="spellEnd"/>
      <w:r w:rsidRPr="00802FCD">
        <w:rPr>
          <w:color w:val="000000" w:themeColor="text1"/>
        </w:rPr>
        <w:t xml:space="preserve"> practice.</w:t>
      </w:r>
    </w:p>
    <w:p w14:paraId="4225582A" w14:textId="77777777" w:rsidR="000E642F" w:rsidRPr="00802FCD" w:rsidRDefault="00000000" w:rsidP="00802FCD">
      <w:pPr>
        <w:pStyle w:val="Heading1"/>
        <w:spacing w:before="120" w:after="120"/>
        <w:rPr>
          <w:color w:val="000000" w:themeColor="text1"/>
          <w:sz w:val="24"/>
          <w:szCs w:val="24"/>
        </w:rPr>
      </w:pPr>
      <w:r w:rsidRPr="00802FCD">
        <w:rPr>
          <w:color w:val="000000" w:themeColor="text1"/>
          <w:sz w:val="24"/>
          <w:szCs w:val="24"/>
        </w:rPr>
        <w:t>Differences Between Working Relationships and Personal Relationships</w:t>
      </w:r>
    </w:p>
    <w:p w14:paraId="07267510" w14:textId="05D379B4" w:rsidR="00827989" w:rsidRPr="00802FCD" w:rsidRDefault="00827989" w:rsidP="00802FCD">
      <w:pPr>
        <w:spacing w:before="120" w:after="120"/>
        <w:jc w:val="both"/>
        <w:rPr>
          <w:color w:val="000000" w:themeColor="text1"/>
        </w:rPr>
      </w:pPr>
      <w:r w:rsidRPr="00802FCD">
        <w:rPr>
          <w:color w:val="000000" w:themeColor="text1"/>
        </w:rPr>
        <w:t xml:space="preserve">Working and personal relationships vary in their purpose, limits and responsibility. An employment relationship is a working relationship, which is under policy, law and professional codes and exists only to address the needs of service users. It is formally accountable and has rigorous regulations regarding secrecy and </w:t>
      </w:r>
      <w:proofErr w:type="spellStart"/>
      <w:r w:rsidR="00B821B6">
        <w:rPr>
          <w:color w:val="000000" w:themeColor="text1"/>
        </w:rPr>
        <w:t>behaviour</w:t>
      </w:r>
      <w:proofErr w:type="spellEnd"/>
      <w:r w:rsidRPr="00802FCD">
        <w:rPr>
          <w:color w:val="000000" w:themeColor="text1"/>
        </w:rPr>
        <w:t>. Social Care Institute of Excellence (SCIE, 2020) states that it is crucial to uphold professional boundaries to avoid exploitation, dependency, and impaired judgment.</w:t>
      </w:r>
    </w:p>
    <w:p w14:paraId="7351284B" w14:textId="14F506B3" w:rsidR="000E642F" w:rsidRPr="00802FCD" w:rsidRDefault="00827989" w:rsidP="00802FCD">
      <w:pPr>
        <w:spacing w:before="120" w:after="120"/>
        <w:jc w:val="both"/>
        <w:rPr>
          <w:color w:val="000000" w:themeColor="text1"/>
        </w:rPr>
      </w:pPr>
      <w:r w:rsidRPr="00802FCD">
        <w:rPr>
          <w:color w:val="000000" w:themeColor="text1"/>
        </w:rPr>
        <w:t xml:space="preserve">Personal relationships are voluntary, involve emotional investment in one another, and </w:t>
      </w:r>
      <w:r w:rsidR="00B821B6">
        <w:rPr>
          <w:color w:val="000000" w:themeColor="text1"/>
        </w:rPr>
        <w:t>are</w:t>
      </w:r>
      <w:r w:rsidRPr="00802FCD">
        <w:rPr>
          <w:color w:val="000000" w:themeColor="text1"/>
        </w:rPr>
        <w:t xml:space="preserve"> not formally accountable. Practically, things such as taking gifts or giving out contacts are against boundaries. Good separation of the parties helps to keep the parties safe and the care objective and person </w:t>
      </w:r>
      <w:proofErr w:type="spellStart"/>
      <w:r w:rsidRPr="00802FCD">
        <w:rPr>
          <w:color w:val="000000" w:themeColor="text1"/>
        </w:rPr>
        <w:t>centred</w:t>
      </w:r>
      <w:proofErr w:type="spellEnd"/>
      <w:r w:rsidRPr="00802FCD">
        <w:rPr>
          <w:color w:val="000000" w:themeColor="text1"/>
        </w:rPr>
        <w:t>.</w:t>
      </w:r>
    </w:p>
    <w:p w14:paraId="0B83B1BF" w14:textId="77777777" w:rsidR="000E642F" w:rsidRPr="00802FCD" w:rsidRDefault="00000000" w:rsidP="00802FCD">
      <w:pPr>
        <w:spacing w:before="120" w:after="120"/>
        <w:rPr>
          <w:color w:val="000000" w:themeColor="text1"/>
        </w:rPr>
      </w:pPr>
      <w:r w:rsidRPr="00802FCD">
        <w:rPr>
          <w:b/>
          <w:bCs/>
          <w:color w:val="000000" w:themeColor="text1"/>
        </w:rPr>
        <w:t>Table 1: Working Relationship versus Personal Relationship</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FE1FBD" w:rsidRPr="00802FCD" w14:paraId="40648985" w14:textId="77777777">
        <w:tc>
          <w:tcPr>
            <w:tcW w:w="4513" w:type="dxa"/>
            <w:tcBorders>
              <w:top w:val="single" w:sz="1" w:space="0" w:color="D6E8F0"/>
              <w:left w:val="single" w:sz="1" w:space="0" w:color="D6E8F0"/>
              <w:bottom w:val="single" w:sz="1" w:space="0" w:color="D6E8F0"/>
              <w:right w:val="single" w:sz="1" w:space="0" w:color="D6E8F0"/>
            </w:tcBorders>
            <w:shd w:val="clear" w:color="auto" w:fill="065A82"/>
            <w:tcMar>
              <w:top w:w="80" w:type="dxa"/>
              <w:left w:w="120" w:type="dxa"/>
              <w:bottom w:w="80" w:type="dxa"/>
              <w:right w:w="120" w:type="dxa"/>
            </w:tcMar>
          </w:tcPr>
          <w:p w14:paraId="5646A076" w14:textId="77777777" w:rsidR="000E642F" w:rsidRPr="00802FCD" w:rsidRDefault="00000000" w:rsidP="00802FCD">
            <w:pPr>
              <w:rPr>
                <w:color w:val="FFFFFF" w:themeColor="background1"/>
              </w:rPr>
            </w:pPr>
            <w:r w:rsidRPr="00802FCD">
              <w:rPr>
                <w:b/>
                <w:bCs/>
                <w:color w:val="FFFFFF" w:themeColor="background1"/>
              </w:rPr>
              <w:t>Working Relationship</w:t>
            </w:r>
          </w:p>
        </w:tc>
        <w:tc>
          <w:tcPr>
            <w:tcW w:w="4513" w:type="dxa"/>
            <w:tcBorders>
              <w:top w:val="single" w:sz="1" w:space="0" w:color="D6E8F0"/>
              <w:left w:val="single" w:sz="1" w:space="0" w:color="D6E8F0"/>
              <w:bottom w:val="single" w:sz="1" w:space="0" w:color="D6E8F0"/>
              <w:right w:val="single" w:sz="1" w:space="0" w:color="D6E8F0"/>
            </w:tcBorders>
            <w:shd w:val="clear" w:color="auto" w:fill="1C7293"/>
            <w:tcMar>
              <w:top w:w="80" w:type="dxa"/>
              <w:left w:w="120" w:type="dxa"/>
              <w:bottom w:w="80" w:type="dxa"/>
              <w:right w:w="120" w:type="dxa"/>
            </w:tcMar>
          </w:tcPr>
          <w:p w14:paraId="6E86B1EB" w14:textId="77777777" w:rsidR="000E642F" w:rsidRPr="00802FCD" w:rsidRDefault="00000000" w:rsidP="00802FCD">
            <w:pPr>
              <w:rPr>
                <w:color w:val="FFFFFF" w:themeColor="background1"/>
              </w:rPr>
            </w:pPr>
            <w:r w:rsidRPr="00802FCD">
              <w:rPr>
                <w:b/>
                <w:bCs/>
                <w:color w:val="FFFFFF" w:themeColor="background1"/>
              </w:rPr>
              <w:t>Personal Relationship</w:t>
            </w:r>
          </w:p>
        </w:tc>
      </w:tr>
      <w:tr w:rsidR="00FE1FBD" w:rsidRPr="00802FCD" w14:paraId="10D2C1BF" w14:textId="77777777">
        <w:tc>
          <w:tcPr>
            <w:tcW w:w="4513" w:type="dxa"/>
            <w:tcBorders>
              <w:top w:val="single" w:sz="1" w:space="0" w:color="D6E8F0"/>
              <w:left w:val="single" w:sz="1" w:space="0" w:color="D6E8F0"/>
              <w:bottom w:val="single" w:sz="1" w:space="0" w:color="D6E8F0"/>
              <w:right w:val="single" w:sz="1" w:space="0" w:color="D6E8F0"/>
            </w:tcBorders>
            <w:shd w:val="clear" w:color="auto" w:fill="FFFFFF"/>
            <w:tcMar>
              <w:top w:w="80" w:type="dxa"/>
              <w:left w:w="120" w:type="dxa"/>
              <w:bottom w:w="80" w:type="dxa"/>
              <w:right w:w="120" w:type="dxa"/>
            </w:tcMar>
          </w:tcPr>
          <w:p w14:paraId="6BFC849C" w14:textId="77777777" w:rsidR="000E642F" w:rsidRPr="00802FCD" w:rsidRDefault="00000000" w:rsidP="00802FCD">
            <w:pPr>
              <w:rPr>
                <w:color w:val="000000" w:themeColor="text1"/>
              </w:rPr>
            </w:pPr>
            <w:r w:rsidRPr="00802FCD">
              <w:rPr>
                <w:color w:val="000000" w:themeColor="text1"/>
              </w:rPr>
              <w:t>Constituted by employment and professional role</w:t>
            </w:r>
          </w:p>
        </w:tc>
        <w:tc>
          <w:tcPr>
            <w:tcW w:w="4513" w:type="dxa"/>
            <w:tcBorders>
              <w:top w:val="single" w:sz="1" w:space="0" w:color="D6E8F0"/>
              <w:left w:val="single" w:sz="1" w:space="0" w:color="D6E8F0"/>
              <w:bottom w:val="single" w:sz="1" w:space="0" w:color="D6E8F0"/>
              <w:right w:val="single" w:sz="1" w:space="0" w:color="D6E8F0"/>
            </w:tcBorders>
            <w:shd w:val="clear" w:color="auto" w:fill="FFFFFF"/>
            <w:tcMar>
              <w:top w:w="80" w:type="dxa"/>
              <w:left w:w="120" w:type="dxa"/>
              <w:bottom w:w="80" w:type="dxa"/>
              <w:right w:w="120" w:type="dxa"/>
            </w:tcMar>
          </w:tcPr>
          <w:p w14:paraId="517857F2" w14:textId="77777777" w:rsidR="000E642F" w:rsidRPr="00802FCD" w:rsidRDefault="00000000" w:rsidP="00802FCD">
            <w:pPr>
              <w:rPr>
                <w:color w:val="000000" w:themeColor="text1"/>
              </w:rPr>
            </w:pPr>
            <w:r w:rsidRPr="00802FCD">
              <w:rPr>
                <w:color w:val="000000" w:themeColor="text1"/>
              </w:rPr>
              <w:t>Freely chosen; based on personal preference</w:t>
            </w:r>
          </w:p>
        </w:tc>
      </w:tr>
      <w:tr w:rsidR="00FE1FBD" w:rsidRPr="00802FCD" w14:paraId="297A37B4" w14:textId="77777777">
        <w:tc>
          <w:tcPr>
            <w:tcW w:w="4513" w:type="dxa"/>
            <w:tcBorders>
              <w:top w:val="single" w:sz="1" w:space="0" w:color="D6E8F0"/>
              <w:left w:val="single" w:sz="1" w:space="0" w:color="D6E8F0"/>
              <w:bottom w:val="single" w:sz="1" w:space="0" w:color="D6E8F0"/>
              <w:right w:val="single" w:sz="1" w:space="0" w:color="D6E8F0"/>
            </w:tcBorders>
            <w:shd w:val="clear" w:color="auto" w:fill="EEF6FA"/>
            <w:tcMar>
              <w:top w:w="80" w:type="dxa"/>
              <w:left w:w="120" w:type="dxa"/>
              <w:bottom w:w="80" w:type="dxa"/>
              <w:right w:w="120" w:type="dxa"/>
            </w:tcMar>
          </w:tcPr>
          <w:p w14:paraId="005F8645" w14:textId="77777777" w:rsidR="000E642F" w:rsidRPr="00802FCD" w:rsidRDefault="00000000" w:rsidP="00802FCD">
            <w:pPr>
              <w:rPr>
                <w:color w:val="000000" w:themeColor="text1"/>
              </w:rPr>
            </w:pPr>
            <w:r w:rsidRPr="00802FCD">
              <w:rPr>
                <w:color w:val="000000" w:themeColor="text1"/>
              </w:rPr>
              <w:t>Governed by policy, law, and codes of conduct</w:t>
            </w:r>
          </w:p>
        </w:tc>
        <w:tc>
          <w:tcPr>
            <w:tcW w:w="4513" w:type="dxa"/>
            <w:tcBorders>
              <w:top w:val="single" w:sz="1" w:space="0" w:color="D6E8F0"/>
              <w:left w:val="single" w:sz="1" w:space="0" w:color="D6E8F0"/>
              <w:bottom w:val="single" w:sz="1" w:space="0" w:color="D6E8F0"/>
              <w:right w:val="single" w:sz="1" w:space="0" w:color="D6E8F0"/>
            </w:tcBorders>
            <w:shd w:val="clear" w:color="auto" w:fill="EEF6FA"/>
            <w:tcMar>
              <w:top w:w="80" w:type="dxa"/>
              <w:left w:w="120" w:type="dxa"/>
              <w:bottom w:w="80" w:type="dxa"/>
              <w:right w:w="120" w:type="dxa"/>
            </w:tcMar>
          </w:tcPr>
          <w:p w14:paraId="6BAEBC49" w14:textId="77777777" w:rsidR="000E642F" w:rsidRPr="00802FCD" w:rsidRDefault="00000000" w:rsidP="00802FCD">
            <w:pPr>
              <w:rPr>
                <w:color w:val="000000" w:themeColor="text1"/>
              </w:rPr>
            </w:pPr>
            <w:r w:rsidRPr="00802FCD">
              <w:rPr>
                <w:color w:val="000000" w:themeColor="text1"/>
              </w:rPr>
              <w:t>Governed by mutual consent and personal values</w:t>
            </w:r>
          </w:p>
        </w:tc>
      </w:tr>
      <w:tr w:rsidR="00FE1FBD" w:rsidRPr="00802FCD" w14:paraId="355260A3" w14:textId="77777777">
        <w:tc>
          <w:tcPr>
            <w:tcW w:w="4513" w:type="dxa"/>
            <w:tcBorders>
              <w:top w:val="single" w:sz="1" w:space="0" w:color="D6E8F0"/>
              <w:left w:val="single" w:sz="1" w:space="0" w:color="D6E8F0"/>
              <w:bottom w:val="single" w:sz="1" w:space="0" w:color="D6E8F0"/>
              <w:right w:val="single" w:sz="1" w:space="0" w:color="D6E8F0"/>
            </w:tcBorders>
            <w:shd w:val="clear" w:color="auto" w:fill="FFFFFF"/>
            <w:tcMar>
              <w:top w:w="80" w:type="dxa"/>
              <w:left w:w="120" w:type="dxa"/>
              <w:bottom w:w="80" w:type="dxa"/>
              <w:right w:w="120" w:type="dxa"/>
            </w:tcMar>
          </w:tcPr>
          <w:p w14:paraId="50B7CDEE" w14:textId="77777777" w:rsidR="000E642F" w:rsidRPr="00802FCD" w:rsidRDefault="00000000" w:rsidP="00802FCD">
            <w:pPr>
              <w:rPr>
                <w:color w:val="000000" w:themeColor="text1"/>
              </w:rPr>
            </w:pPr>
            <w:r w:rsidRPr="00802FCD">
              <w:rPr>
                <w:color w:val="000000" w:themeColor="text1"/>
              </w:rPr>
              <w:t>Formal accountability to employer and regulator</w:t>
            </w:r>
          </w:p>
        </w:tc>
        <w:tc>
          <w:tcPr>
            <w:tcW w:w="4513" w:type="dxa"/>
            <w:tcBorders>
              <w:top w:val="single" w:sz="1" w:space="0" w:color="D6E8F0"/>
              <w:left w:val="single" w:sz="1" w:space="0" w:color="D6E8F0"/>
              <w:bottom w:val="single" w:sz="1" w:space="0" w:color="D6E8F0"/>
              <w:right w:val="single" w:sz="1" w:space="0" w:color="D6E8F0"/>
            </w:tcBorders>
            <w:shd w:val="clear" w:color="auto" w:fill="FFFFFF"/>
            <w:tcMar>
              <w:top w:w="80" w:type="dxa"/>
              <w:left w:w="120" w:type="dxa"/>
              <w:bottom w:w="80" w:type="dxa"/>
              <w:right w:w="120" w:type="dxa"/>
            </w:tcMar>
          </w:tcPr>
          <w:p w14:paraId="3663FFA0" w14:textId="77777777" w:rsidR="000E642F" w:rsidRPr="00802FCD" w:rsidRDefault="00000000" w:rsidP="00802FCD">
            <w:pPr>
              <w:rPr>
                <w:color w:val="000000" w:themeColor="text1"/>
              </w:rPr>
            </w:pPr>
            <w:r w:rsidRPr="00802FCD">
              <w:rPr>
                <w:color w:val="000000" w:themeColor="text1"/>
              </w:rPr>
              <w:t>No formal external accountability structure</w:t>
            </w:r>
          </w:p>
        </w:tc>
      </w:tr>
      <w:tr w:rsidR="00FE1FBD" w:rsidRPr="00802FCD" w14:paraId="187A2A01" w14:textId="77777777">
        <w:tc>
          <w:tcPr>
            <w:tcW w:w="4513" w:type="dxa"/>
            <w:tcBorders>
              <w:top w:val="single" w:sz="1" w:space="0" w:color="D6E8F0"/>
              <w:left w:val="single" w:sz="1" w:space="0" w:color="D6E8F0"/>
              <w:bottom w:val="single" w:sz="1" w:space="0" w:color="D6E8F0"/>
              <w:right w:val="single" w:sz="1" w:space="0" w:color="D6E8F0"/>
            </w:tcBorders>
            <w:shd w:val="clear" w:color="auto" w:fill="EEF6FA"/>
            <w:tcMar>
              <w:top w:w="80" w:type="dxa"/>
              <w:left w:w="120" w:type="dxa"/>
              <w:bottom w:w="80" w:type="dxa"/>
              <w:right w:w="120" w:type="dxa"/>
            </w:tcMar>
          </w:tcPr>
          <w:p w14:paraId="345219F1" w14:textId="77777777" w:rsidR="000E642F" w:rsidRPr="00802FCD" w:rsidRDefault="00000000" w:rsidP="00802FCD">
            <w:pPr>
              <w:rPr>
                <w:color w:val="000000" w:themeColor="text1"/>
              </w:rPr>
            </w:pPr>
            <w:r w:rsidRPr="00802FCD">
              <w:rPr>
                <w:color w:val="000000" w:themeColor="text1"/>
              </w:rPr>
              <w:lastRenderedPageBreak/>
              <w:t>Confidentiality is a legal and professional duty</w:t>
            </w:r>
          </w:p>
        </w:tc>
        <w:tc>
          <w:tcPr>
            <w:tcW w:w="4513" w:type="dxa"/>
            <w:tcBorders>
              <w:top w:val="single" w:sz="1" w:space="0" w:color="D6E8F0"/>
              <w:left w:val="single" w:sz="1" w:space="0" w:color="D6E8F0"/>
              <w:bottom w:val="single" w:sz="1" w:space="0" w:color="D6E8F0"/>
              <w:right w:val="single" w:sz="1" w:space="0" w:color="D6E8F0"/>
            </w:tcBorders>
            <w:shd w:val="clear" w:color="auto" w:fill="EEF6FA"/>
            <w:tcMar>
              <w:top w:w="80" w:type="dxa"/>
              <w:left w:w="120" w:type="dxa"/>
              <w:bottom w:w="80" w:type="dxa"/>
              <w:right w:w="120" w:type="dxa"/>
            </w:tcMar>
          </w:tcPr>
          <w:p w14:paraId="4CBA0C64" w14:textId="77777777" w:rsidR="000E642F" w:rsidRPr="00802FCD" w:rsidRDefault="00000000" w:rsidP="00802FCD">
            <w:pPr>
              <w:rPr>
                <w:color w:val="000000" w:themeColor="text1"/>
              </w:rPr>
            </w:pPr>
            <w:r w:rsidRPr="00802FCD">
              <w:rPr>
                <w:color w:val="000000" w:themeColor="text1"/>
              </w:rPr>
              <w:t>Confidentiality is a matter of personal discretion</w:t>
            </w:r>
          </w:p>
        </w:tc>
      </w:tr>
      <w:tr w:rsidR="00FE1FBD" w:rsidRPr="00802FCD" w14:paraId="3DB4A857" w14:textId="77777777">
        <w:tc>
          <w:tcPr>
            <w:tcW w:w="4513" w:type="dxa"/>
            <w:tcBorders>
              <w:top w:val="single" w:sz="1" w:space="0" w:color="D6E8F0"/>
              <w:left w:val="single" w:sz="1" w:space="0" w:color="D6E8F0"/>
              <w:bottom w:val="single" w:sz="1" w:space="0" w:color="D6E8F0"/>
              <w:right w:val="single" w:sz="1" w:space="0" w:color="D6E8F0"/>
            </w:tcBorders>
            <w:shd w:val="clear" w:color="auto" w:fill="FFFFFF"/>
            <w:tcMar>
              <w:top w:w="80" w:type="dxa"/>
              <w:left w:w="120" w:type="dxa"/>
              <w:bottom w:w="80" w:type="dxa"/>
              <w:right w:w="120" w:type="dxa"/>
            </w:tcMar>
          </w:tcPr>
          <w:p w14:paraId="21AA1B64" w14:textId="77777777" w:rsidR="000E642F" w:rsidRPr="00802FCD" w:rsidRDefault="00000000" w:rsidP="00802FCD">
            <w:pPr>
              <w:rPr>
                <w:color w:val="000000" w:themeColor="text1"/>
              </w:rPr>
            </w:pPr>
            <w:r w:rsidRPr="00802FCD">
              <w:rPr>
                <w:color w:val="000000" w:themeColor="text1"/>
              </w:rPr>
              <w:t>Power differential formally acknowledged and managed</w:t>
            </w:r>
          </w:p>
        </w:tc>
        <w:tc>
          <w:tcPr>
            <w:tcW w:w="4513" w:type="dxa"/>
            <w:tcBorders>
              <w:top w:val="single" w:sz="1" w:space="0" w:color="D6E8F0"/>
              <w:left w:val="single" w:sz="1" w:space="0" w:color="D6E8F0"/>
              <w:bottom w:val="single" w:sz="1" w:space="0" w:color="D6E8F0"/>
              <w:right w:val="single" w:sz="1" w:space="0" w:color="D6E8F0"/>
            </w:tcBorders>
            <w:shd w:val="clear" w:color="auto" w:fill="FFFFFF"/>
            <w:tcMar>
              <w:top w:w="80" w:type="dxa"/>
              <w:left w:w="120" w:type="dxa"/>
              <w:bottom w:w="80" w:type="dxa"/>
              <w:right w:w="120" w:type="dxa"/>
            </w:tcMar>
          </w:tcPr>
          <w:p w14:paraId="15E9998E" w14:textId="77777777" w:rsidR="000E642F" w:rsidRPr="00802FCD" w:rsidRDefault="00000000" w:rsidP="00802FCD">
            <w:pPr>
              <w:rPr>
                <w:color w:val="000000" w:themeColor="text1"/>
              </w:rPr>
            </w:pPr>
            <w:r w:rsidRPr="00802FCD">
              <w:rPr>
                <w:color w:val="000000" w:themeColor="text1"/>
              </w:rPr>
              <w:t>Power dynamics present but not formally regulated</w:t>
            </w:r>
          </w:p>
        </w:tc>
      </w:tr>
      <w:tr w:rsidR="00FE1FBD" w:rsidRPr="00802FCD" w14:paraId="45060D9C" w14:textId="77777777">
        <w:tc>
          <w:tcPr>
            <w:tcW w:w="4513" w:type="dxa"/>
            <w:tcBorders>
              <w:top w:val="single" w:sz="1" w:space="0" w:color="D6E8F0"/>
              <w:left w:val="single" w:sz="1" w:space="0" w:color="D6E8F0"/>
              <w:bottom w:val="single" w:sz="1" w:space="0" w:color="D6E8F0"/>
              <w:right w:val="single" w:sz="1" w:space="0" w:color="D6E8F0"/>
            </w:tcBorders>
            <w:shd w:val="clear" w:color="auto" w:fill="EEF6FA"/>
            <w:tcMar>
              <w:top w:w="80" w:type="dxa"/>
              <w:left w:w="120" w:type="dxa"/>
              <w:bottom w:w="80" w:type="dxa"/>
              <w:right w:w="120" w:type="dxa"/>
            </w:tcMar>
          </w:tcPr>
          <w:p w14:paraId="56AADD95" w14:textId="0217ECAA" w:rsidR="000E642F" w:rsidRPr="00802FCD" w:rsidRDefault="00000000" w:rsidP="00802FCD">
            <w:pPr>
              <w:rPr>
                <w:color w:val="000000" w:themeColor="text1"/>
              </w:rPr>
            </w:pPr>
            <w:r w:rsidRPr="00802FCD">
              <w:rPr>
                <w:color w:val="000000" w:themeColor="text1"/>
              </w:rPr>
              <w:t xml:space="preserve">Emotional distance maintained as </w:t>
            </w:r>
            <w:r w:rsidR="00B821B6">
              <w:rPr>
                <w:color w:val="000000" w:themeColor="text1"/>
              </w:rPr>
              <w:t xml:space="preserve">a </w:t>
            </w:r>
            <w:r w:rsidRPr="00802FCD">
              <w:rPr>
                <w:color w:val="000000" w:themeColor="text1"/>
              </w:rPr>
              <w:t>professional standard</w:t>
            </w:r>
          </w:p>
        </w:tc>
        <w:tc>
          <w:tcPr>
            <w:tcW w:w="4513" w:type="dxa"/>
            <w:tcBorders>
              <w:top w:val="single" w:sz="1" w:space="0" w:color="D6E8F0"/>
              <w:left w:val="single" w:sz="1" w:space="0" w:color="D6E8F0"/>
              <w:bottom w:val="single" w:sz="1" w:space="0" w:color="D6E8F0"/>
              <w:right w:val="single" w:sz="1" w:space="0" w:color="D6E8F0"/>
            </w:tcBorders>
            <w:shd w:val="clear" w:color="auto" w:fill="EEF6FA"/>
            <w:tcMar>
              <w:top w:w="80" w:type="dxa"/>
              <w:left w:w="120" w:type="dxa"/>
              <w:bottom w:w="80" w:type="dxa"/>
              <w:right w:w="120" w:type="dxa"/>
            </w:tcMar>
          </w:tcPr>
          <w:p w14:paraId="74037E02" w14:textId="77777777" w:rsidR="000E642F" w:rsidRPr="00802FCD" w:rsidRDefault="00000000" w:rsidP="00802FCD">
            <w:pPr>
              <w:rPr>
                <w:color w:val="000000" w:themeColor="text1"/>
              </w:rPr>
            </w:pPr>
            <w:r w:rsidRPr="00802FCD">
              <w:rPr>
                <w:color w:val="000000" w:themeColor="text1"/>
              </w:rPr>
              <w:t>Emotional closeness and intimacy are appropriate</w:t>
            </w:r>
          </w:p>
        </w:tc>
      </w:tr>
    </w:tbl>
    <w:p w14:paraId="1444EF51" w14:textId="77777777" w:rsidR="000E642F" w:rsidRPr="00802FCD" w:rsidRDefault="00000000" w:rsidP="00802FCD">
      <w:pPr>
        <w:pStyle w:val="Heading1"/>
        <w:spacing w:before="120" w:after="120"/>
        <w:rPr>
          <w:color w:val="000000" w:themeColor="text1"/>
          <w:sz w:val="24"/>
          <w:szCs w:val="24"/>
        </w:rPr>
      </w:pPr>
      <w:r w:rsidRPr="00802FCD">
        <w:rPr>
          <w:color w:val="000000" w:themeColor="text1"/>
          <w:sz w:val="24"/>
          <w:szCs w:val="24"/>
        </w:rPr>
        <w:t>Role of Regulators and Advisors Within Health and Social Care</w:t>
      </w:r>
    </w:p>
    <w:p w14:paraId="3C843B86" w14:textId="77777777" w:rsidR="00783C12" w:rsidRPr="00783C12" w:rsidRDefault="00783C12" w:rsidP="00783C12">
      <w:pPr>
        <w:spacing w:before="120" w:after="120"/>
        <w:jc w:val="both"/>
        <w:rPr>
          <w:color w:val="000000" w:themeColor="text1"/>
        </w:rPr>
      </w:pPr>
      <w:r w:rsidRPr="00783C12">
        <w:rPr>
          <w:color w:val="000000" w:themeColor="text1"/>
        </w:rPr>
        <w:t xml:space="preserve">Professional and regulatory bodies play different functions in health and social care. Regulators are regulators with an obligatory right to set the standards, register the providers, do investigations into the services, and penalize. The assessment of the services by CQC is governed by the Health and Social Care Act of 2008, and it is conducted in relation to five areas, including safe, effective, caring, responsive, and well-led (CQC, 2022). It is able to restrict admissions or close services. Professional regulators, like the Nursing and Midwifery Council (NMC), Health and Care Professions Council (HCPC) and General Medical Council (GMC) regulate the fitness to </w:t>
      </w:r>
      <w:proofErr w:type="spellStart"/>
      <w:r w:rsidRPr="00783C12">
        <w:rPr>
          <w:color w:val="000000" w:themeColor="text1"/>
        </w:rPr>
        <w:t>practise</w:t>
      </w:r>
      <w:proofErr w:type="spellEnd"/>
      <w:r w:rsidRPr="00783C12">
        <w:rPr>
          <w:color w:val="000000" w:themeColor="text1"/>
        </w:rPr>
        <w:t xml:space="preserve"> of individual practitioners.</w:t>
      </w:r>
    </w:p>
    <w:p w14:paraId="46154BDA" w14:textId="37EC6829" w:rsidR="000E642F" w:rsidRPr="00802FCD" w:rsidRDefault="00783C12" w:rsidP="00783C12">
      <w:pPr>
        <w:spacing w:before="120" w:after="120"/>
        <w:jc w:val="both"/>
        <w:rPr>
          <w:color w:val="000000" w:themeColor="text1"/>
        </w:rPr>
      </w:pPr>
      <w:r w:rsidRPr="00783C12">
        <w:rPr>
          <w:color w:val="000000" w:themeColor="text1"/>
        </w:rPr>
        <w:t>Governing bodies are not enforcing. Care Workforce Skills in England Guides on workforce, such as Care Certificate ( Skills for Care, 2021), and NICE is evidence-based guidance that informs practice without being legal.</w:t>
      </w:r>
    </w:p>
    <w:p w14:paraId="3A0BC9CE" w14:textId="77777777" w:rsidR="000E642F" w:rsidRPr="00802FCD" w:rsidRDefault="00000000" w:rsidP="00802FCD">
      <w:pPr>
        <w:pStyle w:val="Heading1"/>
        <w:spacing w:before="120" w:after="120"/>
        <w:rPr>
          <w:color w:val="000000" w:themeColor="text1"/>
          <w:sz w:val="24"/>
          <w:szCs w:val="24"/>
        </w:rPr>
      </w:pPr>
      <w:r w:rsidRPr="00802FCD">
        <w:rPr>
          <w:color w:val="000000" w:themeColor="text1"/>
          <w:sz w:val="24"/>
          <w:szCs w:val="24"/>
        </w:rPr>
        <w:t>Importance of Following Agreed Ways of Working</w:t>
      </w:r>
    </w:p>
    <w:p w14:paraId="5A0E4632" w14:textId="0766CF3B" w:rsidR="00827989" w:rsidRPr="00802FCD" w:rsidRDefault="00783C12" w:rsidP="00802FCD">
      <w:pPr>
        <w:spacing w:before="120" w:after="120"/>
        <w:jc w:val="both"/>
        <w:rPr>
          <w:color w:val="000000" w:themeColor="text1"/>
        </w:rPr>
      </w:pPr>
      <w:r w:rsidRPr="00783C12">
        <w:rPr>
          <w:color w:val="000000" w:themeColor="text1"/>
        </w:rPr>
        <w:t>The agreed-upon approaches to practice consist of policies, procedures, care plans and protocols to translate legislations and professional standards into practice. Compliance refers to a legal, professional, and practical application of safe, person-</w:t>
      </w:r>
      <w:proofErr w:type="spellStart"/>
      <w:r w:rsidRPr="00783C12">
        <w:rPr>
          <w:color w:val="000000" w:themeColor="text1"/>
        </w:rPr>
        <w:t>centred</w:t>
      </w:r>
      <w:proofErr w:type="spellEnd"/>
      <w:r w:rsidRPr="00783C12">
        <w:rPr>
          <w:color w:val="000000" w:themeColor="text1"/>
        </w:rPr>
        <w:t xml:space="preserve"> care. Health and Safety at Work Act 1974 imposes a responsibility on the employees to follow what the employers direct on them in terms of safety and the Health and Social Care Act 2008 (Regulated Activities) Regulations 2014 imposes a responsibility of providing care in a safe manner by following the procedures. Professional codes, including the NMC Code (2018) and HCPC Standards (2016), are helpful in working within the scope.</w:t>
      </w:r>
    </w:p>
    <w:p w14:paraId="33B0F686" w14:textId="29492612" w:rsidR="000E642F" w:rsidRPr="00802FCD" w:rsidRDefault="00827989" w:rsidP="00802FCD">
      <w:pPr>
        <w:spacing w:before="120" w:after="120"/>
        <w:jc w:val="both"/>
        <w:rPr>
          <w:color w:val="000000" w:themeColor="text1"/>
        </w:rPr>
      </w:pPr>
      <w:r w:rsidRPr="00802FCD">
        <w:rPr>
          <w:color w:val="000000" w:themeColor="text1"/>
        </w:rPr>
        <w:t xml:space="preserve">These frameworks provide predictable and reliable care and </w:t>
      </w:r>
      <w:proofErr w:type="spellStart"/>
      <w:r w:rsidR="003504FA">
        <w:rPr>
          <w:color w:val="000000" w:themeColor="text1"/>
        </w:rPr>
        <w:t>minimise</w:t>
      </w:r>
      <w:proofErr w:type="spellEnd"/>
      <w:r w:rsidRPr="00802FCD">
        <w:rPr>
          <w:color w:val="000000" w:themeColor="text1"/>
        </w:rPr>
        <w:t xml:space="preserve"> the risk factors in the form of medication errors and the protection of failure. They also generate audit trails that are necessary </w:t>
      </w:r>
      <w:r w:rsidR="003504FA">
        <w:rPr>
          <w:color w:val="000000" w:themeColor="text1"/>
        </w:rPr>
        <w:t>for</w:t>
      </w:r>
      <w:r w:rsidRPr="00802FCD">
        <w:rPr>
          <w:color w:val="000000" w:themeColor="text1"/>
        </w:rPr>
        <w:t xml:space="preserve"> quality assurance and accountability. Proper documentation aids assessment by the managers, commissioners and regulators. Concurring working methods should also be up to date, otherwise they need to be updated with legislative changes, inspection results, and changing evidence to be effective.</w:t>
      </w:r>
    </w:p>
    <w:p w14:paraId="26EE378A" w14:textId="77777777" w:rsidR="000E642F" w:rsidRPr="00802FCD" w:rsidRDefault="00000000" w:rsidP="00802FCD">
      <w:pPr>
        <w:pStyle w:val="Heading1"/>
        <w:spacing w:before="120" w:after="120"/>
        <w:rPr>
          <w:color w:val="000000" w:themeColor="text1"/>
          <w:sz w:val="24"/>
          <w:szCs w:val="24"/>
        </w:rPr>
      </w:pPr>
      <w:r w:rsidRPr="00802FCD">
        <w:rPr>
          <w:color w:val="000000" w:themeColor="text1"/>
          <w:sz w:val="24"/>
          <w:szCs w:val="24"/>
        </w:rPr>
        <w:t>How to Access Details of Agreed Ways of Working</w:t>
      </w:r>
    </w:p>
    <w:p w14:paraId="7D032C66" w14:textId="77777777" w:rsidR="00827989" w:rsidRPr="00802FCD" w:rsidRDefault="00827989" w:rsidP="00802FCD">
      <w:pPr>
        <w:spacing w:before="120" w:after="120"/>
        <w:jc w:val="both"/>
        <w:rPr>
          <w:color w:val="000000" w:themeColor="text1"/>
        </w:rPr>
      </w:pPr>
      <w:r w:rsidRPr="00802FCD">
        <w:rPr>
          <w:color w:val="000000" w:themeColor="text1"/>
        </w:rPr>
        <w:t>The agreed ways of working can be accessed by practitioners via a number of formal and informal channels and the information of where to find authoritative current guidance is in itself a professional competency.</w:t>
      </w:r>
    </w:p>
    <w:p w14:paraId="7DCB4627" w14:textId="77777777" w:rsidR="00827989" w:rsidRPr="00802FCD" w:rsidRDefault="00827989" w:rsidP="00802FCD">
      <w:pPr>
        <w:spacing w:before="120" w:after="120"/>
        <w:jc w:val="both"/>
        <w:rPr>
          <w:color w:val="000000" w:themeColor="text1"/>
        </w:rPr>
      </w:pPr>
      <w:r w:rsidRPr="00802FCD">
        <w:rPr>
          <w:color w:val="000000" w:themeColor="text1"/>
        </w:rPr>
        <w:t xml:space="preserve">At induction, new employees are provided with documentation base: job description, staff handbook, copy of pertinent code of conduct, and some introductory training on </w:t>
      </w:r>
      <w:proofErr w:type="spellStart"/>
      <w:r w:rsidRPr="00802FCD">
        <w:rPr>
          <w:color w:val="000000" w:themeColor="text1"/>
        </w:rPr>
        <w:t>organisational</w:t>
      </w:r>
      <w:proofErr w:type="spellEnd"/>
      <w:r w:rsidRPr="00802FCD">
        <w:rPr>
          <w:color w:val="000000" w:themeColor="text1"/>
        </w:rPr>
        <w:t xml:space="preserve"> policies such as those on safeguarding, confidentiality, information-governance and manual handling. Skills for Care (2021) suggests that the knowledge </w:t>
      </w:r>
      <w:r w:rsidRPr="00802FCD">
        <w:rPr>
          <w:color w:val="000000" w:themeColor="text1"/>
        </w:rPr>
        <w:lastRenderedPageBreak/>
        <w:t>of the agreed practice is the starting point of all subsequent development that is determined by completion of the Care Certificate of unregistered workers.</w:t>
      </w:r>
    </w:p>
    <w:p w14:paraId="76C3E96C" w14:textId="7A4F452B" w:rsidR="000E642F" w:rsidRPr="00802FCD" w:rsidRDefault="00827989" w:rsidP="00802FCD">
      <w:pPr>
        <w:spacing w:before="120" w:after="120"/>
        <w:jc w:val="both"/>
        <w:rPr>
          <w:color w:val="000000" w:themeColor="text1"/>
        </w:rPr>
      </w:pPr>
      <w:r w:rsidRPr="00802FCD">
        <w:rPr>
          <w:color w:val="000000" w:themeColor="text1"/>
        </w:rPr>
        <w:t xml:space="preserve">Its continued availability is ensured by </w:t>
      </w:r>
      <w:proofErr w:type="spellStart"/>
      <w:r w:rsidRPr="00802FCD">
        <w:rPr>
          <w:color w:val="000000" w:themeColor="text1"/>
        </w:rPr>
        <w:t>organisational</w:t>
      </w:r>
      <w:proofErr w:type="spellEnd"/>
      <w:r w:rsidRPr="00802FCD">
        <w:rPr>
          <w:color w:val="000000" w:themeColor="text1"/>
        </w:rPr>
        <w:t xml:space="preserve"> intranet or central physical policy library which contains all the current procedures that have been reviewed and dated to capture the latest legislative or operational changes. Line managers act as a main point of reference where a worker is unsure about something in agreed practice, and supervision sessions, usually once a month or once a bi-month in well-managed environments, will give a formal occasion to define expectations, reveal gaps in practice, and strategize on making progress in reaction to new direction.</w:t>
      </w:r>
    </w:p>
    <w:p w14:paraId="54DEBAF6" w14:textId="77777777" w:rsidR="000E642F" w:rsidRPr="00802FCD" w:rsidRDefault="00000000" w:rsidP="00802FCD">
      <w:pPr>
        <w:pStyle w:val="Heading1"/>
        <w:spacing w:before="120" w:after="120"/>
        <w:rPr>
          <w:color w:val="000000" w:themeColor="text1"/>
          <w:sz w:val="24"/>
          <w:szCs w:val="24"/>
        </w:rPr>
      </w:pPr>
      <w:r w:rsidRPr="00802FCD">
        <w:rPr>
          <w:color w:val="000000" w:themeColor="text1"/>
          <w:sz w:val="24"/>
          <w:szCs w:val="24"/>
        </w:rPr>
        <w:t>Contributing to Quality Assurance Processes to Promote Positive Experiences for Individuals Receiving Care</w:t>
      </w:r>
    </w:p>
    <w:p w14:paraId="017031CC" w14:textId="77777777" w:rsidR="00827989" w:rsidRPr="00802FCD" w:rsidRDefault="00827989" w:rsidP="00802FCD">
      <w:pPr>
        <w:spacing w:before="120" w:after="120"/>
        <w:jc w:val="both"/>
        <w:rPr>
          <w:color w:val="000000" w:themeColor="text1"/>
        </w:rPr>
      </w:pPr>
      <w:r w:rsidRPr="00802FCD">
        <w:rPr>
          <w:color w:val="000000" w:themeColor="text1"/>
        </w:rPr>
        <w:t xml:space="preserve">Quality assurance in health and social care is the systematic processes by which </w:t>
      </w:r>
      <w:proofErr w:type="spellStart"/>
      <w:r w:rsidRPr="00802FCD">
        <w:rPr>
          <w:color w:val="000000" w:themeColor="text1"/>
        </w:rPr>
        <w:t>organisations</w:t>
      </w:r>
      <w:proofErr w:type="spellEnd"/>
      <w:r w:rsidRPr="00802FCD">
        <w:rPr>
          <w:color w:val="000000" w:themeColor="text1"/>
        </w:rPr>
        <w:t xml:space="preserve"> observe, assess and keep on enhancing the quality of care they provide to people. According to the Well-Led domain of CQC (CQC, 2022), quality assurance is a governance task, yet it is best </w:t>
      </w:r>
      <w:proofErr w:type="spellStart"/>
      <w:r w:rsidRPr="00802FCD">
        <w:rPr>
          <w:color w:val="000000" w:themeColor="text1"/>
        </w:rPr>
        <w:t>realised</w:t>
      </w:r>
      <w:proofErr w:type="spellEnd"/>
      <w:r w:rsidRPr="00802FCD">
        <w:rPr>
          <w:color w:val="000000" w:themeColor="text1"/>
        </w:rPr>
        <w:t xml:space="preserve"> when all the members of the staff, including the front-line care worker and the registered manager, are actively involved in the processes of identifying and dealing with the quality issues.</w:t>
      </w:r>
    </w:p>
    <w:p w14:paraId="48331488" w14:textId="77777777" w:rsidR="00827989" w:rsidRPr="00802FCD" w:rsidRDefault="00827989" w:rsidP="00802FCD">
      <w:pPr>
        <w:spacing w:before="120" w:after="120"/>
        <w:jc w:val="both"/>
        <w:rPr>
          <w:color w:val="000000" w:themeColor="text1"/>
        </w:rPr>
      </w:pPr>
      <w:r w:rsidRPr="00802FCD">
        <w:rPr>
          <w:color w:val="000000" w:themeColor="text1"/>
        </w:rPr>
        <w:t>Accurate, contemporaneous and objective records keeping by the front-line workers is the most direct and common contribution that is made. Care records are the main source of records of what care was done, by whom, and when and allow managers and inspectors to decide whether individual needs are being met, whether agreed plans are adhered to and whether it was found that something had deteriorated health or wellbeing and that action has been responded timely. Data Protection Act 2018 and the GDPR (UK GDPR) provide the legal structure of data recording and storage of personal information, and the proper compliance with them in itself is an element of quality assurance.</w:t>
      </w:r>
    </w:p>
    <w:p w14:paraId="6AA792CD" w14:textId="77777777" w:rsidR="00827989" w:rsidRPr="00802FCD" w:rsidRDefault="00827989" w:rsidP="00802FCD">
      <w:pPr>
        <w:spacing w:before="120" w:after="120"/>
        <w:jc w:val="both"/>
        <w:rPr>
          <w:color w:val="000000" w:themeColor="text1"/>
        </w:rPr>
      </w:pPr>
      <w:r w:rsidRPr="00802FCD">
        <w:rPr>
          <w:color w:val="000000" w:themeColor="text1"/>
        </w:rPr>
        <w:t xml:space="preserve">Participation in internal audits, in which workers undergo organized reviews of documentation, care provision or special areas of practice, like pressure area care or nutrition, is also a contributor in the hands of workers. The audits produce both quantitative and qualitative data that it uses by managers, who are seeking systematic failures or improvements. In the same way, incident reporting, which is the official record of the accidents, near-misses, medication errors or safeguarding issues, contributes to </w:t>
      </w:r>
      <w:proofErr w:type="spellStart"/>
      <w:r w:rsidRPr="00802FCD">
        <w:rPr>
          <w:color w:val="000000" w:themeColor="text1"/>
        </w:rPr>
        <w:t>organisational</w:t>
      </w:r>
      <w:proofErr w:type="spellEnd"/>
      <w:r w:rsidRPr="00802FCD">
        <w:rPr>
          <w:color w:val="000000" w:themeColor="text1"/>
        </w:rPr>
        <w:t xml:space="preserve"> learning cycles. The </w:t>
      </w:r>
      <w:proofErr w:type="spellStart"/>
      <w:r w:rsidRPr="00802FCD">
        <w:rPr>
          <w:color w:val="000000" w:themeColor="text1"/>
        </w:rPr>
        <w:t>candour</w:t>
      </w:r>
      <w:proofErr w:type="spellEnd"/>
      <w:r w:rsidRPr="00802FCD">
        <w:rPr>
          <w:color w:val="000000" w:themeColor="text1"/>
        </w:rPr>
        <w:t xml:space="preserve"> duty, created in the set of the Health and social care Act 2008 (Regulated activities) Regulations 2014, obliges the providers to be open and transparent to individuals in case things go wrong; front-line workers who report to the incidents are therefore directly performing this duty statutorily.</w:t>
      </w:r>
    </w:p>
    <w:p w14:paraId="0D6CD4A0" w14:textId="39B7AF45" w:rsidR="000E642F" w:rsidRPr="00802FCD" w:rsidRDefault="00827989" w:rsidP="00802FCD">
      <w:pPr>
        <w:spacing w:before="120" w:after="120"/>
        <w:jc w:val="both"/>
        <w:rPr>
          <w:color w:val="000000" w:themeColor="text1"/>
        </w:rPr>
      </w:pPr>
      <w:r w:rsidRPr="00802FCD">
        <w:rPr>
          <w:color w:val="000000" w:themeColor="text1"/>
        </w:rPr>
        <w:t xml:space="preserve">Quality improvement is also facilitated by reflective practice and frequent supervision. One of the models that are widely applied in health and social care education and practice is the Reflective Cycle developed by Gibb that allows practitioners to examine their own performance, define the areas of their development, and modify their </w:t>
      </w:r>
      <w:proofErr w:type="spellStart"/>
      <w:r w:rsidRPr="00802FCD">
        <w:rPr>
          <w:color w:val="000000" w:themeColor="text1"/>
        </w:rPr>
        <w:t>behaviour</w:t>
      </w:r>
      <w:proofErr w:type="spellEnd"/>
      <w:r w:rsidRPr="00802FCD">
        <w:rPr>
          <w:color w:val="000000" w:themeColor="text1"/>
        </w:rPr>
        <w:t xml:space="preserve"> based on the learning (Gibbs, 1988). Sharing this reflection in supervision enables managers to determine not only the needs of individual development but also systemic patterns, which can demand </w:t>
      </w:r>
      <w:proofErr w:type="spellStart"/>
      <w:r w:rsidRPr="00802FCD">
        <w:rPr>
          <w:color w:val="000000" w:themeColor="text1"/>
        </w:rPr>
        <w:t>organisational</w:t>
      </w:r>
      <w:proofErr w:type="spellEnd"/>
      <w:r w:rsidRPr="00802FCD">
        <w:rPr>
          <w:color w:val="000000" w:themeColor="text1"/>
        </w:rPr>
        <w:t xml:space="preserve"> intervention. Complaint learning - reading and responding to service user and family feedback - is also another quality indicator. The Local Government and Social Care Ombudsman (2021) observes that complaints in constructively addressed forms are one of the most useful means of </w:t>
      </w:r>
      <w:r w:rsidRPr="00802FCD">
        <w:rPr>
          <w:color w:val="000000" w:themeColor="text1"/>
        </w:rPr>
        <w:lastRenderedPageBreak/>
        <w:t xml:space="preserve">service improvement that care </w:t>
      </w:r>
      <w:proofErr w:type="spellStart"/>
      <w:r w:rsidRPr="00802FCD">
        <w:rPr>
          <w:color w:val="000000" w:themeColor="text1"/>
        </w:rPr>
        <w:t>organisations</w:t>
      </w:r>
      <w:proofErr w:type="spellEnd"/>
      <w:r w:rsidRPr="00802FCD">
        <w:rPr>
          <w:color w:val="000000" w:themeColor="text1"/>
        </w:rPr>
        <w:t xml:space="preserve"> have. Services-user surveys and co-production activities also produce knowledge that cannot be quantified using the data of quantitative audits only, which in </w:t>
      </w:r>
      <w:proofErr w:type="spellStart"/>
      <w:r w:rsidRPr="00802FCD">
        <w:rPr>
          <w:color w:val="000000" w:themeColor="text1"/>
        </w:rPr>
        <w:t>favour</w:t>
      </w:r>
      <w:proofErr w:type="spellEnd"/>
      <w:r w:rsidRPr="00802FCD">
        <w:rPr>
          <w:color w:val="000000" w:themeColor="text1"/>
        </w:rPr>
        <w:t xml:space="preserve"> of the transition to person-</w:t>
      </w:r>
      <w:proofErr w:type="spellStart"/>
      <w:r w:rsidRPr="00802FCD">
        <w:rPr>
          <w:color w:val="000000" w:themeColor="text1"/>
        </w:rPr>
        <w:t>centred</w:t>
      </w:r>
      <w:proofErr w:type="spellEnd"/>
      <w:r w:rsidRPr="00802FCD">
        <w:rPr>
          <w:color w:val="000000" w:themeColor="text1"/>
        </w:rPr>
        <w:t xml:space="preserve"> models of quality that place more importance on the lived experience of the person being taken care of in addition to the technical and compliance ones.</w:t>
      </w:r>
    </w:p>
    <w:p w14:paraId="2325AFCE" w14:textId="77777777" w:rsidR="000E642F" w:rsidRPr="00802FCD" w:rsidRDefault="00000000" w:rsidP="00802FCD">
      <w:pPr>
        <w:pStyle w:val="Heading1"/>
        <w:spacing w:before="120" w:after="120"/>
        <w:rPr>
          <w:color w:val="000000" w:themeColor="text1"/>
          <w:sz w:val="24"/>
          <w:szCs w:val="24"/>
        </w:rPr>
      </w:pPr>
      <w:r w:rsidRPr="00802FCD">
        <w:rPr>
          <w:color w:val="000000" w:themeColor="text1"/>
          <w:sz w:val="24"/>
          <w:szCs w:val="24"/>
        </w:rPr>
        <w:t>Conclusion</w:t>
      </w:r>
    </w:p>
    <w:p w14:paraId="77D635B8" w14:textId="3E01D7C6" w:rsidR="000E642F" w:rsidRPr="00802FCD" w:rsidRDefault="004A5C98" w:rsidP="00802FCD">
      <w:pPr>
        <w:spacing w:before="120" w:after="120"/>
        <w:jc w:val="both"/>
        <w:rPr>
          <w:color w:val="000000" w:themeColor="text1"/>
        </w:rPr>
      </w:pPr>
      <w:r w:rsidRPr="00802FCD">
        <w:rPr>
          <w:color w:val="000000" w:themeColor="text1"/>
        </w:rPr>
        <w:t xml:space="preserve">Successful, secure, and ethical health and social care is based on the </w:t>
      </w:r>
      <w:proofErr w:type="spellStart"/>
      <w:r w:rsidRPr="00802FCD">
        <w:rPr>
          <w:color w:val="000000" w:themeColor="text1"/>
        </w:rPr>
        <w:t>consistentity</w:t>
      </w:r>
      <w:proofErr w:type="spellEnd"/>
      <w:r w:rsidRPr="00802FCD">
        <w:rPr>
          <w:color w:val="000000" w:themeColor="text1"/>
        </w:rPr>
        <w:t xml:space="preserve"> of roles, professionally upheld limits, sound regulatory control, strict compliance with the agreed modes of working and the involvement of all employees in quality assurance. As the materials discussed in this report have shown, all these dimensions reinforce one another: role clarity ensures accountability; maintaining a boundary ensures the safety of both worker and service user; regulatory compliance ensures the minimum acceptable standards; agreed ways of working are the standards translated into daily activities; quality assurance mechanisms are the mechanisms ensuring that practice is responsive, and continues to improve and is person-</w:t>
      </w:r>
      <w:proofErr w:type="spellStart"/>
      <w:r w:rsidRPr="00802FCD">
        <w:rPr>
          <w:color w:val="000000" w:themeColor="text1"/>
        </w:rPr>
        <w:t>centred</w:t>
      </w:r>
      <w:proofErr w:type="spellEnd"/>
      <w:r w:rsidRPr="00802FCD">
        <w:rPr>
          <w:color w:val="000000" w:themeColor="text1"/>
        </w:rPr>
        <w:t xml:space="preserve"> through regulatory compliance.</w:t>
      </w:r>
    </w:p>
    <w:p w14:paraId="6FD7C369" w14:textId="77777777" w:rsidR="000E642F" w:rsidRPr="00802FCD" w:rsidRDefault="00000000" w:rsidP="00802FCD">
      <w:pPr>
        <w:spacing w:before="120" w:after="120"/>
        <w:rPr>
          <w:color w:val="000000" w:themeColor="text1"/>
        </w:rPr>
      </w:pPr>
      <w:r w:rsidRPr="00802FCD">
        <w:rPr>
          <w:color w:val="000000" w:themeColor="text1"/>
        </w:rPr>
        <w:br w:type="page"/>
      </w:r>
    </w:p>
    <w:p w14:paraId="32872D49" w14:textId="77777777" w:rsidR="000E642F" w:rsidRPr="00FE1FBD" w:rsidRDefault="00000000">
      <w:pPr>
        <w:spacing w:after="240"/>
        <w:rPr>
          <w:color w:val="000000" w:themeColor="text1"/>
        </w:rPr>
      </w:pPr>
      <w:r w:rsidRPr="00FE1FBD">
        <w:rPr>
          <w:b/>
          <w:bCs/>
          <w:color w:val="000000" w:themeColor="text1"/>
          <w:sz w:val="36"/>
          <w:szCs w:val="36"/>
        </w:rPr>
        <w:lastRenderedPageBreak/>
        <w:t>References</w:t>
      </w:r>
    </w:p>
    <w:p w14:paraId="06E1223D" w14:textId="77777777" w:rsidR="000E642F" w:rsidRPr="00FE1FBD" w:rsidRDefault="00000000" w:rsidP="001607CD">
      <w:pPr>
        <w:spacing w:after="160"/>
        <w:ind w:left="720" w:hanging="720"/>
        <w:jc w:val="both"/>
        <w:rPr>
          <w:color w:val="000000" w:themeColor="text1"/>
        </w:rPr>
      </w:pPr>
      <w:r w:rsidRPr="00FE1FBD">
        <w:rPr>
          <w:color w:val="000000" w:themeColor="text1"/>
          <w:sz w:val="22"/>
          <w:szCs w:val="22"/>
        </w:rPr>
        <w:t>Care Act 2014. London: HMSO.</w:t>
      </w:r>
    </w:p>
    <w:p w14:paraId="05EB340A" w14:textId="77777777" w:rsidR="000E642F" w:rsidRPr="00FE1FBD" w:rsidRDefault="00000000" w:rsidP="001607CD">
      <w:pPr>
        <w:spacing w:after="160"/>
        <w:ind w:left="720" w:hanging="720"/>
        <w:jc w:val="both"/>
        <w:rPr>
          <w:color w:val="000000" w:themeColor="text1"/>
        </w:rPr>
      </w:pPr>
      <w:r w:rsidRPr="00FE1FBD">
        <w:rPr>
          <w:color w:val="000000" w:themeColor="text1"/>
          <w:sz w:val="22"/>
          <w:szCs w:val="22"/>
        </w:rPr>
        <w:t>Care Quality Commission (CQC) (2022) The Provider Information Return: Key Lines of Enquiry. Newcastle: CQC.</w:t>
      </w:r>
    </w:p>
    <w:p w14:paraId="2B3807C0" w14:textId="77777777" w:rsidR="000E642F" w:rsidRPr="00FE1FBD" w:rsidRDefault="00000000" w:rsidP="001607CD">
      <w:pPr>
        <w:spacing w:after="160"/>
        <w:ind w:left="720" w:hanging="720"/>
        <w:jc w:val="both"/>
        <w:rPr>
          <w:color w:val="000000" w:themeColor="text1"/>
        </w:rPr>
      </w:pPr>
      <w:r w:rsidRPr="00FE1FBD">
        <w:rPr>
          <w:color w:val="000000" w:themeColor="text1"/>
          <w:sz w:val="22"/>
          <w:szCs w:val="22"/>
        </w:rPr>
        <w:t>Data Protection Act 2018. London: HMSO.</w:t>
      </w:r>
    </w:p>
    <w:p w14:paraId="1F8E195C" w14:textId="77777777" w:rsidR="000E642F" w:rsidRPr="00FE1FBD" w:rsidRDefault="00000000" w:rsidP="001607CD">
      <w:pPr>
        <w:spacing w:after="160"/>
        <w:ind w:left="720" w:hanging="720"/>
        <w:jc w:val="both"/>
        <w:rPr>
          <w:color w:val="000000" w:themeColor="text1"/>
        </w:rPr>
      </w:pPr>
      <w:r w:rsidRPr="00FE1FBD">
        <w:rPr>
          <w:color w:val="000000" w:themeColor="text1"/>
          <w:sz w:val="22"/>
          <w:szCs w:val="22"/>
        </w:rPr>
        <w:t>General Medical Council (GMC) (2019) Good Medical Practice. Manchester: GMC.</w:t>
      </w:r>
    </w:p>
    <w:p w14:paraId="296F9246" w14:textId="77777777" w:rsidR="000E642F" w:rsidRPr="00FE1FBD" w:rsidRDefault="00000000" w:rsidP="001607CD">
      <w:pPr>
        <w:spacing w:after="160"/>
        <w:ind w:left="720" w:hanging="720"/>
        <w:jc w:val="both"/>
        <w:rPr>
          <w:color w:val="000000" w:themeColor="text1"/>
        </w:rPr>
      </w:pPr>
      <w:r w:rsidRPr="00FE1FBD">
        <w:rPr>
          <w:color w:val="000000" w:themeColor="text1"/>
          <w:sz w:val="22"/>
          <w:szCs w:val="22"/>
        </w:rPr>
        <w:t>Gibbs, G. (1988) Learning by Doing: A Guide to Teaching and Learning Methods. Oxford: Further Education Unit.</w:t>
      </w:r>
    </w:p>
    <w:p w14:paraId="384B5595" w14:textId="77777777" w:rsidR="000E642F" w:rsidRPr="00FE1FBD" w:rsidRDefault="00000000" w:rsidP="001607CD">
      <w:pPr>
        <w:spacing w:after="160"/>
        <w:ind w:left="720" w:hanging="720"/>
        <w:jc w:val="both"/>
        <w:rPr>
          <w:color w:val="000000" w:themeColor="text1"/>
        </w:rPr>
      </w:pPr>
      <w:r w:rsidRPr="00FE1FBD">
        <w:rPr>
          <w:color w:val="000000" w:themeColor="text1"/>
          <w:sz w:val="22"/>
          <w:szCs w:val="22"/>
        </w:rPr>
        <w:t xml:space="preserve">Glasby, J. and Dickinson, H. (2014) Partnership Working in Health and Social Care: What is Integrated Care and How Can We Deliver It? 2nd </w:t>
      </w:r>
      <w:proofErr w:type="spellStart"/>
      <w:r w:rsidRPr="00FE1FBD">
        <w:rPr>
          <w:color w:val="000000" w:themeColor="text1"/>
          <w:sz w:val="22"/>
          <w:szCs w:val="22"/>
        </w:rPr>
        <w:t>edn</w:t>
      </w:r>
      <w:proofErr w:type="spellEnd"/>
      <w:r w:rsidRPr="00FE1FBD">
        <w:rPr>
          <w:color w:val="000000" w:themeColor="text1"/>
          <w:sz w:val="22"/>
          <w:szCs w:val="22"/>
        </w:rPr>
        <w:t>. Bristol: Policy Press.</w:t>
      </w:r>
    </w:p>
    <w:p w14:paraId="3D1EF9EA" w14:textId="77777777" w:rsidR="000E642F" w:rsidRPr="00FE1FBD" w:rsidRDefault="00000000" w:rsidP="001607CD">
      <w:pPr>
        <w:spacing w:after="160"/>
        <w:ind w:left="720" w:hanging="720"/>
        <w:jc w:val="both"/>
        <w:rPr>
          <w:color w:val="000000" w:themeColor="text1"/>
        </w:rPr>
      </w:pPr>
      <w:r w:rsidRPr="00FE1FBD">
        <w:rPr>
          <w:color w:val="000000" w:themeColor="text1"/>
          <w:sz w:val="22"/>
          <w:szCs w:val="22"/>
        </w:rPr>
        <w:t>Health and Care Act 2022. London: HMSO.</w:t>
      </w:r>
    </w:p>
    <w:p w14:paraId="6866561B" w14:textId="77777777" w:rsidR="000E642F" w:rsidRPr="00FE1FBD" w:rsidRDefault="00000000" w:rsidP="001607CD">
      <w:pPr>
        <w:spacing w:after="160"/>
        <w:ind w:left="720" w:hanging="720"/>
        <w:jc w:val="both"/>
        <w:rPr>
          <w:color w:val="000000" w:themeColor="text1"/>
        </w:rPr>
      </w:pPr>
      <w:r w:rsidRPr="00FE1FBD">
        <w:rPr>
          <w:color w:val="000000" w:themeColor="text1"/>
          <w:sz w:val="22"/>
          <w:szCs w:val="22"/>
        </w:rPr>
        <w:t>Health and Care Professions Council (HCPC) (2016) Standards of Conduct, Performance and Ethics. London: HCPC.</w:t>
      </w:r>
    </w:p>
    <w:p w14:paraId="39022A51" w14:textId="77777777" w:rsidR="000E642F" w:rsidRPr="00FE1FBD" w:rsidRDefault="00000000" w:rsidP="001607CD">
      <w:pPr>
        <w:spacing w:after="160"/>
        <w:ind w:left="720" w:hanging="720"/>
        <w:jc w:val="both"/>
        <w:rPr>
          <w:color w:val="000000" w:themeColor="text1"/>
        </w:rPr>
      </w:pPr>
      <w:r w:rsidRPr="00FE1FBD">
        <w:rPr>
          <w:color w:val="000000" w:themeColor="text1"/>
          <w:sz w:val="22"/>
          <w:szCs w:val="22"/>
        </w:rPr>
        <w:t>Health and Safety at Work Act 1974. London: HMSO.</w:t>
      </w:r>
    </w:p>
    <w:p w14:paraId="231E3D78" w14:textId="77777777" w:rsidR="000E642F" w:rsidRPr="00FE1FBD" w:rsidRDefault="00000000" w:rsidP="001607CD">
      <w:pPr>
        <w:spacing w:after="160"/>
        <w:ind w:left="720" w:hanging="720"/>
        <w:jc w:val="both"/>
        <w:rPr>
          <w:color w:val="000000" w:themeColor="text1"/>
        </w:rPr>
      </w:pPr>
      <w:r w:rsidRPr="00FE1FBD">
        <w:rPr>
          <w:color w:val="000000" w:themeColor="text1"/>
          <w:sz w:val="22"/>
          <w:szCs w:val="22"/>
        </w:rPr>
        <w:t>Health and Social Care Act 2008 (Regulated Activities) Regulations 2014. London: HMSO.</w:t>
      </w:r>
    </w:p>
    <w:p w14:paraId="5A28E87A" w14:textId="77777777" w:rsidR="000E642F" w:rsidRPr="00FE1FBD" w:rsidRDefault="00000000" w:rsidP="001607CD">
      <w:pPr>
        <w:spacing w:after="160"/>
        <w:ind w:left="720" w:hanging="720"/>
        <w:jc w:val="both"/>
        <w:rPr>
          <w:color w:val="000000" w:themeColor="text1"/>
        </w:rPr>
      </w:pPr>
      <w:r w:rsidRPr="00FE1FBD">
        <w:rPr>
          <w:color w:val="000000" w:themeColor="text1"/>
          <w:sz w:val="22"/>
          <w:szCs w:val="22"/>
        </w:rPr>
        <w:t>Local Government and Social Care Ombudsman (2021) Annual Review of Adult Social Care Complaints 2020–21. Coventry: LGSCO.</w:t>
      </w:r>
    </w:p>
    <w:p w14:paraId="6E6B7FE3" w14:textId="77777777" w:rsidR="000E642F" w:rsidRPr="00FE1FBD" w:rsidRDefault="00000000" w:rsidP="001607CD">
      <w:pPr>
        <w:spacing w:after="160"/>
        <w:ind w:left="720" w:hanging="720"/>
        <w:jc w:val="both"/>
        <w:rPr>
          <w:color w:val="000000" w:themeColor="text1"/>
        </w:rPr>
      </w:pPr>
      <w:r w:rsidRPr="00FE1FBD">
        <w:rPr>
          <w:color w:val="000000" w:themeColor="text1"/>
          <w:sz w:val="22"/>
          <w:szCs w:val="22"/>
        </w:rPr>
        <w:t>Mental Capacity Act 2005. London: HMSO.</w:t>
      </w:r>
    </w:p>
    <w:p w14:paraId="2D161310" w14:textId="77777777" w:rsidR="000E642F" w:rsidRPr="00FE1FBD" w:rsidRDefault="00000000" w:rsidP="001607CD">
      <w:pPr>
        <w:spacing w:after="160"/>
        <w:ind w:left="720" w:hanging="720"/>
        <w:jc w:val="both"/>
        <w:rPr>
          <w:color w:val="000000" w:themeColor="text1"/>
        </w:rPr>
      </w:pPr>
      <w:r w:rsidRPr="00FE1FBD">
        <w:rPr>
          <w:color w:val="000000" w:themeColor="text1"/>
          <w:sz w:val="22"/>
          <w:szCs w:val="22"/>
        </w:rPr>
        <w:t>NHS England (2019) The NHS Long Term Plan. London: NHS England.</w:t>
      </w:r>
    </w:p>
    <w:p w14:paraId="42E6205C" w14:textId="77777777" w:rsidR="000E642F" w:rsidRPr="00FE1FBD" w:rsidRDefault="00000000" w:rsidP="001607CD">
      <w:pPr>
        <w:spacing w:after="160"/>
        <w:ind w:left="720" w:hanging="720"/>
        <w:jc w:val="both"/>
        <w:rPr>
          <w:color w:val="000000" w:themeColor="text1"/>
        </w:rPr>
      </w:pPr>
      <w:r w:rsidRPr="00FE1FBD">
        <w:rPr>
          <w:color w:val="000000" w:themeColor="text1"/>
          <w:sz w:val="22"/>
          <w:szCs w:val="22"/>
        </w:rPr>
        <w:t xml:space="preserve">Nursing and Midwifery Council (NMC) (2018) The Code: Professional Standards of Practice and </w:t>
      </w:r>
      <w:proofErr w:type="spellStart"/>
      <w:r w:rsidRPr="00FE1FBD">
        <w:rPr>
          <w:color w:val="000000" w:themeColor="text1"/>
          <w:sz w:val="22"/>
          <w:szCs w:val="22"/>
        </w:rPr>
        <w:t>Behaviour</w:t>
      </w:r>
      <w:proofErr w:type="spellEnd"/>
      <w:r w:rsidRPr="00FE1FBD">
        <w:rPr>
          <w:color w:val="000000" w:themeColor="text1"/>
          <w:sz w:val="22"/>
          <w:szCs w:val="22"/>
        </w:rPr>
        <w:t xml:space="preserve"> for Nurses, Midwives and Nursing Associates. London: NMC.</w:t>
      </w:r>
    </w:p>
    <w:p w14:paraId="11743135" w14:textId="77777777" w:rsidR="000E642F" w:rsidRPr="00FE1FBD" w:rsidRDefault="00000000" w:rsidP="001607CD">
      <w:pPr>
        <w:spacing w:after="160"/>
        <w:ind w:left="720" w:hanging="720"/>
        <w:jc w:val="both"/>
        <w:rPr>
          <w:color w:val="000000" w:themeColor="text1"/>
        </w:rPr>
      </w:pPr>
      <w:r w:rsidRPr="00FE1FBD">
        <w:rPr>
          <w:color w:val="000000" w:themeColor="text1"/>
          <w:sz w:val="22"/>
          <w:szCs w:val="22"/>
        </w:rPr>
        <w:t>Skills for Care (2021) The Care Certificate Framework: Standards. Leeds: Skills for Care.</w:t>
      </w:r>
    </w:p>
    <w:p w14:paraId="3190722E" w14:textId="77777777" w:rsidR="000E642F" w:rsidRPr="00FE1FBD" w:rsidRDefault="00000000" w:rsidP="001607CD">
      <w:pPr>
        <w:spacing w:after="160"/>
        <w:ind w:left="720" w:hanging="720"/>
        <w:jc w:val="both"/>
        <w:rPr>
          <w:color w:val="000000" w:themeColor="text1"/>
        </w:rPr>
      </w:pPr>
      <w:r w:rsidRPr="00FE1FBD">
        <w:rPr>
          <w:color w:val="000000" w:themeColor="text1"/>
          <w:sz w:val="22"/>
          <w:szCs w:val="22"/>
        </w:rPr>
        <w:t>Social Care Institute for Excellence (SCIE) (2020) Professional Boundaries: Guidance for Social Workers. London: SCIE.</w:t>
      </w:r>
    </w:p>
    <w:sectPr w:rsidR="000E642F" w:rsidRPr="00FE1FBD">
      <w:footerReference w:type="default" r:id="rId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355571" w14:textId="77777777" w:rsidR="00350DD3" w:rsidRDefault="00350DD3" w:rsidP="002E6ECB">
      <w:r>
        <w:separator/>
      </w:r>
    </w:p>
  </w:endnote>
  <w:endnote w:type="continuationSeparator" w:id="0">
    <w:p w14:paraId="3A13806D" w14:textId="77777777" w:rsidR="00350DD3" w:rsidRDefault="00350DD3" w:rsidP="002E6E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38491023"/>
      <w:docPartObj>
        <w:docPartGallery w:val="Page Numbers (Bottom of Page)"/>
        <w:docPartUnique/>
      </w:docPartObj>
    </w:sdtPr>
    <w:sdtEndPr>
      <w:rPr>
        <w:color w:val="7F7F7F" w:themeColor="background1" w:themeShade="7F"/>
        <w:spacing w:val="60"/>
      </w:rPr>
    </w:sdtEndPr>
    <w:sdtContent>
      <w:p w14:paraId="3641891B" w14:textId="2018ED53" w:rsidR="002E6ECB" w:rsidRDefault="002E6ECB">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79AB2F50" w14:textId="77777777" w:rsidR="002E6ECB" w:rsidRDefault="002E6EC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74CC59" w14:textId="77777777" w:rsidR="00350DD3" w:rsidRDefault="00350DD3" w:rsidP="002E6ECB">
      <w:r>
        <w:separator/>
      </w:r>
    </w:p>
  </w:footnote>
  <w:footnote w:type="continuationSeparator" w:id="0">
    <w:p w14:paraId="0A35861F" w14:textId="77777777" w:rsidR="00350DD3" w:rsidRDefault="00350DD3" w:rsidP="002E6EC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36430"/>
    <w:multiLevelType w:val="hybridMultilevel"/>
    <w:tmpl w:val="7E9C9E10"/>
    <w:lvl w:ilvl="0" w:tplc="332C70D8">
      <w:start w:val="1"/>
      <w:numFmt w:val="bullet"/>
      <w:lvlText w:val="●"/>
      <w:lvlJc w:val="left"/>
      <w:pPr>
        <w:ind w:left="720" w:hanging="360"/>
      </w:pPr>
    </w:lvl>
    <w:lvl w:ilvl="1" w:tplc="A19E9E82">
      <w:start w:val="1"/>
      <w:numFmt w:val="bullet"/>
      <w:lvlText w:val="○"/>
      <w:lvlJc w:val="left"/>
      <w:pPr>
        <w:ind w:left="1440" w:hanging="360"/>
      </w:pPr>
    </w:lvl>
    <w:lvl w:ilvl="2" w:tplc="632C1FC0">
      <w:start w:val="1"/>
      <w:numFmt w:val="bullet"/>
      <w:lvlText w:val="■"/>
      <w:lvlJc w:val="left"/>
      <w:pPr>
        <w:ind w:left="2160" w:hanging="360"/>
      </w:pPr>
    </w:lvl>
    <w:lvl w:ilvl="3" w:tplc="774AF4BA">
      <w:start w:val="1"/>
      <w:numFmt w:val="bullet"/>
      <w:lvlText w:val="●"/>
      <w:lvlJc w:val="left"/>
      <w:pPr>
        <w:ind w:left="2880" w:hanging="360"/>
      </w:pPr>
    </w:lvl>
    <w:lvl w:ilvl="4" w:tplc="2904FFAC">
      <w:start w:val="1"/>
      <w:numFmt w:val="bullet"/>
      <w:lvlText w:val="○"/>
      <w:lvlJc w:val="left"/>
      <w:pPr>
        <w:ind w:left="3600" w:hanging="360"/>
      </w:pPr>
    </w:lvl>
    <w:lvl w:ilvl="5" w:tplc="1F30E7B4">
      <w:start w:val="1"/>
      <w:numFmt w:val="bullet"/>
      <w:lvlText w:val="■"/>
      <w:lvlJc w:val="left"/>
      <w:pPr>
        <w:ind w:left="4320" w:hanging="360"/>
      </w:pPr>
    </w:lvl>
    <w:lvl w:ilvl="6" w:tplc="9B72DF24">
      <w:start w:val="1"/>
      <w:numFmt w:val="bullet"/>
      <w:lvlText w:val="●"/>
      <w:lvlJc w:val="left"/>
      <w:pPr>
        <w:ind w:left="5040" w:hanging="360"/>
      </w:pPr>
    </w:lvl>
    <w:lvl w:ilvl="7" w:tplc="0ACEDF50">
      <w:start w:val="1"/>
      <w:numFmt w:val="bullet"/>
      <w:lvlText w:val="●"/>
      <w:lvlJc w:val="left"/>
      <w:pPr>
        <w:ind w:left="5760" w:hanging="360"/>
      </w:pPr>
    </w:lvl>
    <w:lvl w:ilvl="8" w:tplc="B03C6AB4">
      <w:start w:val="1"/>
      <w:numFmt w:val="bullet"/>
      <w:lvlText w:val="●"/>
      <w:lvlJc w:val="left"/>
      <w:pPr>
        <w:ind w:left="6480" w:hanging="360"/>
      </w:pPr>
    </w:lvl>
  </w:abstractNum>
  <w:num w:numId="1" w16cid:durableId="196912201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642F"/>
    <w:rsid w:val="0005731D"/>
    <w:rsid w:val="000E642F"/>
    <w:rsid w:val="00103022"/>
    <w:rsid w:val="0011149F"/>
    <w:rsid w:val="00140A44"/>
    <w:rsid w:val="001607CD"/>
    <w:rsid w:val="00227068"/>
    <w:rsid w:val="002E6ECB"/>
    <w:rsid w:val="003504FA"/>
    <w:rsid w:val="00350DD3"/>
    <w:rsid w:val="003B60D1"/>
    <w:rsid w:val="003C40CF"/>
    <w:rsid w:val="004A5C98"/>
    <w:rsid w:val="00527A9F"/>
    <w:rsid w:val="006F4A30"/>
    <w:rsid w:val="00783C12"/>
    <w:rsid w:val="007E4F46"/>
    <w:rsid w:val="00802FCD"/>
    <w:rsid w:val="00827989"/>
    <w:rsid w:val="009A00DE"/>
    <w:rsid w:val="00A23F75"/>
    <w:rsid w:val="00B821B6"/>
    <w:rsid w:val="00BF0438"/>
    <w:rsid w:val="00CB6ECE"/>
    <w:rsid w:val="00CE07A1"/>
    <w:rsid w:val="00EB3AF0"/>
    <w:rsid w:val="00EC440E"/>
    <w:rsid w:val="00F16B60"/>
    <w:rsid w:val="00FE1FBD"/>
    <w:rsid w:val="00FF48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A871BA"/>
  <w15:docId w15:val="{7AC59AD9-5076-47C6-BE51-D58BFCCEEC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065A82"/>
      <w:sz w:val="32"/>
      <w:szCs w:val="32"/>
    </w:rPr>
  </w:style>
  <w:style w:type="paragraph" w:styleId="Heading2">
    <w:name w:val="heading 2"/>
    <w:uiPriority w:val="9"/>
    <w:semiHidden/>
    <w:unhideWhenUsed/>
    <w:qFormat/>
    <w:pPr>
      <w:spacing w:before="240" w:after="120"/>
      <w:outlineLvl w:val="1"/>
    </w:pPr>
    <w:rPr>
      <w:b/>
      <w:bCs/>
      <w:color w:val="1C7293"/>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2E6ECB"/>
    <w:pPr>
      <w:tabs>
        <w:tab w:val="center" w:pos="4680"/>
        <w:tab w:val="right" w:pos="9360"/>
      </w:tabs>
    </w:pPr>
  </w:style>
  <w:style w:type="character" w:customStyle="1" w:styleId="HeaderChar">
    <w:name w:val="Header Char"/>
    <w:basedOn w:val="DefaultParagraphFont"/>
    <w:link w:val="Header"/>
    <w:uiPriority w:val="99"/>
    <w:rsid w:val="002E6ECB"/>
  </w:style>
  <w:style w:type="paragraph" w:styleId="Footer">
    <w:name w:val="footer"/>
    <w:basedOn w:val="Normal"/>
    <w:link w:val="FooterChar"/>
    <w:uiPriority w:val="99"/>
    <w:unhideWhenUsed/>
    <w:rsid w:val="002E6ECB"/>
    <w:pPr>
      <w:tabs>
        <w:tab w:val="center" w:pos="4680"/>
        <w:tab w:val="right" w:pos="9360"/>
      </w:tabs>
    </w:pPr>
  </w:style>
  <w:style w:type="character" w:customStyle="1" w:styleId="FooterChar">
    <w:name w:val="Footer Char"/>
    <w:basedOn w:val="DefaultParagraphFont"/>
    <w:link w:val="Footer"/>
    <w:uiPriority w:val="99"/>
    <w:rsid w:val="002E6EC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56</TotalTime>
  <Pages>1</Pages>
  <Words>1898</Words>
  <Characters>10820</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Author</cp:lastModifiedBy>
  <cp:revision>22</cp:revision>
  <dcterms:created xsi:type="dcterms:W3CDTF">2026-03-29T07:19:00Z</dcterms:created>
  <dcterms:modified xsi:type="dcterms:W3CDTF">2026-04-06T13:53:00Z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083fec72-2f01-4aaa-9497-a9c6df32986d</vt:lpwstr>
  </property>
</Properties>
</file>