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01103" w14:textId="77777777" w:rsidR="00326BE5" w:rsidRDefault="00326BE5">
      <w:pPr>
        <w:pStyle w:val="Title"/>
      </w:pPr>
    </w:p>
    <w:p w14:paraId="351F09CF" w14:textId="007DF1C0" w:rsidR="004D6B86" w:rsidRPr="002D033F" w:rsidRDefault="005053C5">
      <w:pPr>
        <w:pStyle w:val="Title"/>
      </w:pPr>
      <w:r w:rsidRPr="002D033F">
        <w:t>Application of Islamic Ethics in the Nigerian Banking Industry</w:t>
      </w:r>
    </w:p>
    <w:p w14:paraId="02C81F8C" w14:textId="3F5BBA3C" w:rsidR="004D6B86" w:rsidRPr="002D033F" w:rsidRDefault="001B437B">
      <w:pPr>
        <w:pStyle w:val="Title2"/>
      </w:pPr>
      <w:r>
        <w:t xml:space="preserve">Adeniran Moses </w:t>
      </w:r>
      <w:proofErr w:type="spellStart"/>
      <w:r>
        <w:t>Oluwaturoti</w:t>
      </w:r>
      <w:proofErr w:type="spellEnd"/>
      <w:r>
        <w:t xml:space="preserve"> (Public Health)</w:t>
      </w:r>
    </w:p>
    <w:p w14:paraId="526EED10" w14:textId="1071DE62" w:rsidR="004D6B86" w:rsidRPr="002D033F" w:rsidRDefault="001B437B">
      <w:pPr>
        <w:pStyle w:val="Title2"/>
      </w:pPr>
      <w:r>
        <w:t>AUPG/21/0028 – GES 801</w:t>
      </w:r>
    </w:p>
    <w:p w14:paraId="51AFF71F" w14:textId="059FB24C" w:rsidR="006D7EE9" w:rsidRPr="002D033F" w:rsidRDefault="00F56839" w:rsidP="006D7EE9">
      <w:pPr>
        <w:pStyle w:val="SectionTitle"/>
      </w:pPr>
      <w:r w:rsidRPr="002D033F">
        <w:lastRenderedPageBreak/>
        <w:t>Application of Islamic Ethics in the Nigerian Banking Industry</w:t>
      </w:r>
    </w:p>
    <w:p w14:paraId="40AE5A60" w14:textId="77777777" w:rsidR="00F33911" w:rsidRDefault="00F33911" w:rsidP="00326BE5">
      <w:pPr>
        <w:spacing w:before="120" w:after="100" w:afterAutospacing="1" w:line="360" w:lineRule="auto"/>
        <w:jc w:val="both"/>
      </w:pPr>
      <w:r>
        <w:t>The decision to transact business with most commercial banks in Nigeria is one of the most excruciating experiences one can have. Especially when it comes to a loan. The first challenge is attracting attention, as well as the stringent requirements for borrowing money from banks, which range from the provision of collateral to a lack of sufficient interest in the banking sector to ensure the venture's success, provided the collateral is strong enough to swallow the loan obtained. Furthermore, there have been documented examples of fraud and other egregious actions that have greatly destroyed client confidence. However, transaction interest is nearly never undercharged, which is one of the most effective services provided by Nigerian banks. The establishment of microfinance banks was intended to address the shortfall associated with inaccessible banking services for the poor, but the issue of interest rates charged on operations eroded the gains, and the fraudulent and sharp practices of some of the banks' directors, combined with weak institutional mechanisms to bring such people involved in unwholesome bank operations, remains a serious challenge.</w:t>
      </w:r>
    </w:p>
    <w:p w14:paraId="4D7FE765" w14:textId="30C267B9" w:rsidR="00494DE5" w:rsidRPr="00DD579A" w:rsidRDefault="00F33911" w:rsidP="00DD579A">
      <w:pPr>
        <w:spacing w:before="120" w:after="100" w:afterAutospacing="1" w:line="360" w:lineRule="auto"/>
        <w:jc w:val="both"/>
      </w:pPr>
      <w:r>
        <w:t xml:space="preserve">There is little doubt that public uproar over bad banking services has led to various reforms implemented by the Federal Government through the Central Banks in the past. To bring the most important of them to light, as it has a direct bearing on this work. Following the initial approval to carry on business as a Profit and Loss Sharing Bank and the issuance of a Framework on Non-Interest Financial Institutions, the Central Bank of Nigeria announced on Monday, June 20, 2011, at a Conference on Islamic Banking in Dakar, Senegal, that it had issued </w:t>
      </w:r>
      <w:proofErr w:type="spellStart"/>
      <w:r>
        <w:t>Jaiz</w:t>
      </w:r>
      <w:proofErr w:type="spellEnd"/>
      <w:r>
        <w:t xml:space="preserve"> International Bank PLC an Approval in Principle as the country's first Islamic Bank. The issue emerges, however, in the acceptability of this banking system due to its ethical ideals. principles that, in and of themselves, go counter to the traditional banking system's money-making procedures.</w:t>
      </w:r>
      <w:r w:rsidR="00DD579A">
        <w:t xml:space="preserve"> </w:t>
      </w:r>
      <w:r w:rsidRPr="00F33911">
        <w:rPr>
          <w:color w:val="1C1C1C"/>
          <w:shd w:val="clear" w:color="auto" w:fill="FFFFFF"/>
        </w:rPr>
        <w:t>As a result of the prevalence of interest-based transactions in their society, Muslim countries are currently plagued by a dilemma</w:t>
      </w:r>
      <w:r w:rsidR="00DD579A">
        <w:rPr>
          <w:color w:val="1C1C1C"/>
          <w:shd w:val="clear" w:color="auto" w:fill="FFFFFF"/>
        </w:rPr>
        <w:t xml:space="preserve"> [</w:t>
      </w:r>
      <w:r w:rsidR="00DD579A">
        <w:rPr>
          <w:rStyle w:val="FootnoteReference"/>
          <w:color w:val="1C1C1C"/>
          <w:shd w:val="clear" w:color="auto" w:fill="FFFFFF"/>
        </w:rPr>
        <w:footnoteReference w:id="1"/>
      </w:r>
      <w:r w:rsidR="00DD579A">
        <w:rPr>
          <w:color w:val="1C1C1C"/>
          <w:shd w:val="clear" w:color="auto" w:fill="FFFFFF"/>
        </w:rPr>
        <w:t>]</w:t>
      </w:r>
      <w:r w:rsidRPr="00F33911">
        <w:rPr>
          <w:color w:val="1C1C1C"/>
          <w:shd w:val="clear" w:color="auto" w:fill="FFFFFF"/>
        </w:rPr>
        <w:t xml:space="preserve">. The reason for this predicament is that Islam, as a religion, is </w:t>
      </w:r>
      <w:r w:rsidRPr="00F33911">
        <w:rPr>
          <w:color w:val="1C1C1C"/>
          <w:shd w:val="clear" w:color="auto" w:fill="FFFFFF"/>
        </w:rPr>
        <w:lastRenderedPageBreak/>
        <w:t>categorically opposed to interest (</w:t>
      </w:r>
      <w:proofErr w:type="spellStart"/>
      <w:r w:rsidRPr="009F2B58">
        <w:rPr>
          <w:i/>
          <w:iCs/>
          <w:color w:val="1C1C1C"/>
          <w:shd w:val="clear" w:color="auto" w:fill="FFFFFF"/>
        </w:rPr>
        <w:t>riba</w:t>
      </w:r>
      <w:proofErr w:type="spellEnd"/>
      <w:r w:rsidRPr="00F33911">
        <w:rPr>
          <w:color w:val="1C1C1C"/>
          <w:shd w:val="clear" w:color="auto" w:fill="FFFFFF"/>
        </w:rPr>
        <w:t>), which is the foundation of the traditional banking system</w:t>
      </w:r>
      <w:r w:rsidR="009F2B58">
        <w:rPr>
          <w:rStyle w:val="FootnoteReference"/>
          <w:color w:val="1C1C1C"/>
          <w:shd w:val="clear" w:color="auto" w:fill="FFFFFF"/>
        </w:rPr>
        <w:footnoteReference w:id="2"/>
      </w:r>
      <w:r w:rsidRPr="00F33911">
        <w:rPr>
          <w:color w:val="1C1C1C"/>
          <w:shd w:val="clear" w:color="auto" w:fill="FFFFFF"/>
        </w:rPr>
        <w:t>. According to Ahmad</w:t>
      </w:r>
      <w:r w:rsidR="009F2B58">
        <w:rPr>
          <w:color w:val="1C1C1C"/>
          <w:shd w:val="clear" w:color="auto" w:fill="FFFFFF"/>
        </w:rPr>
        <w:t xml:space="preserve"> [</w:t>
      </w:r>
      <w:r w:rsidR="009F2B58">
        <w:rPr>
          <w:rStyle w:val="FootnoteReference"/>
          <w:color w:val="1C1C1C"/>
          <w:shd w:val="clear" w:color="auto" w:fill="FFFFFF"/>
        </w:rPr>
        <w:footnoteReference w:id="3"/>
      </w:r>
      <w:r w:rsidR="009F2B58">
        <w:rPr>
          <w:color w:val="1C1C1C"/>
          <w:shd w:val="clear" w:color="auto" w:fill="FFFFFF"/>
        </w:rPr>
        <w:t>]</w:t>
      </w:r>
      <w:r w:rsidRPr="00F33911">
        <w:rPr>
          <w:color w:val="1C1C1C"/>
          <w:shd w:val="clear" w:color="auto" w:fill="FFFFFF"/>
        </w:rPr>
        <w:t>, colonialism helped the infiltration and permeation of interest-based transactions in Muslim countries by eroding Islamic principles and promoting western influence. Because banks are so important to economic growth because of the services they provide, such as financial mediation between savers and investors, credit creation, and capital accumulation encouragement, many Muslims patronize traditional banks in the absence of other options, causing their values to erode.</w:t>
      </w:r>
    </w:p>
    <w:p w14:paraId="323269CD" w14:textId="37FFDC3C" w:rsidR="00455B0F" w:rsidRPr="002D033F" w:rsidRDefault="00D02CF3" w:rsidP="00C776F7">
      <w:pPr>
        <w:spacing w:before="120" w:after="100" w:afterAutospacing="1" w:line="360" w:lineRule="auto"/>
        <w:ind w:firstLine="0"/>
        <w:rPr>
          <w:b/>
          <w:bCs/>
          <w:i/>
          <w:iCs/>
          <w:color w:val="1C1C1C"/>
          <w:shd w:val="clear" w:color="auto" w:fill="FFFFFF"/>
        </w:rPr>
      </w:pPr>
      <w:r w:rsidRPr="002D033F">
        <w:rPr>
          <w:b/>
          <w:bCs/>
          <w:i/>
          <w:iCs/>
          <w:color w:val="1C1C1C"/>
          <w:shd w:val="clear" w:color="auto" w:fill="FFFFFF"/>
        </w:rPr>
        <w:t xml:space="preserve">Ethical </w:t>
      </w:r>
      <w:r w:rsidR="00455B0F" w:rsidRPr="002D033F">
        <w:rPr>
          <w:b/>
          <w:bCs/>
          <w:i/>
          <w:iCs/>
          <w:color w:val="1C1C1C"/>
          <w:shd w:val="clear" w:color="auto" w:fill="FFFFFF"/>
        </w:rPr>
        <w:t>Principles of Islamic Banking</w:t>
      </w:r>
    </w:p>
    <w:p w14:paraId="684C0A95" w14:textId="41C51AE5" w:rsidR="00455B0F" w:rsidRPr="002D033F" w:rsidRDefault="00F33911" w:rsidP="009F2B58">
      <w:pPr>
        <w:spacing w:before="120" w:after="100" w:afterAutospacing="1" w:line="360" w:lineRule="auto"/>
        <w:jc w:val="both"/>
        <w:rPr>
          <w:color w:val="1C1C1C"/>
          <w:shd w:val="clear" w:color="auto" w:fill="FFFFFF"/>
        </w:rPr>
      </w:pPr>
      <w:r w:rsidRPr="00F33911">
        <w:rPr>
          <w:color w:val="1C1C1C"/>
          <w:shd w:val="clear" w:color="auto" w:fill="FFFFFF"/>
        </w:rPr>
        <w:t xml:space="preserve">Islam, like all other religions, is founded on a set of moral and ethical principles that guide its members' behavior and, in this case, their financial dealings. Islamic banking is founded on </w:t>
      </w:r>
      <w:proofErr w:type="spellStart"/>
      <w:r w:rsidRPr="00F33911">
        <w:rPr>
          <w:color w:val="1C1C1C"/>
          <w:shd w:val="clear" w:color="auto" w:fill="FFFFFF"/>
        </w:rPr>
        <w:t>Shari'ah's</w:t>
      </w:r>
      <w:proofErr w:type="spellEnd"/>
      <w:r w:rsidRPr="00F33911">
        <w:rPr>
          <w:color w:val="1C1C1C"/>
          <w:shd w:val="clear" w:color="auto" w:fill="FFFFFF"/>
        </w:rPr>
        <w:t xml:space="preserve"> fundamentals, which are based on prohibitions and commands, such as the prohibition of </w:t>
      </w:r>
      <w:proofErr w:type="spellStart"/>
      <w:r w:rsidRPr="00F33911">
        <w:rPr>
          <w:color w:val="1C1C1C"/>
          <w:shd w:val="clear" w:color="auto" w:fill="FFFFFF"/>
        </w:rPr>
        <w:t>Riba</w:t>
      </w:r>
      <w:proofErr w:type="spellEnd"/>
      <w:r w:rsidRPr="00F33911">
        <w:rPr>
          <w:color w:val="1C1C1C"/>
          <w:shd w:val="clear" w:color="auto" w:fill="FFFFFF"/>
        </w:rPr>
        <w:t xml:space="preserve"> and the Halal and Haram Code.</w:t>
      </w:r>
      <w:r w:rsidR="00455B0F" w:rsidRPr="002D033F">
        <w:rPr>
          <w:color w:val="1C1C1C"/>
          <w:shd w:val="clear" w:color="auto" w:fill="FFFFFF"/>
        </w:rPr>
        <w:t> </w:t>
      </w:r>
    </w:p>
    <w:p w14:paraId="1F611459" w14:textId="77777777" w:rsidR="00455B0F" w:rsidRPr="002D033F" w:rsidRDefault="00455B0F" w:rsidP="00C776F7">
      <w:pPr>
        <w:pStyle w:val="western"/>
        <w:shd w:val="clear" w:color="auto" w:fill="FFFFFF"/>
        <w:spacing w:before="120" w:beforeAutospacing="0" w:line="360" w:lineRule="auto"/>
        <w:rPr>
          <w:rFonts w:ascii="Arial" w:hAnsi="Arial" w:cs="Arial"/>
          <w:color w:val="1C1C1C"/>
        </w:rPr>
      </w:pPr>
      <w:r w:rsidRPr="002D033F">
        <w:rPr>
          <w:b/>
          <w:bCs/>
          <w:color w:val="1C1C1C"/>
        </w:rPr>
        <w:t>Prohibition of Interest</w:t>
      </w:r>
    </w:p>
    <w:p w14:paraId="71A213DF" w14:textId="034B40D2" w:rsidR="00455B0F" w:rsidRPr="009F2B58" w:rsidRDefault="00F33911" w:rsidP="009F2B58">
      <w:pPr>
        <w:spacing w:before="120" w:after="100" w:afterAutospacing="1" w:line="360" w:lineRule="auto"/>
        <w:jc w:val="both"/>
        <w:rPr>
          <w:color w:val="1C1C1C"/>
          <w:shd w:val="clear" w:color="auto" w:fill="FFFFFF"/>
        </w:rPr>
      </w:pPr>
      <w:r w:rsidRPr="00F33911">
        <w:rPr>
          <w:color w:val="1C1C1C"/>
          <w:shd w:val="clear" w:color="auto" w:fill="FFFFFF"/>
        </w:rPr>
        <w:t>The rationale for prohibiting interest and allowing trade in Islamic ethics is not farfetched because profit derived from trade is concomitant with value-creating activities such as initiatives, enterprises, and efficiency, as opposed to interest, which, as Ahmad sees it, is a contractual obligation on the part of the borrower to pay a fixed and pre-determined amount over the capital borrowed, as well as the obligation to pay the capital in full after the stipulated time</w:t>
      </w:r>
      <w:r>
        <w:rPr>
          <w:color w:val="1C1C1C"/>
          <w:shd w:val="clear" w:color="auto" w:fill="FFFFFF"/>
        </w:rPr>
        <w:t xml:space="preserve"> [</w:t>
      </w:r>
      <w:r w:rsidR="009F2B58">
        <w:rPr>
          <w:rStyle w:val="FootnoteReference"/>
          <w:color w:val="1C1C1C"/>
          <w:shd w:val="clear" w:color="auto" w:fill="FFFFFF"/>
        </w:rPr>
        <w:footnoteReference w:id="4"/>
      </w:r>
      <w:r>
        <w:rPr>
          <w:color w:val="1C1C1C"/>
          <w:shd w:val="clear" w:color="auto" w:fill="FFFFFF"/>
        </w:rPr>
        <w:t>]</w:t>
      </w:r>
      <w:r w:rsidRPr="00F33911">
        <w:rPr>
          <w:color w:val="1C1C1C"/>
          <w:shd w:val="clear" w:color="auto" w:fill="FFFFFF"/>
        </w:rPr>
        <w:t>. Those who charge interest are sternly judged in Islamic ethics, according to the Quran. Several scriptures point to this truth. For example:</w:t>
      </w:r>
      <w:r w:rsidR="009F2B58">
        <w:rPr>
          <w:color w:val="1C1C1C"/>
          <w:shd w:val="clear" w:color="auto" w:fill="FFFFFF"/>
        </w:rPr>
        <w:t xml:space="preserve"> “</w:t>
      </w:r>
      <w:r w:rsidR="00455B0F" w:rsidRPr="002D033F">
        <w:rPr>
          <w:i/>
          <w:iCs/>
          <w:color w:val="1C1C1C"/>
          <w:shd w:val="clear" w:color="auto" w:fill="FFFFFF"/>
        </w:rPr>
        <w:t xml:space="preserve">O you who believe! Eat not </w:t>
      </w:r>
      <w:proofErr w:type="spellStart"/>
      <w:r w:rsidR="00455B0F" w:rsidRPr="002D033F">
        <w:rPr>
          <w:i/>
          <w:iCs/>
          <w:color w:val="1C1C1C"/>
          <w:shd w:val="clear" w:color="auto" w:fill="FFFFFF"/>
        </w:rPr>
        <w:t>Ribâ</w:t>
      </w:r>
      <w:proofErr w:type="spellEnd"/>
      <w:r w:rsidR="00455B0F" w:rsidRPr="002D033F">
        <w:rPr>
          <w:i/>
          <w:iCs/>
          <w:color w:val="1C1C1C"/>
          <w:shd w:val="clear" w:color="auto" w:fill="FFFFFF"/>
        </w:rPr>
        <w:t xml:space="preserve"> doubled and multiplied, but fear </w:t>
      </w:r>
      <w:proofErr w:type="spellStart"/>
      <w:r w:rsidR="00455B0F" w:rsidRPr="002D033F">
        <w:rPr>
          <w:i/>
          <w:iCs/>
          <w:color w:val="1C1C1C"/>
          <w:shd w:val="clear" w:color="auto" w:fill="FFFFFF"/>
        </w:rPr>
        <w:t>Allâh</w:t>
      </w:r>
      <w:proofErr w:type="spellEnd"/>
      <w:r w:rsidR="00455B0F" w:rsidRPr="002D033F">
        <w:rPr>
          <w:i/>
          <w:iCs/>
          <w:color w:val="1C1C1C"/>
          <w:shd w:val="clear" w:color="auto" w:fill="FFFFFF"/>
        </w:rPr>
        <w:t xml:space="preserve"> that you may be successfu</w:t>
      </w:r>
      <w:r w:rsidR="007D5B2D">
        <w:rPr>
          <w:i/>
          <w:iCs/>
          <w:color w:val="1C1C1C"/>
          <w:shd w:val="clear" w:color="auto" w:fill="FFFFFF"/>
        </w:rPr>
        <w:t>l [</w:t>
      </w:r>
      <w:r w:rsidR="007D5B2D" w:rsidRPr="002D033F">
        <w:rPr>
          <w:i/>
          <w:iCs/>
          <w:color w:val="1C1C1C"/>
          <w:shd w:val="clear" w:color="auto" w:fill="FFFFFF"/>
        </w:rPr>
        <w:t>Ali Imran, 3:130</w:t>
      </w:r>
      <w:r w:rsidR="007D5B2D">
        <w:rPr>
          <w:i/>
          <w:iCs/>
          <w:color w:val="1C1C1C"/>
          <w:shd w:val="clear" w:color="auto" w:fill="FFFFFF"/>
        </w:rPr>
        <w:t>].</w:t>
      </w:r>
      <w:r w:rsidR="009F2B58">
        <w:rPr>
          <w:i/>
          <w:iCs/>
          <w:color w:val="1C1C1C"/>
          <w:shd w:val="clear" w:color="auto" w:fill="FFFFFF"/>
        </w:rPr>
        <w:t>”</w:t>
      </w:r>
      <w:r w:rsidR="009F2B58">
        <w:rPr>
          <w:color w:val="1C1C1C"/>
          <w:shd w:val="clear" w:color="auto" w:fill="FFFFFF"/>
        </w:rPr>
        <w:t xml:space="preserve"> </w:t>
      </w:r>
      <w:r w:rsidR="007D5B2D" w:rsidRPr="007D5B2D">
        <w:rPr>
          <w:color w:val="1C1C1C"/>
          <w:shd w:val="clear" w:color="auto" w:fill="FFFFFF"/>
        </w:rPr>
        <w:t>Also</w:t>
      </w:r>
      <w:r w:rsidR="007D5B2D">
        <w:rPr>
          <w:color w:val="1C1C1C"/>
          <w:shd w:val="clear" w:color="auto" w:fill="FFFFFF"/>
        </w:rPr>
        <w:t>,</w:t>
      </w:r>
      <w:r w:rsidR="007D5B2D" w:rsidRPr="007D5B2D">
        <w:rPr>
          <w:color w:val="1C1C1C"/>
          <w:shd w:val="clear" w:color="auto" w:fill="FFFFFF"/>
        </w:rPr>
        <w:t xml:space="preserve"> </w:t>
      </w:r>
      <w:r w:rsidR="00455B0F" w:rsidRPr="007D5B2D">
        <w:rPr>
          <w:color w:val="1C1C1C"/>
          <w:shd w:val="clear" w:color="auto" w:fill="FFFFFF"/>
        </w:rPr>
        <w:t>Abu Saeed al-</w:t>
      </w:r>
      <w:proofErr w:type="spellStart"/>
      <w:r w:rsidR="00455B0F" w:rsidRPr="007D5B2D">
        <w:rPr>
          <w:color w:val="1C1C1C"/>
          <w:shd w:val="clear" w:color="auto" w:fill="FFFFFF"/>
        </w:rPr>
        <w:t>Khudri</w:t>
      </w:r>
      <w:proofErr w:type="spellEnd"/>
      <w:r w:rsidR="00455B0F" w:rsidRPr="007D5B2D">
        <w:rPr>
          <w:color w:val="1C1C1C"/>
          <w:shd w:val="clear" w:color="auto" w:fill="FFFFFF"/>
        </w:rPr>
        <w:t xml:space="preserve"> reported that the </w:t>
      </w:r>
      <w:r w:rsidR="007D5B2D">
        <w:rPr>
          <w:color w:val="1C1C1C"/>
          <w:shd w:val="clear" w:color="auto" w:fill="FFFFFF"/>
        </w:rPr>
        <w:t>prophet Mohammed</w:t>
      </w:r>
      <w:r w:rsidR="00455B0F" w:rsidRPr="007D5B2D">
        <w:rPr>
          <w:color w:val="1C1C1C"/>
          <w:shd w:val="clear" w:color="auto" w:fill="FFFFFF"/>
        </w:rPr>
        <w:t xml:space="preserve"> said:</w:t>
      </w:r>
      <w:r w:rsidR="00455B0F" w:rsidRPr="002D033F">
        <w:rPr>
          <w:i/>
          <w:iCs/>
          <w:color w:val="1C1C1C"/>
          <w:shd w:val="clear" w:color="auto" w:fill="FFFFFF"/>
        </w:rPr>
        <w:t xml:space="preserve"> </w:t>
      </w:r>
      <w:r w:rsidR="009F2B58">
        <w:rPr>
          <w:color w:val="1C1C1C"/>
          <w:shd w:val="clear" w:color="auto" w:fill="FFFFFF"/>
        </w:rPr>
        <w:t>“</w:t>
      </w:r>
      <w:r w:rsidR="00455B0F" w:rsidRPr="002D033F">
        <w:rPr>
          <w:i/>
          <w:iCs/>
          <w:color w:val="1C1C1C"/>
          <w:shd w:val="clear" w:color="auto" w:fill="FFFFFF"/>
        </w:rPr>
        <w:t xml:space="preserve">Gold for gold, Silver for silver, wheat for wheat, barley for barley, date </w:t>
      </w:r>
      <w:r w:rsidR="00455B0F" w:rsidRPr="002D033F">
        <w:rPr>
          <w:i/>
          <w:iCs/>
          <w:color w:val="1C1C1C"/>
          <w:shd w:val="clear" w:color="auto" w:fill="FFFFFF"/>
        </w:rPr>
        <w:lastRenderedPageBreak/>
        <w:t>for date, salt for salt and like for like in hand to hand (transaction). Whoso gives more or takes more, then the taker and the giver are equal in taking interest therein. (Al-Bani M. N.)</w:t>
      </w:r>
      <w:r w:rsidR="009F2B58">
        <w:rPr>
          <w:i/>
          <w:iCs/>
          <w:color w:val="1C1C1C"/>
          <w:shd w:val="clear" w:color="auto" w:fill="FFFFFF"/>
        </w:rPr>
        <w:t>”</w:t>
      </w:r>
    </w:p>
    <w:p w14:paraId="2001B035" w14:textId="7902605F" w:rsidR="00455B0F" w:rsidRPr="002D033F" w:rsidRDefault="00F33911" w:rsidP="009F2B58">
      <w:pPr>
        <w:spacing w:before="120" w:after="100" w:afterAutospacing="1" w:line="360" w:lineRule="auto"/>
        <w:jc w:val="both"/>
        <w:rPr>
          <w:color w:val="1C1C1C"/>
          <w:shd w:val="clear" w:color="auto" w:fill="FFFFFF"/>
        </w:rPr>
      </w:pPr>
      <w:r w:rsidRPr="00F33911">
        <w:rPr>
          <w:color w:val="1C1C1C"/>
          <w:shd w:val="clear" w:color="auto" w:fill="FFFFFF"/>
        </w:rPr>
        <w:t xml:space="preserve">These verses show that God's statement in </w:t>
      </w:r>
      <w:proofErr w:type="spellStart"/>
      <w:r w:rsidRPr="00F33911">
        <w:rPr>
          <w:color w:val="1C1C1C"/>
          <w:shd w:val="clear" w:color="auto" w:fill="FFFFFF"/>
        </w:rPr>
        <w:t>Baqara</w:t>
      </w:r>
      <w:proofErr w:type="spellEnd"/>
      <w:r w:rsidRPr="00F33911">
        <w:rPr>
          <w:color w:val="1C1C1C"/>
          <w:shd w:val="clear" w:color="auto" w:fill="FFFFFF"/>
        </w:rPr>
        <w:t xml:space="preserve"> 2:275 that "</w:t>
      </w:r>
      <w:r w:rsidRPr="009F2B58">
        <w:rPr>
          <w:i/>
          <w:iCs/>
          <w:color w:val="1C1C1C"/>
          <w:shd w:val="clear" w:color="auto" w:fill="FFFFFF"/>
        </w:rPr>
        <w:t>He has prohibited interest and permitted trade</w:t>
      </w:r>
      <w:r w:rsidRPr="00F33911">
        <w:rPr>
          <w:color w:val="1C1C1C"/>
          <w:shd w:val="clear" w:color="auto" w:fill="FFFFFF"/>
        </w:rPr>
        <w:t>" is the essential foundation of Islamic finance. As a result, it can be deduced that interest is paid regardless of whether the borrowed money is used for consumption or investment, profit or loss. These verses also included an interest restriction to strengthen the intellectual underpinning of the Islamic financial system, as Allah said in Ali Imran, 3:130. The passage plainly states that interest is forbidden, particularly the practice of compounding interest over the principal as a result of failing to pay on time. Aside from banning interest and allowing trade, Allah compared individuals who accept interest to those who have been touched by the devil (</w:t>
      </w:r>
      <w:proofErr w:type="spellStart"/>
      <w:r w:rsidRPr="00F33911">
        <w:rPr>
          <w:color w:val="1C1C1C"/>
          <w:shd w:val="clear" w:color="auto" w:fill="FFFFFF"/>
        </w:rPr>
        <w:t>Baqara</w:t>
      </w:r>
      <w:proofErr w:type="spellEnd"/>
      <w:r w:rsidRPr="00F33911">
        <w:rPr>
          <w:color w:val="1C1C1C"/>
          <w:shd w:val="clear" w:color="auto" w:fill="FFFFFF"/>
        </w:rPr>
        <w:t>, 2:275). Further elaborating on the fact that interest is devoid of any blessings.</w:t>
      </w:r>
    </w:p>
    <w:p w14:paraId="3FDD9A97" w14:textId="223CE889" w:rsidR="00455B0F" w:rsidRPr="002D033F" w:rsidRDefault="00455B0F" w:rsidP="00C776F7">
      <w:pPr>
        <w:spacing w:before="120" w:after="100" w:afterAutospacing="1" w:line="360" w:lineRule="auto"/>
        <w:ind w:firstLine="0"/>
        <w:rPr>
          <w:b/>
          <w:bCs/>
          <w:i/>
          <w:iCs/>
          <w:color w:val="1C1C1C"/>
          <w:shd w:val="clear" w:color="auto" w:fill="FFFFFF"/>
        </w:rPr>
      </w:pPr>
      <w:r w:rsidRPr="002D033F">
        <w:rPr>
          <w:b/>
          <w:bCs/>
          <w:color w:val="1C1C1C"/>
          <w:shd w:val="clear" w:color="auto" w:fill="FFFFFF"/>
        </w:rPr>
        <w:t>The</w:t>
      </w:r>
      <w:r w:rsidRPr="002D033F">
        <w:rPr>
          <w:color w:val="1C1C1C"/>
          <w:shd w:val="clear" w:color="auto" w:fill="FFFFFF"/>
        </w:rPr>
        <w:t> </w:t>
      </w:r>
      <w:r w:rsidRPr="007D5B2D">
        <w:rPr>
          <w:b/>
          <w:bCs/>
          <w:i/>
          <w:iCs/>
          <w:color w:val="1C1C1C"/>
          <w:shd w:val="clear" w:color="auto" w:fill="FFFFFF"/>
        </w:rPr>
        <w:t>Concept of</w:t>
      </w:r>
      <w:r w:rsidRPr="002D033F">
        <w:rPr>
          <w:color w:val="1C1C1C"/>
          <w:shd w:val="clear" w:color="auto" w:fill="FFFFFF"/>
        </w:rPr>
        <w:t> </w:t>
      </w:r>
      <w:r w:rsidRPr="002D033F">
        <w:rPr>
          <w:b/>
          <w:bCs/>
          <w:i/>
          <w:iCs/>
          <w:color w:val="1C1C1C"/>
          <w:shd w:val="clear" w:color="auto" w:fill="FFFFFF"/>
        </w:rPr>
        <w:t>Halal</w:t>
      </w:r>
      <w:r w:rsidRPr="002D033F">
        <w:rPr>
          <w:b/>
          <w:bCs/>
          <w:color w:val="1C1C1C"/>
          <w:shd w:val="clear" w:color="auto" w:fill="FFFFFF"/>
        </w:rPr>
        <w:t> and </w:t>
      </w:r>
      <w:r w:rsidRPr="002D033F">
        <w:rPr>
          <w:b/>
          <w:bCs/>
          <w:i/>
          <w:iCs/>
          <w:color w:val="1C1C1C"/>
          <w:shd w:val="clear" w:color="auto" w:fill="FFFFFF"/>
        </w:rPr>
        <w:t>Haram</w:t>
      </w:r>
    </w:p>
    <w:p w14:paraId="36A639FA" w14:textId="45878D4D" w:rsidR="007D5B2D" w:rsidRPr="002D033F" w:rsidRDefault="00F33911" w:rsidP="009F2B58">
      <w:pPr>
        <w:spacing w:before="120" w:after="100" w:afterAutospacing="1" w:line="360" w:lineRule="auto"/>
        <w:jc w:val="both"/>
        <w:rPr>
          <w:color w:val="1C1C1C"/>
          <w:shd w:val="clear" w:color="auto" w:fill="FFFFFF"/>
        </w:rPr>
      </w:pPr>
      <w:r w:rsidRPr="00F33911">
        <w:rPr>
          <w:color w:val="1C1C1C"/>
          <w:shd w:val="clear" w:color="auto" w:fill="FFFFFF"/>
        </w:rPr>
        <w:t>In its economic system, Islam also established the concepts of halal (lawful) and haram (unlawful)</w:t>
      </w:r>
      <w:r w:rsidR="00992337">
        <w:rPr>
          <w:color w:val="1C1C1C"/>
          <w:shd w:val="clear" w:color="auto" w:fill="FFFFFF"/>
        </w:rPr>
        <w:t xml:space="preserve"> [</w:t>
      </w:r>
      <w:r w:rsidR="00992337">
        <w:rPr>
          <w:rStyle w:val="FootnoteReference"/>
          <w:color w:val="1C1C1C"/>
          <w:shd w:val="clear" w:color="auto" w:fill="FFFFFF"/>
        </w:rPr>
        <w:footnoteReference w:id="5"/>
      </w:r>
      <w:r w:rsidR="00992337">
        <w:rPr>
          <w:color w:val="1C1C1C"/>
          <w:shd w:val="clear" w:color="auto" w:fill="FFFFFF"/>
        </w:rPr>
        <w:t>]</w:t>
      </w:r>
      <w:r w:rsidRPr="00F33911">
        <w:rPr>
          <w:color w:val="1C1C1C"/>
          <w:shd w:val="clear" w:color="auto" w:fill="FFFFFF"/>
        </w:rPr>
        <w:t>. This paradigm is dominant both in terms of production and consumption. Interest, bribery, gambling, games of chance, speculation, short weighing and short measurement, business malpractices, and other methods of gaining livelihood and money have all been proclaimed illegal. Unlawful means of earning are prohibited, and a Muslim is only allowed to earn through legal and honest means.</w:t>
      </w:r>
      <w:r w:rsidR="007C690F" w:rsidRPr="002D033F">
        <w:rPr>
          <w:color w:val="1C1C1C"/>
          <w:shd w:val="clear" w:color="auto" w:fill="FFFFFF"/>
        </w:rPr>
        <w:t> </w:t>
      </w:r>
      <w:r w:rsidR="009F2B58">
        <w:rPr>
          <w:color w:val="1C1C1C"/>
          <w:shd w:val="clear" w:color="auto" w:fill="FFFFFF"/>
        </w:rPr>
        <w:t>A text says: “</w:t>
      </w:r>
      <w:r w:rsidR="007D5B2D" w:rsidRPr="002D033F">
        <w:rPr>
          <w:i/>
          <w:iCs/>
          <w:color w:val="1C1C1C"/>
          <w:shd w:val="clear" w:color="auto" w:fill="FFFFFF"/>
        </w:rPr>
        <w:t xml:space="preserve">And eat up not one another's property unjustly (in any illegal way, e.g. stealing, robbing, deceiving), nor give bribery to the rulers (judges before presenting your cases) that you may knowingly eat up a part of the property of others sinfully. </w:t>
      </w:r>
      <w:r w:rsidR="009F2B58">
        <w:rPr>
          <w:i/>
          <w:iCs/>
          <w:color w:val="1C1C1C"/>
          <w:shd w:val="clear" w:color="auto" w:fill="FFFFFF"/>
        </w:rPr>
        <w:t>(</w:t>
      </w:r>
      <w:r w:rsidR="007D5B2D" w:rsidRPr="002D033F">
        <w:rPr>
          <w:i/>
          <w:iCs/>
          <w:color w:val="1C1C1C"/>
          <w:shd w:val="clear" w:color="auto" w:fill="FFFFFF"/>
        </w:rPr>
        <w:t>Baqarah, 2:188</w:t>
      </w:r>
      <w:r w:rsidR="009F2B58">
        <w:rPr>
          <w:i/>
          <w:iCs/>
          <w:color w:val="1C1C1C"/>
          <w:shd w:val="clear" w:color="auto" w:fill="FFFFFF"/>
        </w:rPr>
        <w:t>).</w:t>
      </w:r>
    </w:p>
    <w:p w14:paraId="484BD4E0" w14:textId="1C841A72" w:rsidR="007C690F" w:rsidRPr="007D5B2D" w:rsidRDefault="00F33911" w:rsidP="009F2B58">
      <w:pPr>
        <w:spacing w:before="120" w:after="100" w:afterAutospacing="1" w:line="360" w:lineRule="auto"/>
        <w:jc w:val="both"/>
        <w:rPr>
          <w:color w:val="1C1C1C"/>
          <w:shd w:val="clear" w:color="auto" w:fill="FFFFFF"/>
        </w:rPr>
      </w:pPr>
      <w:r w:rsidRPr="00F33911">
        <w:rPr>
          <w:color w:val="1C1C1C"/>
          <w:shd w:val="clear" w:color="auto" w:fill="FFFFFF"/>
        </w:rPr>
        <w:t xml:space="preserve">Hence, Islamic banks are not permitted to fund contracts or items that are prohibited in Islam, such as those listed above. Furthermore, because meeting basic requirements ensures Muslim religious freedom, Islamic banks are encouraged to prioritize the manufacture of necessary </w:t>
      </w:r>
      <w:r w:rsidRPr="00F33911">
        <w:rPr>
          <w:color w:val="1C1C1C"/>
          <w:shd w:val="clear" w:color="auto" w:fill="FFFFFF"/>
        </w:rPr>
        <w:lastRenderedPageBreak/>
        <w:t>items that meet the needs of the vast majority of Muslims</w:t>
      </w:r>
      <w:r w:rsidR="00992337">
        <w:rPr>
          <w:color w:val="1C1C1C"/>
          <w:shd w:val="clear" w:color="auto" w:fill="FFFFFF"/>
        </w:rPr>
        <w:t xml:space="preserve"> [</w:t>
      </w:r>
      <w:r w:rsidR="00992337">
        <w:rPr>
          <w:rStyle w:val="FootnoteReference"/>
          <w:color w:val="1C1C1C"/>
          <w:shd w:val="clear" w:color="auto" w:fill="FFFFFF"/>
        </w:rPr>
        <w:footnoteReference w:id="6"/>
      </w:r>
      <w:r w:rsidR="00992337">
        <w:rPr>
          <w:color w:val="1C1C1C"/>
          <w:shd w:val="clear" w:color="auto" w:fill="FFFFFF"/>
        </w:rPr>
        <w:t>]</w:t>
      </w:r>
      <w:r w:rsidRPr="00F33911">
        <w:rPr>
          <w:color w:val="1C1C1C"/>
          <w:shd w:val="clear" w:color="auto" w:fill="FFFFFF"/>
        </w:rPr>
        <w:t>. As a rule, when Muslim cultures lack vital commodities and services such as food, clothes, shelter, health, and education, participation in the manufacturing and sale of luxury goods is regarded as undesirable from a religious standpoint.</w:t>
      </w:r>
    </w:p>
    <w:p w14:paraId="34EC2A35" w14:textId="28163D68" w:rsidR="007C690F" w:rsidRPr="002D033F" w:rsidRDefault="00D02CF3" w:rsidP="00C776F7">
      <w:pPr>
        <w:spacing w:before="120" w:after="100" w:afterAutospacing="1" w:line="360" w:lineRule="auto"/>
        <w:ind w:firstLine="0"/>
        <w:rPr>
          <w:b/>
          <w:bCs/>
          <w:color w:val="1C1C1C"/>
          <w:shd w:val="clear" w:color="auto" w:fill="FFFFFF"/>
        </w:rPr>
      </w:pPr>
      <w:r w:rsidRPr="002D033F">
        <w:rPr>
          <w:b/>
          <w:bCs/>
          <w:i/>
          <w:iCs/>
          <w:color w:val="1C1C1C"/>
          <w:shd w:val="clear" w:color="auto" w:fill="FFFFFF"/>
        </w:rPr>
        <w:t xml:space="preserve">Presence of the </w:t>
      </w:r>
      <w:proofErr w:type="spellStart"/>
      <w:r w:rsidR="007C690F" w:rsidRPr="002D033F">
        <w:rPr>
          <w:b/>
          <w:bCs/>
          <w:i/>
          <w:iCs/>
          <w:color w:val="1C1C1C"/>
          <w:shd w:val="clear" w:color="auto" w:fill="FFFFFF"/>
        </w:rPr>
        <w:t>Shari’ah</w:t>
      </w:r>
      <w:proofErr w:type="spellEnd"/>
      <w:r w:rsidR="007C690F" w:rsidRPr="002D033F">
        <w:rPr>
          <w:b/>
          <w:bCs/>
          <w:i/>
          <w:iCs/>
          <w:color w:val="1C1C1C"/>
          <w:shd w:val="clear" w:color="auto" w:fill="FFFFFF"/>
        </w:rPr>
        <w:t> </w:t>
      </w:r>
      <w:r w:rsidR="007C690F" w:rsidRPr="002D033F">
        <w:rPr>
          <w:b/>
          <w:bCs/>
          <w:color w:val="1C1C1C"/>
          <w:shd w:val="clear" w:color="auto" w:fill="FFFFFF"/>
        </w:rPr>
        <w:t>Board</w:t>
      </w:r>
    </w:p>
    <w:p w14:paraId="7A8A6BE3" w14:textId="775934E7" w:rsidR="007C690F" w:rsidRPr="002D033F" w:rsidRDefault="00F33911" w:rsidP="009F2B58">
      <w:pPr>
        <w:spacing w:before="120" w:after="100" w:afterAutospacing="1" w:line="360" w:lineRule="auto"/>
        <w:jc w:val="both"/>
        <w:rPr>
          <w:color w:val="1C1C1C"/>
          <w:shd w:val="clear" w:color="auto" w:fill="FFFFFF"/>
        </w:rPr>
      </w:pPr>
      <w:r w:rsidRPr="00F33911">
        <w:rPr>
          <w:color w:val="1C1C1C"/>
          <w:shd w:val="clear" w:color="auto" w:fill="FFFFFF"/>
        </w:rPr>
        <w:t xml:space="preserve">Islamic banks are required to form a Religious Supervisory Board to guarantee that their practices and activities do not contravene Islamic standards. This board, according to </w:t>
      </w:r>
      <w:proofErr w:type="spellStart"/>
      <w:r w:rsidRPr="00F33911">
        <w:rPr>
          <w:color w:val="1C1C1C"/>
          <w:shd w:val="clear" w:color="auto" w:fill="FFFFFF"/>
        </w:rPr>
        <w:t>Algaoud</w:t>
      </w:r>
      <w:proofErr w:type="spellEnd"/>
      <w:r w:rsidRPr="00F33911">
        <w:rPr>
          <w:color w:val="1C1C1C"/>
          <w:shd w:val="clear" w:color="auto" w:fill="FFFFFF"/>
        </w:rPr>
        <w:t xml:space="preserve"> and Lewis [</w:t>
      </w:r>
      <w:r w:rsidR="009F2B58">
        <w:rPr>
          <w:rStyle w:val="FootnoteReference"/>
          <w:color w:val="1C1C1C"/>
          <w:shd w:val="clear" w:color="auto" w:fill="FFFFFF"/>
        </w:rPr>
        <w:footnoteReference w:id="7"/>
      </w:r>
      <w:r w:rsidRPr="00F33911">
        <w:rPr>
          <w:color w:val="1C1C1C"/>
          <w:shd w:val="clear" w:color="auto" w:fill="FFFFFF"/>
        </w:rPr>
        <w:t xml:space="preserve">], is made up of Muslim jurists who serve as independent </w:t>
      </w:r>
      <w:proofErr w:type="spellStart"/>
      <w:r w:rsidRPr="00F33911">
        <w:rPr>
          <w:color w:val="1C1C1C"/>
          <w:shd w:val="clear" w:color="auto" w:fill="FFFFFF"/>
        </w:rPr>
        <w:t>Shari'ah</w:t>
      </w:r>
      <w:proofErr w:type="spellEnd"/>
      <w:r w:rsidRPr="00F33911">
        <w:rPr>
          <w:color w:val="1C1C1C"/>
          <w:shd w:val="clear" w:color="auto" w:fill="FFFFFF"/>
        </w:rPr>
        <w:t xml:space="preserve"> auditors and advisers to the banks, reviewing all new contracts, auditing current contracts, and approving new product developments. The </w:t>
      </w:r>
      <w:proofErr w:type="spellStart"/>
      <w:r w:rsidRPr="00F33911">
        <w:rPr>
          <w:color w:val="1C1C1C"/>
          <w:shd w:val="clear" w:color="auto" w:fill="FFFFFF"/>
        </w:rPr>
        <w:t>Shari'ah</w:t>
      </w:r>
      <w:proofErr w:type="spellEnd"/>
      <w:r w:rsidRPr="00F33911">
        <w:rPr>
          <w:color w:val="1C1C1C"/>
          <w:shd w:val="clear" w:color="auto" w:fill="FFFFFF"/>
        </w:rPr>
        <w:t xml:space="preserve"> Board is also in charge of zakat collecting and distribution. This extra layer of control differs significantly from that of a traditional bank.</w:t>
      </w:r>
    </w:p>
    <w:p w14:paraId="4C04E26F" w14:textId="2AA755AA" w:rsidR="007C690F" w:rsidRPr="002D033F" w:rsidRDefault="007C690F" w:rsidP="00C776F7">
      <w:pPr>
        <w:spacing w:before="120" w:after="100" w:afterAutospacing="1" w:line="360" w:lineRule="auto"/>
        <w:ind w:firstLine="0"/>
        <w:rPr>
          <w:b/>
          <w:bCs/>
        </w:rPr>
      </w:pPr>
      <w:r w:rsidRPr="002D033F">
        <w:rPr>
          <w:b/>
          <w:bCs/>
        </w:rPr>
        <w:t>Application of Islamic Ethics in the Nigerian Banking Industry</w:t>
      </w:r>
    </w:p>
    <w:p w14:paraId="0499B31E" w14:textId="12374EF6" w:rsidR="00F33911" w:rsidRPr="00F33911" w:rsidRDefault="00F33911" w:rsidP="009F2B58">
      <w:pPr>
        <w:spacing w:before="120" w:after="100" w:afterAutospacing="1" w:line="360" w:lineRule="auto"/>
        <w:jc w:val="both"/>
        <w:rPr>
          <w:color w:val="1C1C1C"/>
          <w:shd w:val="clear" w:color="auto" w:fill="FFFFFF"/>
        </w:rPr>
      </w:pPr>
      <w:r w:rsidRPr="00F33911">
        <w:rPr>
          <w:color w:val="1C1C1C"/>
          <w:shd w:val="clear" w:color="auto" w:fill="FFFFFF"/>
        </w:rPr>
        <w:t>Islamic banking is likely to face many issues, particularly when it is formed in secular surroundings. Existing banking laws are not in favor of Islamic banks, which are interest-free and operate on a profit-and-loss sharing basis. In some countries</w:t>
      </w:r>
      <w:r w:rsidR="00DD579A">
        <w:rPr>
          <w:color w:val="1C1C1C"/>
          <w:shd w:val="clear" w:color="auto" w:fill="FFFFFF"/>
        </w:rPr>
        <w:t xml:space="preserve"> [</w:t>
      </w:r>
      <w:r w:rsidR="00DD579A">
        <w:rPr>
          <w:rStyle w:val="FootnoteReference"/>
          <w:color w:val="1C1C1C"/>
          <w:shd w:val="clear" w:color="auto" w:fill="FFFFFF"/>
        </w:rPr>
        <w:footnoteReference w:id="8"/>
      </w:r>
      <w:r w:rsidR="00DD579A">
        <w:rPr>
          <w:color w:val="1C1C1C"/>
          <w:shd w:val="clear" w:color="auto" w:fill="FFFFFF"/>
        </w:rPr>
        <w:t>]</w:t>
      </w:r>
      <w:r w:rsidRPr="00F33911">
        <w:rPr>
          <w:color w:val="1C1C1C"/>
          <w:shd w:val="clear" w:color="auto" w:fill="FFFFFF"/>
        </w:rPr>
        <w:t xml:space="preserve">, central banks mandate commercial banks to hold a particular percentage of their deposits with them; where these percentages are substantial, such as 25%, Islamic banks' capacity to expand will be hampered. In Nigeria, </w:t>
      </w:r>
      <w:proofErr w:type="spellStart"/>
      <w:r w:rsidRPr="00F33911">
        <w:rPr>
          <w:color w:val="1C1C1C"/>
          <w:shd w:val="clear" w:color="auto" w:fill="FFFFFF"/>
        </w:rPr>
        <w:t>Eyieyie</w:t>
      </w:r>
      <w:proofErr w:type="spellEnd"/>
      <w:r w:rsidRPr="00F33911">
        <w:rPr>
          <w:color w:val="1C1C1C"/>
          <w:shd w:val="clear" w:color="auto" w:fill="FFFFFF"/>
        </w:rPr>
        <w:t xml:space="preserve"> [</w:t>
      </w:r>
      <w:r w:rsidR="009F2B58">
        <w:rPr>
          <w:rStyle w:val="FootnoteReference"/>
          <w:color w:val="1C1C1C"/>
          <w:shd w:val="clear" w:color="auto" w:fill="FFFFFF"/>
        </w:rPr>
        <w:footnoteReference w:id="9"/>
      </w:r>
      <w:r w:rsidRPr="00F33911">
        <w:rPr>
          <w:color w:val="1C1C1C"/>
          <w:shd w:val="clear" w:color="auto" w:fill="FFFFFF"/>
        </w:rPr>
        <w:t xml:space="preserve">] observed that </w:t>
      </w:r>
      <w:proofErr w:type="spellStart"/>
      <w:r w:rsidRPr="00F33911">
        <w:rPr>
          <w:color w:val="1C1C1C"/>
          <w:shd w:val="clear" w:color="auto" w:fill="FFFFFF"/>
        </w:rPr>
        <w:t>Jaiz</w:t>
      </w:r>
      <w:proofErr w:type="spellEnd"/>
      <w:r w:rsidRPr="00F33911">
        <w:rPr>
          <w:color w:val="1C1C1C"/>
          <w:shd w:val="clear" w:color="auto" w:fill="FFFFFF"/>
        </w:rPr>
        <w:t xml:space="preserve"> Bank was unable to operate as a Profit and Loss Sharing Bank because it was unable to raise the necessary capital requirement of N25 billion, not because there was no Islamic </w:t>
      </w:r>
      <w:r w:rsidRPr="00F33911">
        <w:rPr>
          <w:color w:val="1C1C1C"/>
          <w:shd w:val="clear" w:color="auto" w:fill="FFFFFF"/>
        </w:rPr>
        <w:lastRenderedPageBreak/>
        <w:t>Banking Guideline. As a result, he accused the CBN Governor of lowering the capital requirement for Islamic banks to merely N10 billion in order to attain "National Bank" status, compared to N25 billion for deposit money banks.</w:t>
      </w:r>
    </w:p>
    <w:p w14:paraId="38E68805" w14:textId="104AB333" w:rsidR="00DA6CD9" w:rsidRPr="002D033F" w:rsidRDefault="00F33911" w:rsidP="0060104B">
      <w:pPr>
        <w:spacing w:before="120" w:after="100" w:afterAutospacing="1" w:line="360" w:lineRule="auto"/>
        <w:jc w:val="both"/>
        <w:rPr>
          <w:color w:val="1C1C1C"/>
          <w:shd w:val="clear" w:color="auto" w:fill="FFFFFF"/>
        </w:rPr>
      </w:pPr>
      <w:r w:rsidRPr="00F33911">
        <w:rPr>
          <w:color w:val="1C1C1C"/>
          <w:shd w:val="clear" w:color="auto" w:fill="FFFFFF"/>
        </w:rPr>
        <w:t>Additionally, central banks in certain countries prevent commercial banks from engaging in trade-related activities, which is a significant impediment to Islamic banks. Because Islamic banks are not widely used to transacting with one another, they must engage with traditional banks that operate based on interest</w:t>
      </w:r>
      <w:r w:rsidR="00DD579A">
        <w:rPr>
          <w:color w:val="1C1C1C"/>
          <w:shd w:val="clear" w:color="auto" w:fill="FFFFFF"/>
        </w:rPr>
        <w:t xml:space="preserve"> [</w:t>
      </w:r>
      <w:r w:rsidR="00DD579A">
        <w:rPr>
          <w:rStyle w:val="FootnoteReference"/>
          <w:color w:val="1C1C1C"/>
          <w:shd w:val="clear" w:color="auto" w:fill="FFFFFF"/>
        </w:rPr>
        <w:footnoteReference w:id="10"/>
      </w:r>
      <w:r w:rsidR="00DD579A">
        <w:rPr>
          <w:color w:val="1C1C1C"/>
          <w:shd w:val="clear" w:color="auto" w:fill="FFFFFF"/>
        </w:rPr>
        <w:t>]</w:t>
      </w:r>
      <w:r w:rsidRPr="00F33911">
        <w:rPr>
          <w:color w:val="1C1C1C"/>
          <w:shd w:val="clear" w:color="auto" w:fill="FFFFFF"/>
        </w:rPr>
        <w:t>. People will rush to deposit their money with Islamic banks, causing an excess liquidity problem because the deposits are in the form of cash and liquid assets, and the banks may lack investment outlets and long-term investment opportunities to clear the excess.</w:t>
      </w:r>
    </w:p>
    <w:p w14:paraId="2284655C" w14:textId="7C85D656" w:rsidR="00F33911" w:rsidRDefault="00F33911" w:rsidP="0060104B">
      <w:pPr>
        <w:spacing w:before="120" w:after="100" w:afterAutospacing="1" w:line="360" w:lineRule="auto"/>
        <w:jc w:val="both"/>
      </w:pPr>
      <w:r>
        <w:t xml:space="preserve">Likewise, Section 61 of the Banks and Other Financial Institutions Act of 1991, which refers to a profit and loss sharing bank, states the legal description of the non-interest banking system. That is, a bank that conducts investment or commercial banking transactions and keeps profit and loss accounts. Non-Interest Financial Services in Nigeria are generally referred to as Profit and Loss Banking. On this basis, </w:t>
      </w:r>
      <w:proofErr w:type="spellStart"/>
      <w:r>
        <w:t>Eiyeye</w:t>
      </w:r>
      <w:proofErr w:type="spellEnd"/>
      <w:r>
        <w:t xml:space="preserve"> [</w:t>
      </w:r>
      <w:r w:rsidR="0060104B">
        <w:rPr>
          <w:rStyle w:val="FootnoteReference"/>
        </w:rPr>
        <w:footnoteReference w:id="11"/>
      </w:r>
      <w:r>
        <w:t xml:space="preserve">] opined that, for Non-Interest Banking products to be "Shariah compliant," the CBN "had also unjustly excluded non-Muslim Nigerians from the emerging Non-Interest Banking business sub-sector, in contravention of Section 16 1(d) of the 1999 Constitution of the Federal Republic of Nigeria (as amended), which states that “without prejudice to the right of any person to participate in areas of the economy within the major sector of the economy, protect the right of every citizen to engage in any economic activities outside the major sectors of the economy”. The CBN was also accused of introducing religion into Nigerian banking, in violation of Section 39(1) of the BOFIA, which states: "Except with the written consent of the Governor (a), no bank shall, as from the commencement of this decree, be registered or </w:t>
      </w:r>
      <w:r>
        <w:lastRenderedPageBreak/>
        <w:t>incorporated with a name that includes the words "Central," "Federal," "National," "Nigeria," "Reserve," "State," "Christian," "Islamic," "Moslem,".</w:t>
      </w:r>
    </w:p>
    <w:p w14:paraId="6E32C7D0" w14:textId="4C313850" w:rsidR="00C776F7" w:rsidRPr="002D033F" w:rsidRDefault="00F33911" w:rsidP="0060104B">
      <w:pPr>
        <w:spacing w:before="120" w:after="100" w:afterAutospacing="1" w:line="360" w:lineRule="auto"/>
        <w:jc w:val="both"/>
        <w:rPr>
          <w:color w:val="000000"/>
        </w:rPr>
      </w:pPr>
      <w:r>
        <w:t>Many business people, both Muslims and non-Muslims, will be prospective consumers of Islamic banks if Islamic ethics are applied to the banking industry. This is because the customs of many potential Islamic bank clients are in accordance with crucial area</w:t>
      </w:r>
      <w:bookmarkStart w:id="0" w:name="_GoBack"/>
      <w:bookmarkEnd w:id="0"/>
      <w:r>
        <w:t xml:space="preserve">s that the Islamic bank can fund through its forms of finance. Farmers, traders, craftspeople, and others fall into this category. Various studies [Gusau] have also shown that Islamic banking has a bright future in the country. People also criticize interest-based banking because of the high interest rates charged and the injustices associated with it. While applying Islamic ethics to the banking industry may take some time, with </w:t>
      </w:r>
      <w:proofErr w:type="spellStart"/>
      <w:r>
        <w:t>Jaiz</w:t>
      </w:r>
      <w:proofErr w:type="spellEnd"/>
      <w:r>
        <w:t xml:space="preserve"> being the country's only full-fledged non-interest bank offering a menu of Shariah-compliant modern financial services, the concept has a lot of potential. As with Islamic banking, the ethics extend beyond the prohibition of interest to all ways in which the people served by the institution benefit from the banks.</w:t>
      </w:r>
      <w:r w:rsidR="00C776F7" w:rsidRPr="002D033F">
        <w:rPr>
          <w:color w:val="000000"/>
        </w:rPr>
        <w:t xml:space="preserve"> </w:t>
      </w:r>
    </w:p>
    <w:sectPr w:rsidR="00C776F7" w:rsidRPr="002D033F">
      <w:headerReference w:type="default" r:id="rId9"/>
      <w:headerReference w:type="first" r:id="rId1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A4AEBF" w14:textId="77777777" w:rsidR="00AE0A35" w:rsidRDefault="00AE0A35">
      <w:pPr>
        <w:spacing w:line="240" w:lineRule="auto"/>
      </w:pPr>
      <w:r>
        <w:separator/>
      </w:r>
    </w:p>
    <w:p w14:paraId="09D0A93C" w14:textId="77777777" w:rsidR="00AE0A35" w:rsidRDefault="00AE0A35"/>
  </w:endnote>
  <w:endnote w:type="continuationSeparator" w:id="0">
    <w:p w14:paraId="0450DC2A" w14:textId="77777777" w:rsidR="00AE0A35" w:rsidRDefault="00AE0A35">
      <w:pPr>
        <w:spacing w:line="240" w:lineRule="auto"/>
      </w:pPr>
      <w:r>
        <w:continuationSeparator/>
      </w:r>
    </w:p>
    <w:p w14:paraId="2D1AE783" w14:textId="77777777" w:rsidR="00AE0A35" w:rsidRDefault="00AE0A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C5C37E" w14:textId="77777777" w:rsidR="00AE0A35" w:rsidRDefault="00AE0A35">
      <w:pPr>
        <w:spacing w:line="240" w:lineRule="auto"/>
      </w:pPr>
      <w:r>
        <w:separator/>
      </w:r>
    </w:p>
    <w:p w14:paraId="38E99550" w14:textId="77777777" w:rsidR="00AE0A35" w:rsidRDefault="00AE0A35"/>
  </w:footnote>
  <w:footnote w:type="continuationSeparator" w:id="0">
    <w:p w14:paraId="6C807734" w14:textId="77777777" w:rsidR="00AE0A35" w:rsidRDefault="00AE0A35">
      <w:pPr>
        <w:spacing w:line="240" w:lineRule="auto"/>
      </w:pPr>
      <w:r>
        <w:continuationSeparator/>
      </w:r>
    </w:p>
    <w:p w14:paraId="176A080B" w14:textId="77777777" w:rsidR="00AE0A35" w:rsidRDefault="00AE0A35"/>
  </w:footnote>
  <w:footnote w:id="1">
    <w:p w14:paraId="59E44E6E" w14:textId="57F7414F" w:rsidR="00DD579A" w:rsidRPr="00DD579A" w:rsidRDefault="00DD579A" w:rsidP="00DD579A">
      <w:pPr>
        <w:pStyle w:val="FootnoteText"/>
        <w:spacing w:before="120" w:after="120"/>
        <w:ind w:firstLine="0"/>
        <w:rPr>
          <w:rFonts w:cstheme="minorHAnsi"/>
          <w:sz w:val="20"/>
        </w:rPr>
      </w:pPr>
      <w:r w:rsidRPr="00DD579A">
        <w:rPr>
          <w:rStyle w:val="FootnoteReference"/>
          <w:rFonts w:cstheme="minorHAnsi"/>
          <w:sz w:val="20"/>
        </w:rPr>
        <w:footnoteRef/>
      </w:r>
      <w:r w:rsidRPr="00DD579A">
        <w:rPr>
          <w:rFonts w:cstheme="minorHAnsi"/>
          <w:sz w:val="20"/>
        </w:rPr>
        <w:t xml:space="preserve"> </w:t>
      </w:r>
      <w:proofErr w:type="spellStart"/>
      <w:r w:rsidRPr="00DD579A">
        <w:rPr>
          <w:rFonts w:cstheme="minorHAnsi"/>
          <w:sz w:val="20"/>
          <w:shd w:val="clear" w:color="auto" w:fill="FFFFFF"/>
        </w:rPr>
        <w:t>Warde</w:t>
      </w:r>
      <w:proofErr w:type="spellEnd"/>
      <w:r w:rsidRPr="00DD579A">
        <w:rPr>
          <w:rFonts w:cstheme="minorHAnsi"/>
          <w:sz w:val="20"/>
          <w:shd w:val="clear" w:color="auto" w:fill="FFFFFF"/>
        </w:rPr>
        <w:t>, Ibrahim. (1999). The Revitalization of Islamic Profit-and-loss Sharing. Proceeding of the Harvard University Forum on Islamic Finance, October 1. Cambridge: Harvard Islamic Finance</w:t>
      </w:r>
    </w:p>
  </w:footnote>
  <w:footnote w:id="2">
    <w:p w14:paraId="3BCC0E09" w14:textId="6AEB82D3" w:rsidR="009F2B58" w:rsidRPr="00DD579A" w:rsidRDefault="009F2B58" w:rsidP="00DD579A">
      <w:pPr>
        <w:pStyle w:val="FootnoteText"/>
        <w:spacing w:before="120" w:after="120"/>
        <w:ind w:firstLine="0"/>
        <w:rPr>
          <w:rFonts w:cstheme="minorHAnsi"/>
          <w:sz w:val="20"/>
        </w:rPr>
      </w:pPr>
      <w:r w:rsidRPr="00DD579A">
        <w:rPr>
          <w:rStyle w:val="FootnoteReference"/>
          <w:rFonts w:cstheme="minorHAnsi"/>
          <w:sz w:val="20"/>
        </w:rPr>
        <w:footnoteRef/>
      </w:r>
      <w:r w:rsidRPr="00DD579A">
        <w:rPr>
          <w:rFonts w:cstheme="minorHAnsi"/>
          <w:sz w:val="20"/>
        </w:rPr>
        <w:t xml:space="preserve"> </w:t>
      </w:r>
      <w:r w:rsidRPr="00DD579A">
        <w:rPr>
          <w:rFonts w:cstheme="minorHAnsi"/>
          <w:sz w:val="20"/>
          <w:shd w:val="clear" w:color="auto" w:fill="FFFFFF"/>
        </w:rPr>
        <w:t>Hassan, M. Kabir, Ethical Principles of Islamic Financial Institutions (2013). Journal of Economic Cooperation</w:t>
      </w:r>
      <w:r w:rsidR="00CD5368" w:rsidRPr="00DD579A">
        <w:rPr>
          <w:rFonts w:cstheme="minorHAnsi"/>
          <w:sz w:val="20"/>
          <w:shd w:val="clear" w:color="auto" w:fill="FFFFFF"/>
        </w:rPr>
        <w:t xml:space="preserve"> </w:t>
      </w:r>
      <w:r w:rsidRPr="00DD579A">
        <w:rPr>
          <w:rFonts w:cstheme="minorHAnsi"/>
          <w:sz w:val="20"/>
          <w:shd w:val="clear" w:color="auto" w:fill="FFFFFF"/>
        </w:rPr>
        <w:t>and Development, 34, 1 (2013), 63-90, Available at SSRN: </w:t>
      </w:r>
      <w:hyperlink r:id="rId1" w:tgtFrame="_blank" w:history="1">
        <w:r w:rsidRPr="00DD579A">
          <w:rPr>
            <w:rStyle w:val="Hyperlink"/>
            <w:rFonts w:cstheme="minorHAnsi"/>
            <w:color w:val="000000" w:themeColor="text1"/>
            <w:sz w:val="20"/>
            <w:shd w:val="clear" w:color="auto" w:fill="FFFFFF"/>
          </w:rPr>
          <w:t>https://ssrn.com/abstract=3263118</w:t>
        </w:r>
      </w:hyperlink>
      <w:r w:rsidRPr="00DD579A">
        <w:rPr>
          <w:rFonts w:cstheme="minorHAnsi"/>
          <w:sz w:val="20"/>
        </w:rPr>
        <w:t xml:space="preserve"> </w:t>
      </w:r>
    </w:p>
  </w:footnote>
  <w:footnote w:id="3">
    <w:p w14:paraId="6FF35B99" w14:textId="1AE29F40" w:rsidR="009F2B58" w:rsidRPr="00DD579A" w:rsidRDefault="009F2B58" w:rsidP="00DD579A">
      <w:pPr>
        <w:pStyle w:val="western"/>
        <w:shd w:val="clear" w:color="auto" w:fill="FFFFFF"/>
        <w:spacing w:before="120" w:beforeAutospacing="0" w:after="120" w:afterAutospacing="0"/>
        <w:rPr>
          <w:rFonts w:asciiTheme="minorHAnsi" w:hAnsiTheme="minorHAnsi" w:cstheme="minorHAnsi"/>
          <w:color w:val="000000" w:themeColor="text1"/>
          <w:sz w:val="20"/>
          <w:szCs w:val="20"/>
        </w:rPr>
      </w:pPr>
      <w:r w:rsidRPr="00DD579A">
        <w:rPr>
          <w:rStyle w:val="FootnoteReference"/>
          <w:rFonts w:asciiTheme="minorHAnsi" w:hAnsiTheme="minorHAnsi" w:cstheme="minorHAnsi"/>
          <w:color w:val="000000" w:themeColor="text1"/>
          <w:sz w:val="20"/>
          <w:szCs w:val="20"/>
        </w:rPr>
        <w:footnoteRef/>
      </w:r>
      <w:r w:rsidRPr="00DD579A">
        <w:rPr>
          <w:rFonts w:asciiTheme="minorHAnsi" w:hAnsiTheme="minorHAnsi" w:cstheme="minorHAnsi"/>
          <w:color w:val="000000" w:themeColor="text1"/>
          <w:sz w:val="20"/>
          <w:szCs w:val="20"/>
        </w:rPr>
        <w:t xml:space="preserve"> Ahmad, S. (1996). Budget, deficit in an Islamic Economy, Unpublished</w:t>
      </w:r>
    </w:p>
  </w:footnote>
  <w:footnote w:id="4">
    <w:p w14:paraId="5F8E3142" w14:textId="43558432" w:rsidR="009F2B58" w:rsidRPr="00DD579A" w:rsidRDefault="009F2B58" w:rsidP="00DD579A">
      <w:pPr>
        <w:pStyle w:val="western"/>
        <w:shd w:val="clear" w:color="auto" w:fill="FFFFFF"/>
        <w:spacing w:before="120" w:beforeAutospacing="0" w:after="120" w:afterAutospacing="0"/>
        <w:rPr>
          <w:rFonts w:asciiTheme="minorHAnsi" w:hAnsiTheme="minorHAnsi" w:cstheme="minorHAnsi"/>
          <w:color w:val="000000" w:themeColor="text1"/>
          <w:sz w:val="20"/>
          <w:szCs w:val="20"/>
        </w:rPr>
      </w:pPr>
      <w:r w:rsidRPr="00DD579A">
        <w:rPr>
          <w:rStyle w:val="FootnoteReference"/>
          <w:rFonts w:asciiTheme="minorHAnsi" w:hAnsiTheme="minorHAnsi" w:cstheme="minorHAnsi"/>
          <w:color w:val="000000" w:themeColor="text1"/>
          <w:sz w:val="20"/>
          <w:szCs w:val="20"/>
        </w:rPr>
        <w:footnoteRef/>
      </w:r>
      <w:r w:rsidRPr="00DD579A">
        <w:rPr>
          <w:rFonts w:asciiTheme="minorHAnsi" w:hAnsiTheme="minorHAnsi" w:cstheme="minorHAnsi"/>
          <w:color w:val="000000" w:themeColor="text1"/>
          <w:sz w:val="20"/>
          <w:szCs w:val="20"/>
        </w:rPr>
        <w:t xml:space="preserve"> Ahmad, K. (1980). Economic Development in an Islamic Framework, “</w:t>
      </w:r>
      <w:r w:rsidRPr="00DD579A">
        <w:rPr>
          <w:rFonts w:asciiTheme="minorHAnsi" w:hAnsiTheme="minorHAnsi" w:cstheme="minorHAnsi"/>
          <w:i/>
          <w:iCs/>
          <w:color w:val="000000" w:themeColor="text1"/>
          <w:sz w:val="20"/>
          <w:szCs w:val="20"/>
        </w:rPr>
        <w:t>Islamic perspectives: Studies in Honour of</w:t>
      </w:r>
      <w:r w:rsidR="00CD5368" w:rsidRPr="00DD579A">
        <w:rPr>
          <w:rFonts w:asciiTheme="minorHAnsi" w:hAnsiTheme="minorHAnsi" w:cstheme="minorHAnsi"/>
          <w:i/>
          <w:iCs/>
          <w:color w:val="000000" w:themeColor="text1"/>
          <w:sz w:val="20"/>
          <w:szCs w:val="20"/>
        </w:rPr>
        <w:t xml:space="preserve"> </w:t>
      </w:r>
      <w:r w:rsidRPr="00DD579A">
        <w:rPr>
          <w:rFonts w:asciiTheme="minorHAnsi" w:hAnsiTheme="minorHAnsi" w:cstheme="minorHAnsi"/>
          <w:i/>
          <w:iCs/>
          <w:color w:val="000000" w:themeColor="text1"/>
          <w:sz w:val="20"/>
          <w:szCs w:val="20"/>
        </w:rPr>
        <w:t>Sayyid Abul’Ala Maududi</w:t>
      </w:r>
      <w:r w:rsidRPr="00DD579A">
        <w:rPr>
          <w:rFonts w:asciiTheme="minorHAnsi" w:hAnsiTheme="minorHAnsi" w:cstheme="minorHAnsi"/>
          <w:color w:val="000000" w:themeColor="text1"/>
          <w:sz w:val="20"/>
          <w:szCs w:val="20"/>
        </w:rPr>
        <w:t>, The Islamic Foundation, Leicester, U K pp 223-224.</w:t>
      </w:r>
    </w:p>
    <w:p w14:paraId="103803A1" w14:textId="6D0492D5" w:rsidR="009F2B58" w:rsidRPr="00DD579A" w:rsidRDefault="009F2B58" w:rsidP="00DD579A">
      <w:pPr>
        <w:pStyle w:val="FootnoteText"/>
        <w:spacing w:before="120" w:after="120"/>
        <w:rPr>
          <w:rFonts w:cstheme="minorHAnsi"/>
          <w:sz w:val="20"/>
        </w:rPr>
      </w:pPr>
    </w:p>
  </w:footnote>
  <w:footnote w:id="5">
    <w:p w14:paraId="7C44916B" w14:textId="5EA042D2" w:rsidR="00992337" w:rsidRPr="00DD579A" w:rsidRDefault="00992337" w:rsidP="00DD579A">
      <w:pPr>
        <w:pStyle w:val="FootnoteText"/>
        <w:spacing w:before="120" w:after="120"/>
        <w:ind w:firstLine="0"/>
        <w:rPr>
          <w:rFonts w:cstheme="minorHAnsi"/>
          <w:sz w:val="20"/>
        </w:rPr>
      </w:pPr>
      <w:r w:rsidRPr="00DD579A">
        <w:rPr>
          <w:rStyle w:val="FootnoteReference"/>
          <w:rFonts w:cstheme="minorHAnsi"/>
          <w:sz w:val="20"/>
        </w:rPr>
        <w:footnoteRef/>
      </w:r>
      <w:r w:rsidRPr="00DD579A">
        <w:rPr>
          <w:rFonts w:cstheme="minorHAnsi"/>
          <w:sz w:val="20"/>
        </w:rPr>
        <w:t xml:space="preserve"> </w:t>
      </w:r>
      <w:proofErr w:type="spellStart"/>
      <w:r w:rsidRPr="00DD579A">
        <w:rPr>
          <w:rFonts w:cstheme="minorHAnsi"/>
          <w:sz w:val="20"/>
          <w:shd w:val="clear" w:color="auto" w:fill="FFFFFF"/>
        </w:rPr>
        <w:t>Errico</w:t>
      </w:r>
      <w:proofErr w:type="spellEnd"/>
      <w:r w:rsidRPr="00DD579A">
        <w:rPr>
          <w:rFonts w:cstheme="minorHAnsi"/>
          <w:sz w:val="20"/>
          <w:shd w:val="clear" w:color="auto" w:fill="FFFFFF"/>
        </w:rPr>
        <w:t>, Luca and Sundararajan, V.,</w:t>
      </w:r>
      <w:r w:rsidRPr="00DD579A">
        <w:rPr>
          <w:rFonts w:cstheme="minorHAnsi"/>
          <w:sz w:val="20"/>
          <w:shd w:val="clear" w:color="auto" w:fill="FFFFFF"/>
        </w:rPr>
        <w:t xml:space="preserve"> </w:t>
      </w:r>
      <w:r w:rsidRPr="00DD579A">
        <w:rPr>
          <w:rFonts w:cstheme="minorHAnsi"/>
          <w:sz w:val="20"/>
          <w:shd w:val="clear" w:color="auto" w:fill="FFFFFF"/>
        </w:rPr>
        <w:t>(2002)</w:t>
      </w:r>
      <w:r w:rsidRPr="00DD579A">
        <w:rPr>
          <w:rFonts w:cstheme="minorHAnsi"/>
          <w:sz w:val="20"/>
          <w:shd w:val="clear" w:color="auto" w:fill="FFFFFF"/>
        </w:rPr>
        <w:t>.</w:t>
      </w:r>
      <w:r w:rsidRPr="00DD579A">
        <w:rPr>
          <w:rFonts w:cstheme="minorHAnsi"/>
          <w:sz w:val="20"/>
          <w:shd w:val="clear" w:color="auto" w:fill="FFFFFF"/>
        </w:rPr>
        <w:t xml:space="preserve"> Islamic Financial Institutions and Products in the Global Financial System: Key Issues in Risk Management and Challenges Ahead.</w:t>
      </w:r>
      <w:r w:rsidRPr="00DD579A">
        <w:rPr>
          <w:rFonts w:cstheme="minorHAnsi"/>
          <w:sz w:val="20"/>
          <w:shd w:val="clear" w:color="auto" w:fill="FFFFFF"/>
        </w:rPr>
        <w:t xml:space="preserve"> </w:t>
      </w:r>
      <w:hyperlink r:id="rId2" w:tgtFrame="_blank" w:history="1">
        <w:r w:rsidRPr="00DD579A">
          <w:rPr>
            <w:rStyle w:val="Hyperlink"/>
            <w:rFonts w:cstheme="minorHAnsi"/>
            <w:color w:val="000000" w:themeColor="text1"/>
            <w:sz w:val="20"/>
            <w:shd w:val="clear" w:color="auto" w:fill="FFFFFF"/>
          </w:rPr>
          <w:t>http://dx.doi.org/10.2139/ssrn.1930788</w:t>
        </w:r>
      </w:hyperlink>
    </w:p>
    <w:p w14:paraId="4530635B" w14:textId="77777777" w:rsidR="00992337" w:rsidRPr="00DD579A" w:rsidRDefault="00992337" w:rsidP="00DD579A">
      <w:pPr>
        <w:pStyle w:val="FootnoteText"/>
        <w:spacing w:before="120" w:after="120"/>
        <w:ind w:firstLine="0"/>
        <w:rPr>
          <w:rFonts w:cstheme="minorHAnsi"/>
          <w:sz w:val="20"/>
        </w:rPr>
      </w:pPr>
    </w:p>
  </w:footnote>
  <w:footnote w:id="6">
    <w:p w14:paraId="12F7478E" w14:textId="3A09D651" w:rsidR="00992337" w:rsidRPr="00DD579A" w:rsidRDefault="00992337" w:rsidP="00DD579A">
      <w:pPr>
        <w:pStyle w:val="FootnoteText"/>
        <w:spacing w:before="120" w:after="120"/>
        <w:ind w:firstLine="0"/>
        <w:rPr>
          <w:rFonts w:cstheme="minorHAnsi"/>
          <w:sz w:val="20"/>
        </w:rPr>
      </w:pPr>
      <w:r w:rsidRPr="00DD579A">
        <w:rPr>
          <w:rStyle w:val="FootnoteReference"/>
          <w:rFonts w:cstheme="minorHAnsi"/>
          <w:sz w:val="20"/>
        </w:rPr>
        <w:footnoteRef/>
      </w:r>
      <w:r w:rsidRPr="00DD579A">
        <w:rPr>
          <w:rFonts w:cstheme="minorHAnsi"/>
          <w:sz w:val="20"/>
        </w:rPr>
        <w:t xml:space="preserve"> </w:t>
      </w:r>
      <w:r w:rsidRPr="00DD579A">
        <w:rPr>
          <w:rFonts w:cstheme="minorHAnsi"/>
          <w:sz w:val="20"/>
        </w:rPr>
        <w:t xml:space="preserve">Mansour, Walid &amp; </w:t>
      </w:r>
      <w:proofErr w:type="spellStart"/>
      <w:r w:rsidRPr="00DD579A">
        <w:rPr>
          <w:rFonts w:cstheme="minorHAnsi"/>
          <w:sz w:val="20"/>
        </w:rPr>
        <w:t>Khoutem</w:t>
      </w:r>
      <w:proofErr w:type="spellEnd"/>
      <w:r w:rsidRPr="00DD579A">
        <w:rPr>
          <w:rFonts w:cstheme="minorHAnsi"/>
          <w:sz w:val="20"/>
        </w:rPr>
        <w:t xml:space="preserve">, Ben &amp; </w:t>
      </w:r>
      <w:proofErr w:type="spellStart"/>
      <w:r w:rsidRPr="00DD579A">
        <w:rPr>
          <w:rFonts w:cstheme="minorHAnsi"/>
          <w:sz w:val="20"/>
        </w:rPr>
        <w:t>Majdoub</w:t>
      </w:r>
      <w:proofErr w:type="spellEnd"/>
      <w:r w:rsidRPr="00DD579A">
        <w:rPr>
          <w:rFonts w:cstheme="minorHAnsi"/>
          <w:sz w:val="20"/>
        </w:rPr>
        <w:t xml:space="preserve">, </w:t>
      </w:r>
      <w:proofErr w:type="spellStart"/>
      <w:r w:rsidRPr="00DD579A">
        <w:rPr>
          <w:rFonts w:cstheme="minorHAnsi"/>
          <w:sz w:val="20"/>
        </w:rPr>
        <w:t>Jihed</w:t>
      </w:r>
      <w:proofErr w:type="spellEnd"/>
      <w:r w:rsidRPr="00DD579A">
        <w:rPr>
          <w:rFonts w:cstheme="minorHAnsi"/>
          <w:sz w:val="20"/>
        </w:rPr>
        <w:t>. (2015). How Ethical is Islamic Banking in the</w:t>
      </w:r>
      <w:r w:rsidRPr="00DD579A">
        <w:rPr>
          <w:rFonts w:cstheme="minorHAnsi"/>
          <w:sz w:val="20"/>
        </w:rPr>
        <w:t xml:space="preserve"> </w:t>
      </w:r>
      <w:r w:rsidRPr="00DD579A">
        <w:rPr>
          <w:rFonts w:cstheme="minorHAnsi"/>
          <w:sz w:val="20"/>
        </w:rPr>
        <w:t xml:space="preserve">Light of the Objectives of Islamic </w:t>
      </w:r>
      <w:proofErr w:type="gramStart"/>
      <w:r w:rsidRPr="00DD579A">
        <w:rPr>
          <w:rFonts w:cstheme="minorHAnsi"/>
          <w:sz w:val="20"/>
        </w:rPr>
        <w:t>Law?.</w:t>
      </w:r>
      <w:proofErr w:type="gramEnd"/>
      <w:r w:rsidRPr="00DD579A">
        <w:rPr>
          <w:rFonts w:cstheme="minorHAnsi"/>
          <w:sz w:val="20"/>
        </w:rPr>
        <w:t xml:space="preserve"> Journal of Religious Ethics. 43. 10.1111/jore.12086.</w:t>
      </w:r>
      <w:r w:rsidRPr="00DD579A">
        <w:rPr>
          <w:rFonts w:cstheme="minorHAnsi"/>
          <w:sz w:val="20"/>
        </w:rPr>
        <w:t xml:space="preserve"> </w:t>
      </w:r>
    </w:p>
  </w:footnote>
  <w:footnote w:id="7">
    <w:p w14:paraId="344F81BF" w14:textId="42BD4DCD" w:rsidR="009F2B58" w:rsidRPr="00DD579A" w:rsidRDefault="009F2B58" w:rsidP="00DD579A">
      <w:pPr>
        <w:pStyle w:val="western"/>
        <w:shd w:val="clear" w:color="auto" w:fill="FFFFFF"/>
        <w:spacing w:before="120" w:beforeAutospacing="0" w:after="120" w:afterAutospacing="0"/>
        <w:rPr>
          <w:rFonts w:asciiTheme="minorHAnsi" w:hAnsiTheme="minorHAnsi" w:cstheme="minorHAnsi"/>
          <w:color w:val="000000" w:themeColor="text1"/>
          <w:sz w:val="20"/>
          <w:szCs w:val="20"/>
        </w:rPr>
      </w:pPr>
      <w:r w:rsidRPr="00DD579A">
        <w:rPr>
          <w:rStyle w:val="FootnoteReference"/>
          <w:rFonts w:asciiTheme="minorHAnsi" w:hAnsiTheme="minorHAnsi" w:cstheme="minorHAnsi"/>
          <w:color w:val="000000" w:themeColor="text1"/>
          <w:sz w:val="20"/>
          <w:szCs w:val="20"/>
        </w:rPr>
        <w:footnoteRef/>
      </w:r>
      <w:r w:rsidRPr="00DD579A">
        <w:rPr>
          <w:rFonts w:asciiTheme="minorHAnsi" w:hAnsiTheme="minorHAnsi" w:cstheme="minorHAnsi"/>
          <w:color w:val="000000" w:themeColor="text1"/>
          <w:sz w:val="20"/>
          <w:szCs w:val="20"/>
        </w:rPr>
        <w:t xml:space="preserve"> </w:t>
      </w:r>
      <w:proofErr w:type="spellStart"/>
      <w:r w:rsidRPr="00DD579A">
        <w:rPr>
          <w:rFonts w:asciiTheme="minorHAnsi" w:hAnsiTheme="minorHAnsi" w:cstheme="minorHAnsi"/>
          <w:color w:val="000000" w:themeColor="text1"/>
          <w:sz w:val="20"/>
          <w:szCs w:val="20"/>
        </w:rPr>
        <w:t>Algauod</w:t>
      </w:r>
      <w:proofErr w:type="spellEnd"/>
      <w:r w:rsidRPr="00DD579A">
        <w:rPr>
          <w:rFonts w:asciiTheme="minorHAnsi" w:hAnsiTheme="minorHAnsi" w:cstheme="minorHAnsi"/>
          <w:color w:val="000000" w:themeColor="text1"/>
          <w:sz w:val="20"/>
          <w:szCs w:val="20"/>
        </w:rPr>
        <w:t>, L.M., &amp; Lewis M.K. (2007). ‘Islamic Critique of Conventional Financing’ in Hassan, M.K. and Lewis, M.K. eds. (2007) Hand Book of Islamic Finance, Edward Elgar, USA. pp. 38-4</w:t>
      </w:r>
    </w:p>
  </w:footnote>
  <w:footnote w:id="8">
    <w:p w14:paraId="6EDCF42D" w14:textId="06D0E2A0" w:rsidR="00DD579A" w:rsidRPr="00DD579A" w:rsidRDefault="00DD579A" w:rsidP="00DD579A">
      <w:pPr>
        <w:pStyle w:val="NormalWeb"/>
        <w:shd w:val="clear" w:color="auto" w:fill="FFFFFF"/>
        <w:spacing w:before="120" w:after="120" w:line="240" w:lineRule="auto"/>
        <w:rPr>
          <w:rFonts w:asciiTheme="minorHAnsi" w:eastAsia="Times New Roman" w:hAnsiTheme="minorHAnsi" w:cstheme="minorHAnsi"/>
          <w:sz w:val="20"/>
          <w:szCs w:val="20"/>
          <w:lang w:eastAsia="en-US"/>
        </w:rPr>
      </w:pPr>
      <w:r w:rsidRPr="00DD579A">
        <w:rPr>
          <w:rStyle w:val="FootnoteReference"/>
          <w:rFonts w:asciiTheme="minorHAnsi" w:hAnsiTheme="minorHAnsi" w:cstheme="minorHAnsi"/>
          <w:sz w:val="20"/>
          <w:szCs w:val="20"/>
        </w:rPr>
        <w:footnoteRef/>
      </w:r>
      <w:r w:rsidRPr="00DD579A">
        <w:rPr>
          <w:rFonts w:asciiTheme="minorHAnsi" w:hAnsiTheme="minorHAnsi" w:cstheme="minorHAnsi"/>
          <w:sz w:val="20"/>
          <w:szCs w:val="20"/>
        </w:rPr>
        <w:t xml:space="preserve"> </w:t>
      </w:r>
      <w:proofErr w:type="spellStart"/>
      <w:r w:rsidRPr="00DD579A">
        <w:rPr>
          <w:rFonts w:asciiTheme="minorHAnsi" w:eastAsia="Times New Roman" w:hAnsiTheme="minorHAnsi" w:cstheme="minorHAnsi"/>
          <w:sz w:val="20"/>
          <w:szCs w:val="20"/>
          <w:lang w:eastAsia="en-US"/>
        </w:rPr>
        <w:t>Gaffar</w:t>
      </w:r>
      <w:proofErr w:type="spellEnd"/>
      <w:r w:rsidRPr="00DD579A">
        <w:rPr>
          <w:rFonts w:asciiTheme="minorHAnsi" w:eastAsia="Times New Roman" w:hAnsiTheme="minorHAnsi" w:cstheme="minorHAnsi"/>
          <w:sz w:val="20"/>
          <w:szCs w:val="20"/>
          <w:lang w:eastAsia="en-US"/>
        </w:rPr>
        <w:t xml:space="preserve"> Abdalla Ahmed. 2008. The implication of using profit and loss sharing modes of finance in the</w:t>
      </w:r>
      <w:r w:rsidRPr="00DD579A">
        <w:rPr>
          <w:rFonts w:asciiTheme="minorHAnsi" w:eastAsia="Times New Roman" w:hAnsiTheme="minorHAnsi" w:cstheme="minorHAnsi"/>
          <w:sz w:val="20"/>
          <w:szCs w:val="20"/>
          <w:lang w:eastAsia="en-US"/>
        </w:rPr>
        <w:t xml:space="preserve"> </w:t>
      </w:r>
      <w:r w:rsidRPr="00DD579A">
        <w:rPr>
          <w:rFonts w:asciiTheme="minorHAnsi" w:eastAsia="Times New Roman" w:hAnsiTheme="minorHAnsi" w:cstheme="minorHAnsi"/>
          <w:sz w:val="20"/>
          <w:szCs w:val="20"/>
          <w:lang w:eastAsia="en-US"/>
        </w:rPr>
        <w:t>banking system, with a particular reference to equity participation (partnership) method in</w:t>
      </w:r>
      <w:r w:rsidRPr="00DD579A">
        <w:rPr>
          <w:rFonts w:asciiTheme="minorHAnsi" w:eastAsia="Times New Roman" w:hAnsiTheme="minorHAnsi" w:cstheme="minorHAnsi"/>
          <w:sz w:val="20"/>
          <w:szCs w:val="20"/>
          <w:lang w:eastAsia="en-US"/>
        </w:rPr>
        <w:t xml:space="preserve"> </w:t>
      </w:r>
      <w:r w:rsidRPr="00DD579A">
        <w:rPr>
          <w:rFonts w:asciiTheme="minorHAnsi" w:eastAsia="Times New Roman" w:hAnsiTheme="minorHAnsi" w:cstheme="minorHAnsi"/>
          <w:sz w:val="20"/>
          <w:szCs w:val="20"/>
          <w:lang w:eastAsia="en-US"/>
        </w:rPr>
        <w:t xml:space="preserve">Sudan. </w:t>
      </w:r>
      <w:proofErr w:type="spellStart"/>
      <w:r w:rsidRPr="00DD579A">
        <w:rPr>
          <w:rFonts w:asciiTheme="minorHAnsi" w:eastAsia="Times New Roman" w:hAnsiTheme="minorHAnsi" w:cstheme="minorHAnsi"/>
          <w:sz w:val="20"/>
          <w:szCs w:val="20"/>
          <w:lang w:eastAsia="en-US"/>
        </w:rPr>
        <w:t>Humanomics</w:t>
      </w:r>
      <w:proofErr w:type="spellEnd"/>
      <w:r w:rsidRPr="00DD579A">
        <w:rPr>
          <w:rFonts w:asciiTheme="minorHAnsi" w:eastAsia="Times New Roman" w:hAnsiTheme="minorHAnsi" w:cstheme="minorHAnsi"/>
          <w:sz w:val="20"/>
          <w:szCs w:val="20"/>
          <w:lang w:eastAsia="en-US"/>
        </w:rPr>
        <w:t xml:space="preserve"> Journal. Volume 24:3, pp 182-206.</w:t>
      </w:r>
    </w:p>
  </w:footnote>
  <w:footnote w:id="9">
    <w:p w14:paraId="3A1CADBF" w14:textId="25E926E5" w:rsidR="009F2B58" w:rsidRPr="00DD579A" w:rsidRDefault="009F2B58" w:rsidP="00DD579A">
      <w:pPr>
        <w:autoSpaceDE w:val="0"/>
        <w:autoSpaceDN w:val="0"/>
        <w:adjustRightInd w:val="0"/>
        <w:spacing w:before="120" w:after="120" w:line="240" w:lineRule="auto"/>
        <w:ind w:firstLine="0"/>
        <w:rPr>
          <w:rFonts w:cstheme="minorHAnsi"/>
          <w:sz w:val="20"/>
          <w:szCs w:val="20"/>
        </w:rPr>
      </w:pPr>
      <w:r w:rsidRPr="00DD579A">
        <w:rPr>
          <w:rStyle w:val="FootnoteReference"/>
          <w:rFonts w:cstheme="minorHAnsi"/>
          <w:sz w:val="20"/>
          <w:szCs w:val="20"/>
        </w:rPr>
        <w:footnoteRef/>
      </w:r>
      <w:r w:rsidRPr="00DD579A">
        <w:rPr>
          <w:rFonts w:cstheme="minorHAnsi"/>
          <w:sz w:val="20"/>
          <w:szCs w:val="20"/>
        </w:rPr>
        <w:t xml:space="preserve"> </w:t>
      </w:r>
      <w:proofErr w:type="spellStart"/>
      <w:r w:rsidRPr="00DD579A">
        <w:rPr>
          <w:rFonts w:cstheme="minorHAnsi"/>
          <w:sz w:val="20"/>
          <w:szCs w:val="20"/>
        </w:rPr>
        <w:t>Eyieyie</w:t>
      </w:r>
      <w:proofErr w:type="spellEnd"/>
      <w:r w:rsidRPr="00DD579A">
        <w:rPr>
          <w:rFonts w:cstheme="minorHAnsi"/>
          <w:sz w:val="20"/>
          <w:szCs w:val="20"/>
        </w:rPr>
        <w:t>, E. (2011) The Central Bank of Nigeria, Islamic Banking, the Law and Appropriate</w:t>
      </w:r>
      <w:r w:rsidR="0060104B" w:rsidRPr="00DD579A">
        <w:rPr>
          <w:rFonts w:cstheme="minorHAnsi"/>
          <w:sz w:val="20"/>
          <w:szCs w:val="20"/>
        </w:rPr>
        <w:t xml:space="preserve"> </w:t>
      </w:r>
      <w:r w:rsidRPr="00DD579A">
        <w:rPr>
          <w:rFonts w:cstheme="minorHAnsi"/>
          <w:sz w:val="20"/>
          <w:szCs w:val="20"/>
        </w:rPr>
        <w:t>Regulation of Non- Interest Financial Regulation in Nigeria</w:t>
      </w:r>
      <w:r w:rsidR="0060104B" w:rsidRPr="00DD579A">
        <w:rPr>
          <w:rFonts w:cstheme="minorHAnsi"/>
          <w:sz w:val="20"/>
          <w:szCs w:val="20"/>
        </w:rPr>
        <w:t xml:space="preserve">. </w:t>
      </w:r>
      <w:r w:rsidRPr="00DD579A">
        <w:rPr>
          <w:rFonts w:cstheme="minorHAnsi"/>
          <w:sz w:val="20"/>
          <w:szCs w:val="20"/>
        </w:rPr>
        <w:t>Elombah Perpective of World</w:t>
      </w:r>
      <w:r w:rsidR="0060104B" w:rsidRPr="00DD579A">
        <w:rPr>
          <w:rFonts w:cstheme="minorHAnsi"/>
          <w:sz w:val="20"/>
          <w:szCs w:val="20"/>
        </w:rPr>
        <w:t xml:space="preserve"> </w:t>
      </w:r>
      <w:r w:rsidRPr="00DD579A">
        <w:rPr>
          <w:rFonts w:cstheme="minorHAnsi"/>
          <w:sz w:val="20"/>
          <w:szCs w:val="20"/>
        </w:rPr>
        <w:t>Affairs</w:t>
      </w:r>
      <w:r w:rsidR="0060104B" w:rsidRPr="00DD579A">
        <w:rPr>
          <w:rFonts w:cstheme="minorHAnsi"/>
          <w:sz w:val="20"/>
          <w:szCs w:val="20"/>
        </w:rPr>
        <w:t>. Retrieved from</w:t>
      </w:r>
      <w:r w:rsidRPr="00DD579A">
        <w:rPr>
          <w:rFonts w:cstheme="minorHAnsi"/>
          <w:sz w:val="20"/>
          <w:szCs w:val="20"/>
        </w:rPr>
        <w:t xml:space="preserve"> </w:t>
      </w:r>
      <w:hyperlink r:id="rId3" w:history="1">
        <w:r w:rsidR="0060104B" w:rsidRPr="00DD579A">
          <w:rPr>
            <w:rStyle w:val="Hyperlink"/>
            <w:rFonts w:cstheme="minorHAnsi"/>
            <w:color w:val="000000" w:themeColor="text1"/>
            <w:sz w:val="20"/>
            <w:szCs w:val="20"/>
          </w:rPr>
          <w:t>http://elombah.com/index.php/articles/70-letters/7115-the-central-bank-of-nigeriaislamic-banking-the-law-and-appropriate-regulation-of-non-interest-financial-institutions-innigeria-v15-7115</w:t>
        </w:r>
      </w:hyperlink>
      <w:r w:rsidR="0060104B" w:rsidRPr="00DD579A">
        <w:rPr>
          <w:rFonts w:cstheme="minorHAnsi"/>
          <w:sz w:val="20"/>
          <w:szCs w:val="20"/>
        </w:rPr>
        <w:t xml:space="preserve"> </w:t>
      </w:r>
    </w:p>
  </w:footnote>
  <w:footnote w:id="10">
    <w:p w14:paraId="1CC96B4B" w14:textId="7B1AD5CD" w:rsidR="00DD579A" w:rsidRPr="00DD579A" w:rsidRDefault="00DD579A" w:rsidP="00DD579A">
      <w:pPr>
        <w:pStyle w:val="FootnoteText"/>
        <w:spacing w:before="120" w:after="120"/>
        <w:ind w:firstLine="0"/>
        <w:rPr>
          <w:rFonts w:cstheme="minorHAnsi"/>
          <w:sz w:val="20"/>
        </w:rPr>
      </w:pPr>
      <w:r w:rsidRPr="00DD579A">
        <w:rPr>
          <w:rStyle w:val="FootnoteReference"/>
          <w:rFonts w:cstheme="minorHAnsi"/>
          <w:sz w:val="20"/>
        </w:rPr>
        <w:footnoteRef/>
      </w:r>
      <w:r w:rsidRPr="00DD579A">
        <w:rPr>
          <w:rFonts w:cstheme="minorHAnsi"/>
          <w:sz w:val="20"/>
        </w:rPr>
        <w:t xml:space="preserve"> </w:t>
      </w:r>
      <w:r w:rsidRPr="00DD579A">
        <w:rPr>
          <w:rFonts w:cstheme="minorHAnsi"/>
          <w:sz w:val="20"/>
        </w:rPr>
        <w:t xml:space="preserve">Islamic Financial Services Board, (2014b), “Strengthening the Financial Safety Net: The Role of </w:t>
      </w:r>
      <w:proofErr w:type="spellStart"/>
      <w:r w:rsidRPr="00DD579A">
        <w:rPr>
          <w:rFonts w:cstheme="minorHAnsi"/>
          <w:sz w:val="20"/>
        </w:rPr>
        <w:t>Shari’ah</w:t>
      </w:r>
      <w:proofErr w:type="spellEnd"/>
      <w:r w:rsidRPr="00DD579A">
        <w:rPr>
          <w:rFonts w:cstheme="minorHAnsi"/>
          <w:sz w:val="20"/>
        </w:rPr>
        <w:t>-Compliant Lender-of-Last-Resort (SLOLR) Facilities as an Emergency Financing Facility,” IFSB Working Paper, (Malaysia: IFSB).</w:t>
      </w:r>
    </w:p>
  </w:footnote>
  <w:footnote w:id="11">
    <w:p w14:paraId="357C9575" w14:textId="39468A64" w:rsidR="0060104B" w:rsidRPr="00DD579A" w:rsidRDefault="0060104B" w:rsidP="00DD579A">
      <w:pPr>
        <w:pStyle w:val="FootnoteText"/>
        <w:spacing w:before="120" w:after="120"/>
        <w:ind w:firstLine="0"/>
        <w:rPr>
          <w:rFonts w:cstheme="minorHAnsi"/>
          <w:sz w:val="20"/>
        </w:rPr>
      </w:pPr>
      <w:r w:rsidRPr="00DD579A">
        <w:rPr>
          <w:rStyle w:val="FootnoteReference"/>
          <w:rFonts w:cstheme="minorHAnsi"/>
          <w:sz w:val="20"/>
        </w:rPr>
        <w:footnoteRef/>
      </w:r>
      <w:r w:rsidRPr="00DD579A">
        <w:rPr>
          <w:rFonts w:cstheme="minorHAnsi"/>
          <w:sz w:val="20"/>
        </w:rP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2241DE36"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5EE2B2CE" w14:textId="4B744C30" w:rsidR="004D6B86" w:rsidRPr="00170521" w:rsidRDefault="00AE0A35"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r w:rsidR="00992337">
                <w:t>Islamic Ethics in the Nigerian Banking Industry</w:t>
              </w:r>
            </w:sdtContent>
          </w:sdt>
        </w:p>
      </w:tc>
      <w:tc>
        <w:tcPr>
          <w:tcW w:w="1080" w:type="dxa"/>
        </w:tcPr>
        <w:p w14:paraId="39F25F61"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53F68C84"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3CFB3458"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356574B4" w14:textId="3CAEBAF6" w:rsidR="004D6B86" w:rsidRPr="009F0414" w:rsidRDefault="00961AE5" w:rsidP="00504F88">
          <w:pPr>
            <w:pStyle w:val="Header"/>
          </w:pPr>
          <w:r>
            <w:t xml:space="preserve">Running head: </w:t>
          </w:r>
          <w:sdt>
            <w:sdtPr>
              <w:alias w:val="Enter shortened title:"/>
              <w:tag w:val="Enter shortened title:"/>
              <w:id w:val="-211583021"/>
              <w15:dataBinding w:prefixMappings="xmlns:ns0='http://schemas.microsoft.com/temp/samples' " w:xpath="/ns0:employees[1]/ns0:employee[1]/ns0:CustomerName[1]" w:storeItemID="{B98E728A-96FF-4995-885C-5AF887AB0C35}"/>
              <w15:appearance w15:val="hidden"/>
            </w:sdtPr>
            <w:sdtEndPr/>
            <w:sdtContent>
              <w:r w:rsidR="00992337">
                <w:t>Islamic Ethics in the Nigerian Banking Industry</w:t>
              </w:r>
            </w:sdtContent>
          </w:sdt>
        </w:p>
      </w:tc>
      <w:tc>
        <w:tcPr>
          <w:tcW w:w="1080" w:type="dxa"/>
        </w:tcPr>
        <w:p w14:paraId="103ADB49"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0C13EFFC"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C26FC6"/>
    <w:multiLevelType w:val="multilevel"/>
    <w:tmpl w:val="9710C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A58CF"/>
    <w:multiLevelType w:val="multilevel"/>
    <w:tmpl w:val="65F6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A28BA"/>
    <w:multiLevelType w:val="multilevel"/>
    <w:tmpl w:val="55A0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2"/>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3C5"/>
    <w:rsid w:val="00006BBA"/>
    <w:rsid w:val="0001010E"/>
    <w:rsid w:val="000217F5"/>
    <w:rsid w:val="00097169"/>
    <w:rsid w:val="000C3C0D"/>
    <w:rsid w:val="00114BFA"/>
    <w:rsid w:val="001602E3"/>
    <w:rsid w:val="00160C0C"/>
    <w:rsid w:val="001664A2"/>
    <w:rsid w:val="00170521"/>
    <w:rsid w:val="001B437B"/>
    <w:rsid w:val="001B4848"/>
    <w:rsid w:val="001F447A"/>
    <w:rsid w:val="001F7399"/>
    <w:rsid w:val="00212319"/>
    <w:rsid w:val="00225BE3"/>
    <w:rsid w:val="00274E0A"/>
    <w:rsid w:val="002A115D"/>
    <w:rsid w:val="002B6153"/>
    <w:rsid w:val="002C627C"/>
    <w:rsid w:val="002D033F"/>
    <w:rsid w:val="00301575"/>
    <w:rsid w:val="00307586"/>
    <w:rsid w:val="00326BE5"/>
    <w:rsid w:val="00336906"/>
    <w:rsid w:val="00345333"/>
    <w:rsid w:val="003A06C6"/>
    <w:rsid w:val="003E36B1"/>
    <w:rsid w:val="003E4162"/>
    <w:rsid w:val="003F7CBD"/>
    <w:rsid w:val="0043333C"/>
    <w:rsid w:val="00455B0F"/>
    <w:rsid w:val="00481CF8"/>
    <w:rsid w:val="00492C2D"/>
    <w:rsid w:val="00494DE5"/>
    <w:rsid w:val="004A3D87"/>
    <w:rsid w:val="004B18A9"/>
    <w:rsid w:val="004D4F8C"/>
    <w:rsid w:val="004D6B86"/>
    <w:rsid w:val="00504F88"/>
    <w:rsid w:val="005053C5"/>
    <w:rsid w:val="00541CA2"/>
    <w:rsid w:val="0055242C"/>
    <w:rsid w:val="00595412"/>
    <w:rsid w:val="0060104B"/>
    <w:rsid w:val="0061747E"/>
    <w:rsid w:val="00641876"/>
    <w:rsid w:val="00645290"/>
    <w:rsid w:val="00684C26"/>
    <w:rsid w:val="006B015B"/>
    <w:rsid w:val="006C162F"/>
    <w:rsid w:val="006D7EE9"/>
    <w:rsid w:val="007244DE"/>
    <w:rsid w:val="00745270"/>
    <w:rsid w:val="00787A75"/>
    <w:rsid w:val="007C690F"/>
    <w:rsid w:val="007D5B2D"/>
    <w:rsid w:val="00810B4D"/>
    <w:rsid w:val="0081390C"/>
    <w:rsid w:val="00816831"/>
    <w:rsid w:val="00837D67"/>
    <w:rsid w:val="008747E8"/>
    <w:rsid w:val="008A2A83"/>
    <w:rsid w:val="008A78F1"/>
    <w:rsid w:val="008C3C1F"/>
    <w:rsid w:val="008F3DF8"/>
    <w:rsid w:val="009058A2"/>
    <w:rsid w:val="00910F0E"/>
    <w:rsid w:val="00961AE5"/>
    <w:rsid w:val="00992337"/>
    <w:rsid w:val="009A2C38"/>
    <w:rsid w:val="009F0414"/>
    <w:rsid w:val="009F2B58"/>
    <w:rsid w:val="00A414F3"/>
    <w:rsid w:val="00A4757D"/>
    <w:rsid w:val="00A77F6B"/>
    <w:rsid w:val="00A81BB2"/>
    <w:rsid w:val="00AA5C05"/>
    <w:rsid w:val="00AE0A35"/>
    <w:rsid w:val="00B03BA4"/>
    <w:rsid w:val="00BF0FA7"/>
    <w:rsid w:val="00C3438C"/>
    <w:rsid w:val="00C42C69"/>
    <w:rsid w:val="00C5686B"/>
    <w:rsid w:val="00C74024"/>
    <w:rsid w:val="00C776F7"/>
    <w:rsid w:val="00C83B15"/>
    <w:rsid w:val="00C925C8"/>
    <w:rsid w:val="00CB7F84"/>
    <w:rsid w:val="00CD5368"/>
    <w:rsid w:val="00CF1B55"/>
    <w:rsid w:val="00D02CF3"/>
    <w:rsid w:val="00DA6CD9"/>
    <w:rsid w:val="00DB2E59"/>
    <w:rsid w:val="00DB358F"/>
    <w:rsid w:val="00DC44F1"/>
    <w:rsid w:val="00DD579A"/>
    <w:rsid w:val="00DF6D26"/>
    <w:rsid w:val="00E7305D"/>
    <w:rsid w:val="00E9163F"/>
    <w:rsid w:val="00EA780C"/>
    <w:rsid w:val="00EB69D3"/>
    <w:rsid w:val="00ED1A4B"/>
    <w:rsid w:val="00F31D66"/>
    <w:rsid w:val="00F33911"/>
    <w:rsid w:val="00F363EC"/>
    <w:rsid w:val="00F413AC"/>
    <w:rsid w:val="00F56839"/>
    <w:rsid w:val="00F653D2"/>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AE5E336"/>
  <w15:chartTrackingRefBased/>
  <w15:docId w15:val="{900B7B46-BE91-425F-AC71-B04BD316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paragraph" w:customStyle="1" w:styleId="western">
    <w:name w:val="western"/>
    <w:basedOn w:val="Normal"/>
    <w:rsid w:val="00455B0F"/>
    <w:pPr>
      <w:spacing w:before="100" w:beforeAutospacing="1" w:after="100" w:afterAutospacing="1" w:line="240" w:lineRule="auto"/>
      <w:ind w:firstLine="0"/>
    </w:pPr>
    <w:rPr>
      <w:rFonts w:ascii="Times New Roman" w:eastAsia="Times New Roman" w:hAnsi="Times New Roman" w:cs="Times New Roman"/>
      <w:color w:val="auto"/>
      <w:lang w:eastAsia="en-US"/>
    </w:rPr>
  </w:style>
  <w:style w:type="character" w:styleId="Hyperlink">
    <w:name w:val="Hyperlink"/>
    <w:basedOn w:val="DefaultParagraphFont"/>
    <w:uiPriority w:val="99"/>
    <w:unhideWhenUsed/>
    <w:rsid w:val="009F2B58"/>
    <w:rPr>
      <w:color w:val="0000FF"/>
      <w:u w:val="single"/>
    </w:rPr>
  </w:style>
  <w:style w:type="character" w:styleId="UnresolvedMention">
    <w:name w:val="Unresolved Mention"/>
    <w:basedOn w:val="DefaultParagraphFont"/>
    <w:uiPriority w:val="99"/>
    <w:semiHidden/>
    <w:unhideWhenUsed/>
    <w:rsid w:val="0060104B"/>
    <w:rPr>
      <w:color w:val="605E5C"/>
      <w:shd w:val="clear" w:color="auto" w:fill="E1DFDD"/>
    </w:rPr>
  </w:style>
  <w:style w:type="character" w:styleId="FollowedHyperlink">
    <w:name w:val="FollowedHyperlink"/>
    <w:basedOn w:val="DefaultParagraphFont"/>
    <w:uiPriority w:val="99"/>
    <w:semiHidden/>
    <w:unhideWhenUsed/>
    <w:rsid w:val="0060104B"/>
    <w:rPr>
      <w:color w:val="6C6C6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71033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86147124">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6162208">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0546373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30519451">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elombah.com/index.php/articles/70-letters/7115-the-central-bank-of-nigeriaislamic-banking-the-law-and-appropriate-regulation-of-non-interest-financial-institutions-innigeria-v15-7115" TargetMode="External"/><Relationship Id="rId2" Type="http://schemas.openxmlformats.org/officeDocument/2006/relationships/hyperlink" Target="https://dx.doi.org/10.2139/ssrn.1930788" TargetMode="External"/><Relationship Id="rId1" Type="http://schemas.openxmlformats.org/officeDocument/2006/relationships/hyperlink" Target="https://ssrn.com/abstract=32631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w:rsidRDefault="005053C5"&gt;&lt;w:r&gt;&lt;w:t&gt;Islamic Ethics in the Nigerian Banking Industry&lt;/w:t&gt;&lt;/w:r&gt;&lt;/w:p&gt;&lt;w:sectPr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B57B1474-DAA1-430C-BB6C-8A4A28FCC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262</TotalTime>
  <Pages>7</Pages>
  <Words>1680</Words>
  <Characters>9578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2022-01-17T09:00:00Z</dcterms:created>
  <dcterms:modified xsi:type="dcterms:W3CDTF">2022-01-17T18:42:00Z</dcterms:modified>
</cp:coreProperties>
</file>