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750F3" w14:textId="77777777" w:rsidR="009543B6" w:rsidRDefault="00000000">
      <w:pPr>
        <w:pStyle w:val="Heading1"/>
      </w:pPr>
      <w:r>
        <w:t>CHAPTER THREE</w:t>
      </w:r>
    </w:p>
    <w:p w14:paraId="51D97469" w14:textId="77777777" w:rsidR="009543B6" w:rsidRDefault="00000000">
      <w:pPr>
        <w:pStyle w:val="Heading1"/>
      </w:pPr>
      <w:r>
        <w:t>RESEARCH METHODOLOGY</w:t>
      </w:r>
    </w:p>
    <w:p w14:paraId="1E53BCFC" w14:textId="77777777" w:rsidR="009543B6" w:rsidRDefault="009543B6"/>
    <w:p w14:paraId="0D85C50D" w14:textId="77777777" w:rsidR="009543B6" w:rsidRDefault="00000000">
      <w:pPr>
        <w:pStyle w:val="Heading2"/>
      </w:pPr>
      <w:r>
        <w:t>3.1 Introduction</w:t>
      </w:r>
    </w:p>
    <w:p w14:paraId="70A94A57" w14:textId="77777777" w:rsidR="001E06C9" w:rsidRDefault="001E06C9" w:rsidP="001E06C9">
      <w:pPr>
        <w:spacing w:after="200" w:line="360" w:lineRule="auto"/>
        <w:jc w:val="both"/>
      </w:pPr>
      <w:r>
        <w:t>This chapter describes and justifies the methodological choices by which this study examines the effects of transformational leadership on student performance in public secondary schools in Lagos State, Nigeria. Methodology is not simply a vehicle for data collection; it is the epistemological and procedural framework that allows knowledge claims to be justified or not. As Creswell and Creswell (2018) point out, methodology is not a set of technical decisions, but an expression of philosophical viewpoints about the nature of reality and the possibilities of knowing. Likewise, Scotland (2012) argues that the goodness of a research design depends on the fit between the philosophical underpinning, strategic decisions and analytic processes, as this chapter is written to demonstrate.</w:t>
      </w:r>
    </w:p>
    <w:p w14:paraId="75BD45A1" w14:textId="2995EAC3" w:rsidR="009543B6" w:rsidRDefault="001E06C9" w:rsidP="001E06C9">
      <w:pPr>
        <w:spacing w:after="200" w:line="360" w:lineRule="auto"/>
        <w:jc w:val="both"/>
      </w:pPr>
      <w:r>
        <w:t xml:space="preserve">The research questions formulated in Chapter One call for interpretive, contextual and participant-focused evidence, evidence that can explain not only the relationship between student performance and transformational leadership dimensions, but also how teachers and subject leaders in public secondary schools in Lagos State describe and understand the associations. That guides all the methodological choices in this study. As such, this chapter will defend the philosophical position taken, the reasoning strategy used, the strategic design, the time frame, the sampling approach, the data collection instrument, the data analysis procedure, </w:t>
      </w:r>
      <w:proofErr w:type="spellStart"/>
      <w:r>
        <w:t>rigour</w:t>
      </w:r>
      <w:proofErr w:type="spellEnd"/>
      <w:r>
        <w:t xml:space="preserve"> measures and ethics. Each decision is defended not as a bureaucratic nicety but as a defensible choice that prevailed in a rational selection process. The </w:t>
      </w:r>
      <w:proofErr w:type="spellStart"/>
      <w:r>
        <w:t>defence</w:t>
      </w:r>
      <w:proofErr w:type="spellEnd"/>
      <w:r>
        <w:t xml:space="preserve"> is </w:t>
      </w:r>
      <w:proofErr w:type="spellStart"/>
      <w:r>
        <w:t>organised</w:t>
      </w:r>
      <w:proofErr w:type="spellEnd"/>
      <w:r>
        <w:t xml:space="preserve"> around the research onion of Saunders, Lewis and Thornhill (2019).</w:t>
      </w:r>
    </w:p>
    <w:p w14:paraId="79253030" w14:textId="77777777" w:rsidR="009543B6" w:rsidRDefault="00000000">
      <w:pPr>
        <w:pStyle w:val="Heading2"/>
      </w:pPr>
      <w:r>
        <w:t>3.2 Research Design Framework: The Research Onion</w:t>
      </w:r>
    </w:p>
    <w:p w14:paraId="22B6A7A3" w14:textId="32010B91" w:rsidR="009543B6" w:rsidRDefault="001E06C9">
      <w:pPr>
        <w:spacing w:after="200" w:line="360" w:lineRule="auto"/>
        <w:jc w:val="both"/>
      </w:pPr>
      <w:r w:rsidRPr="001E06C9">
        <w:t xml:space="preserve">Saunders, Lewis and Thornhill (2019) liken the structure of a research design to a multi-layered onion, where the outer layers correspond to a more philosophical or strategic level of decision-making that needs to be made before the inner, more technical layers are resolved. The external </w:t>
      </w:r>
      <w:r w:rsidRPr="001E06C9">
        <w:lastRenderedPageBreak/>
        <w:t xml:space="preserve">layers - philosophy and approach - determine the nature of the knowledge being produced by the study and the reasoning processes it brings to bear on evidence. The middle layers - strategy and design - govern the </w:t>
      </w:r>
      <w:proofErr w:type="spellStart"/>
      <w:r w:rsidRPr="001E06C9">
        <w:t>organisational</w:t>
      </w:r>
      <w:proofErr w:type="spellEnd"/>
      <w:r w:rsidRPr="001E06C9">
        <w:t xml:space="preserve"> arrangements for collecting the evidence. The inner-most layers - temporal and technical - govern the actual processes of data collection and analysis. The model is not only taxonomic, it is also sequential. As Bryman (2016) notes, researchers who decide upon data collection procedures before they decide upon their philosophical stances result in designs that have "pieces [that] don't fit in the right way" (p. 52). For this study, which seeks to understand socially situated leadership practices through the lens of professional practitioners in a given institutional context, the onion is a vital guide to reasoning through each decision in the right sequence. The following sections proceed from the outer layers to the inner, as places for substantive methodological consideration rather than boxes that need to be checked.</w:t>
      </w:r>
    </w:p>
    <w:p w14:paraId="5449D7FA" w14:textId="77777777" w:rsidR="009543B6" w:rsidRDefault="00000000">
      <w:pPr>
        <w:pStyle w:val="Heading2"/>
      </w:pPr>
      <w:r>
        <w:t>3.3 Research Philosophy</w:t>
      </w:r>
    </w:p>
    <w:p w14:paraId="5F13F10D" w14:textId="77777777" w:rsidR="001E06C9" w:rsidRDefault="001E06C9" w:rsidP="001E06C9">
      <w:pPr>
        <w:spacing w:after="200" w:line="360" w:lineRule="auto"/>
        <w:jc w:val="both"/>
      </w:pPr>
      <w:r>
        <w:t>The philosophy of research is the study's assumptions about the nature of the social world (ontology) and the nature of knowledge (epistemology). These assumptions are not peripheral to the design; they shape what is seen as evidence, what questions can be asked and answered, and what claims can be made in a study. As Crotty (1998) puts it, the methodology of a study is downstream from its research philosophy, and a study that does not explicitly state its philosophy is working on the basis of assumptions that are likely to be incoherent.</w:t>
      </w:r>
    </w:p>
    <w:p w14:paraId="1B136807" w14:textId="77777777" w:rsidR="001E06C9" w:rsidRDefault="001E06C9" w:rsidP="001E06C9">
      <w:pPr>
        <w:spacing w:after="200" w:line="360" w:lineRule="auto"/>
        <w:jc w:val="both"/>
      </w:pPr>
      <w:r>
        <w:t xml:space="preserve">There are three philosophical paradigms most pertinent to educational research like this: positivism, interpretivism and critical realism. Positivism assumes that there is a social reality independent of the observer, and that there are law-like regularities that can be discovered by empirical observation and measurement (Comte 1853, in Crotty 1998). Its epistemological orientation is objectivist: what is known is valid only to the extent it is replicable, </w:t>
      </w:r>
      <w:proofErr w:type="spellStart"/>
      <w:r>
        <w:t>generalisable</w:t>
      </w:r>
      <w:proofErr w:type="spellEnd"/>
      <w:r>
        <w:t xml:space="preserve">, and causal or probabilistic relations between variables. Positivism has generated much of the survey-based research on transformational leadership and school performance (Podsakoff, MacKenzie, Lee and Podsakoff (2003) being an example of the methodological critique that has been raised against this body of research), but it cannot answer questions about what processes of interpretation are involved in the experiences, meanings, and practice of leadership </w:t>
      </w:r>
      <w:proofErr w:type="spellStart"/>
      <w:r>
        <w:t>behaviours</w:t>
      </w:r>
      <w:proofErr w:type="spellEnd"/>
      <w:r>
        <w:t xml:space="preserve"> among teachers working within particular institutional settings. A positivist approach to the present study would have yielded variable-to-variable correlations, but could not have explained why </w:t>
      </w:r>
      <w:r>
        <w:lastRenderedPageBreak/>
        <w:t>correlations vary between schools with different cultures, histories and resource profiles. Given the aim of this study, which is to explain the sense teachers and subject leaders in Lagos State make of the leadership of their principals, a positivist approach is philosophically and methodologically unsuited.</w:t>
      </w:r>
    </w:p>
    <w:p w14:paraId="528A8206" w14:textId="77777777" w:rsidR="001E06C9" w:rsidRDefault="001E06C9" w:rsidP="001E06C9">
      <w:pPr>
        <w:spacing w:after="200" w:line="360" w:lineRule="auto"/>
        <w:jc w:val="both"/>
      </w:pPr>
      <w:r>
        <w:t xml:space="preserve">Critical realism, advocated by Bhaskar (1978) and recently in education by Maxwell (2012), is a mid-point between these positions: it acknowledges that there is an "external" social reality, but also that its structures and mechanisms are often hidden and can only be inferred through interpretation. Critical realism is intellectually elegant and has been applied in studies of educational leadership, especially when researchers seek to explain mechanisms, rather than correlations. But its very strength - the explicit focus on explaining causal mechanisms at the ontological level - is a weakness in the context of a doctoral-level qualitative study. Critical realism entails a degree of theoretical development and </w:t>
      </w:r>
      <w:proofErr w:type="spellStart"/>
      <w:r>
        <w:t>retroductive</w:t>
      </w:r>
      <w:proofErr w:type="spellEnd"/>
      <w:r>
        <w:t xml:space="preserve"> analysis that, while intellectually satisfying, is hard to implement comprehensively within the analytic focus and word limit of this study. The inferential demands on the researcher, to reason from surface patterns to underlying generative mechanisms, would require a more elaborate theoretical framework than is possible with the current design, without detracting from the empirical research.</w:t>
      </w:r>
    </w:p>
    <w:p w14:paraId="26AB03D6" w14:textId="77777777" w:rsidR="001E06C9" w:rsidRDefault="001E06C9" w:rsidP="001E06C9">
      <w:pPr>
        <w:spacing w:after="200" w:line="360" w:lineRule="auto"/>
        <w:jc w:val="both"/>
      </w:pPr>
      <w:r>
        <w:t xml:space="preserve">Interpretivism, as proposed by Guba and Lincoln (1994) and developed in the context of educational research by Cohen, Manion and Morrison (2018), is a view of social reality as not an ontologically fixed structure waiting to be discovered, but as something actively constructed by the meanings that social actors bring to their experiences and relationships. Ontologically, interpretivism is relativist: different social actors, in different institutional roles and career paths, might construct different but equally valid interpretations of the same social events. Epistemologically, interpretivism is subjectivist: the researcher knows by participating in the interpretive practices of participants, not by distancing herself from them. This is not a weakness but the epistemological design that is required for a study where the research questions are aimed at understanding teachers' and subject leaders' perceptions of how their principals' leadership </w:t>
      </w:r>
      <w:proofErr w:type="spellStart"/>
      <w:r>
        <w:t>behaviours</w:t>
      </w:r>
      <w:proofErr w:type="spellEnd"/>
      <w:r>
        <w:t xml:space="preserve"> may influence student academic performance.</w:t>
      </w:r>
    </w:p>
    <w:p w14:paraId="5C146099" w14:textId="09BEF28D" w:rsidR="009543B6" w:rsidRDefault="001E06C9" w:rsidP="001E06C9">
      <w:pPr>
        <w:spacing w:after="200" w:line="360" w:lineRule="auto"/>
        <w:jc w:val="both"/>
      </w:pPr>
      <w:r>
        <w:t xml:space="preserve">There are three arguments for interpretivism in this study. First, the </w:t>
      </w:r>
      <w:proofErr w:type="spellStart"/>
      <w:r>
        <w:t>operationalisation</w:t>
      </w:r>
      <w:proofErr w:type="spellEnd"/>
      <w:r>
        <w:t xml:space="preserve"> of student academic performance - as set out in Chapter Two - in this study is not a standardised score on a test, but a qualitatively interpreted, multi-dimensional construct based on professional judgement. </w:t>
      </w:r>
      <w:r>
        <w:lastRenderedPageBreak/>
        <w:t xml:space="preserve">This is itself interpretivist, as this </w:t>
      </w:r>
      <w:proofErr w:type="spellStart"/>
      <w:r>
        <w:t>conceptualisation</w:t>
      </w:r>
      <w:proofErr w:type="spellEnd"/>
      <w:r>
        <w:t xml:space="preserve"> treats performance as a meaningful construct rather than an objective outcome variable. Second, the four transformational leadership dimensions - </w:t>
      </w:r>
      <w:proofErr w:type="spellStart"/>
      <w:r>
        <w:t>idealised</w:t>
      </w:r>
      <w:proofErr w:type="spellEnd"/>
      <w:r>
        <w:t xml:space="preserve"> influence, inspirational motivation, intellectual stimulation and </w:t>
      </w:r>
      <w:proofErr w:type="spellStart"/>
      <w:r>
        <w:t>individualised</w:t>
      </w:r>
      <w:proofErr w:type="spellEnd"/>
      <w:r>
        <w:t xml:space="preserve"> consideration - are interpersonal and perceptual phenomena. Their influence on school performance is thought to be mediated by teacher trust, professional efficacy, collective climate and </w:t>
      </w:r>
      <w:proofErr w:type="spellStart"/>
      <w:r>
        <w:t>organisational</w:t>
      </w:r>
      <w:proofErr w:type="spellEnd"/>
      <w:r>
        <w:t xml:space="preserve"> learning: all socially constructed phenomena that cannot be readily measured with standardised instruments in a context where the cross-cultural validity of the Multifactor Leadership Questionnaire (MLQ) has yet to be verified (Antonakis, </w:t>
      </w:r>
      <w:proofErr w:type="spellStart"/>
      <w:r>
        <w:t>Bastardoz</w:t>
      </w:r>
      <w:proofErr w:type="spellEnd"/>
      <w:r>
        <w:t xml:space="preserve">, Jacquart and Shamir 2016). Third, the institutional context - public secondary schools in Lagos State - is resource-poor, politically unstable and has professional conditions that vary from the school systems in which transformational leadership research has been undertaken. Interpretivism does not transfer assumptions from those contexts; it creates local knowledge from the context of Lagos State schools. The drawback of interpretivism - namely, that its insights can neither be statistically </w:t>
      </w:r>
      <w:proofErr w:type="spellStart"/>
      <w:r>
        <w:t>generalised</w:t>
      </w:r>
      <w:proofErr w:type="spellEnd"/>
      <w:r>
        <w:t xml:space="preserve"> to all schools in Lagos State - is </w:t>
      </w:r>
      <w:proofErr w:type="spellStart"/>
      <w:r>
        <w:t>recognised</w:t>
      </w:r>
      <w:proofErr w:type="spellEnd"/>
      <w:r>
        <w:t xml:space="preserve">. The purpose of the study is not to derive </w:t>
      </w:r>
      <w:proofErr w:type="spellStart"/>
      <w:r>
        <w:t>generalisable</w:t>
      </w:r>
      <w:proofErr w:type="spellEnd"/>
      <w:r>
        <w:t xml:space="preserve"> causal laws; it is to yield analytically transferable insights (Lincoln and Guba 1985) about how transformational leadership is perceived to affect academic performance, which should inform theory and practice in a contextually similar environment.</w:t>
      </w:r>
    </w:p>
    <w:p w14:paraId="14CAB5BC" w14:textId="77777777" w:rsidR="009543B6" w:rsidRDefault="00000000">
      <w:pPr>
        <w:pStyle w:val="Heading2"/>
      </w:pPr>
      <w:r>
        <w:t>3.4 Research Approach</w:t>
      </w:r>
    </w:p>
    <w:p w14:paraId="186D14AE" w14:textId="77777777" w:rsidR="001E06C9" w:rsidRDefault="001E06C9" w:rsidP="001E06C9">
      <w:pPr>
        <w:spacing w:after="200" w:line="360" w:lineRule="auto"/>
        <w:jc w:val="both"/>
      </w:pPr>
      <w:r>
        <w:t xml:space="preserve">Research approach refers to the nature of the inference that connects a study to theory and data. There are three major approaches: deductive, inductive and abductive. A deductive approach starts with a theory, from which specific hypotheses or propositions are derived for empirical testing in the hope of confirming or rejecting the theory (Bryman 2016). It is suitable when theory is sufficiently advanced to inform hypotheses and when the population and measurement instruments are able to collect the sort of standardised, comparable data needed for hypothesis testing. An inductive approach, by contrast, begins with empirical data and attempts to generate theory from the data: theoretical categories are constructed from the data without reference to existing theory (Thomas 2006). Induction is appropriate where theory is not sufficiently developed and where the goal is to generate new concepts to explain the phenomenon of interest. An abductive approach, as articulated by Peirce (1903, cited in </w:t>
      </w:r>
      <w:proofErr w:type="spellStart"/>
      <w:r>
        <w:t>Patokorpi</w:t>
      </w:r>
      <w:proofErr w:type="spellEnd"/>
      <w:r>
        <w:t xml:space="preserve"> and </w:t>
      </w:r>
      <w:proofErr w:type="spellStart"/>
      <w:r>
        <w:t>Ahvenainen</w:t>
      </w:r>
      <w:proofErr w:type="spellEnd"/>
      <w:r>
        <w:t xml:space="preserve"> 2009) and more recently by </w:t>
      </w:r>
      <w:proofErr w:type="spellStart"/>
      <w:r>
        <w:t>Tavory</w:t>
      </w:r>
      <w:proofErr w:type="spellEnd"/>
      <w:r>
        <w:t xml:space="preserve"> and Timmermans (2014), moves both forward and backward: the researcher starts out with </w:t>
      </w:r>
      <w:r>
        <w:lastRenderedPageBreak/>
        <w:t>an existing theory but holds it lightly, letting the data speak back, sometimes in ways that challenge, alter or expand the theory. Abduction is the inferential logic of choice when the aim is to explore the transferability of existing theory to a new context while also allowing for data that are not predicted by theory.</w:t>
      </w:r>
    </w:p>
    <w:p w14:paraId="2BBF1E8B" w14:textId="77777777" w:rsidR="001E06C9" w:rsidRDefault="001E06C9" w:rsidP="001E06C9">
      <w:pPr>
        <w:spacing w:after="200" w:line="360" w:lineRule="auto"/>
        <w:jc w:val="both"/>
      </w:pPr>
      <w:r>
        <w:t xml:space="preserve">The current study uses an abductive approach. There are three reasons for this. First, the study has a significant starting point in the theory developed in Chapter Two: Bass and Avolio's (1994) four-dimensional transformational leadership theory, complemented by social exchange theory and </w:t>
      </w:r>
      <w:proofErr w:type="spellStart"/>
      <w:r>
        <w:t>organisational</w:t>
      </w:r>
      <w:proofErr w:type="spellEnd"/>
      <w:r>
        <w:t xml:space="preserve"> learning theory, envisages the kinds of mechanisms and experiences teachers might report. The study does not go in "naively". Second, however, the study is being carried out in a context - public secondary schools in Lagos State - in which there has been very little empirical work on transformational leadership (Hallinger 2018, Owan and </w:t>
      </w:r>
      <w:proofErr w:type="spellStart"/>
      <w:r>
        <w:t>Agunwa</w:t>
      </w:r>
      <w:proofErr w:type="spellEnd"/>
      <w:r>
        <w:t xml:space="preserve"> 2019), so there is no expectation that the theory will predict participant responses with perfect accuracy. Guba and Lincoln (1994) warn against the possibility of "theoretical imperialism" imposing preconceived theoretical categories on data that may not fit into them, which could be the case if a purely deductive approach were taken. Third, the study is not about confirming that transformational leadership dimensions predict performance (an aim that survey studies have already taken, with the mixed results that are reported in Chapter Two), but rather about understanding how the dimensions are experienced, understood, and believed to make a difference in the institutional context of schools in Lagos State. This requires a logic of reasoning that respects the conceptual starting point as well as the openness of the qualitative approach. Abduction allows precisely that: it allows the researcher to oscillate between the established framework and the narratives of participants, generating knowledge that is theoretically </w:t>
      </w:r>
      <w:proofErr w:type="spellStart"/>
      <w:r>
        <w:t>contextualised</w:t>
      </w:r>
      <w:proofErr w:type="spellEnd"/>
      <w:r>
        <w:t xml:space="preserve"> but contextually sensitive. An inductive approach alone would squander the explanatory power of the theoretical framework, while a deductive approach alone would impose the resources of the framework on a context for which they were not meant.</w:t>
      </w:r>
    </w:p>
    <w:p w14:paraId="14E2B771" w14:textId="5E039156" w:rsidR="009543B6" w:rsidRDefault="001E06C9" w:rsidP="001E06C9">
      <w:pPr>
        <w:spacing w:after="200" w:line="360" w:lineRule="auto"/>
        <w:jc w:val="both"/>
      </w:pPr>
      <w:r>
        <w:t>The abductive approach is in line with the interpretivist approach espoused in Section 3.3 and the multiple case study design that follows. It's also consistent with the work of Merriam and Tisdell (2016), who suggest that qualitative research in education is usually an interaction between "fixed" conceptual frameworks and "emergent" data and that the academic quality of such research depends upon the integrity of that interaction, not its suppression.</w:t>
      </w:r>
    </w:p>
    <w:p w14:paraId="58A42159" w14:textId="77777777" w:rsidR="009543B6" w:rsidRDefault="00000000">
      <w:pPr>
        <w:pStyle w:val="Heading2"/>
      </w:pPr>
      <w:r>
        <w:lastRenderedPageBreak/>
        <w:t>3.5 Research Strategy and Methodological Design</w:t>
      </w:r>
    </w:p>
    <w:p w14:paraId="2BA02F1F" w14:textId="77777777" w:rsidR="009543B6" w:rsidRDefault="00000000">
      <w:pPr>
        <w:pStyle w:val="Heading3"/>
      </w:pPr>
      <w:r>
        <w:t>3.5.1 Research Strategy: Multiple Case Study</w:t>
      </w:r>
    </w:p>
    <w:p w14:paraId="53F77326" w14:textId="77777777" w:rsidR="001E06C9" w:rsidRDefault="001E06C9" w:rsidP="001E06C9">
      <w:pPr>
        <w:spacing w:after="200" w:line="360" w:lineRule="auto"/>
        <w:jc w:val="both"/>
      </w:pPr>
      <w:r>
        <w:t>A qualitative multiple case study, where the cases are three public secondary schools in Lagos State, is the research strategy chosen for this study. The case study is, according to Yin (2018), an empirical inquiry that examines a contemporary phenomenon in its natural context, especially when the boundaries between phenomenon and context are not clearly evident. That is an apt definition of the problem this study seeks to understand: transformational leadership in public secondary schools in Lagos State is not a disembodied phenomenon that exists independently of the context of public secondary schools in Lagos State, and can be removed from that context for study in a laboratory setting. It is not only constituted by, but also constitutes, the particular professional networks, governance arrangements, resource settings and cultural settings in the schools. A research strategy that extracts leadership from its historical context (such as a quasi-experimental design) would address a different question to this study.</w:t>
      </w:r>
    </w:p>
    <w:p w14:paraId="57095172" w14:textId="77777777" w:rsidR="001E06C9" w:rsidRDefault="001E06C9" w:rsidP="001E06C9">
      <w:pPr>
        <w:spacing w:after="200" w:line="360" w:lineRule="auto"/>
        <w:jc w:val="both"/>
      </w:pPr>
      <w:r>
        <w:t xml:space="preserve">The use of multiple (as opposed to single) cases is justified on analytic grounds. Yin (2018) suggests that multiple case studies are superior to single cases in terms of analytical </w:t>
      </w:r>
      <w:proofErr w:type="spellStart"/>
      <w:r>
        <w:t>generalisation</w:t>
      </w:r>
      <w:proofErr w:type="spellEnd"/>
      <w:r>
        <w:t xml:space="preserve">, as the researcher can look for the phenomenon under investigation in other cases, and if it is not there, to explain why not, in terms of institutional or contextual differences. The current study carefully selected schools from different locations in Lagos State to ensure variation in school scale, resource endowments and community background. The hope is not that the three schools will yield identical results (that would mean we have qualified for homogeneity rather than analytical </w:t>
      </w:r>
      <w:proofErr w:type="spellStart"/>
      <w:r>
        <w:t>generalisation</w:t>
      </w:r>
      <w:proofErr w:type="spellEnd"/>
      <w:r>
        <w:t>), but that the analysis of the multiple cases will highlight which aspects of transformational leadership are of consistent importance across different institutional settings, and which are less so. Stake (2005) calls this a collective case study strategy: not sampling to draw inferences to a population but to learn more about the phenomenon by capturing its variability across contexts.</w:t>
      </w:r>
    </w:p>
    <w:p w14:paraId="1B8657AF" w14:textId="77777777" w:rsidR="001E06C9" w:rsidRDefault="001E06C9" w:rsidP="001E06C9">
      <w:pPr>
        <w:spacing w:after="200" w:line="360" w:lineRule="auto"/>
        <w:jc w:val="both"/>
      </w:pPr>
      <w:r>
        <w:t xml:space="preserve">The case study approach is also justified by the use of documentary sources. This study uses semi-structured interviews supplemented by school performance data, internal school policy documents and other sources of data, where available. The triangulation of interview data and school documents, in accordance with the principle of methodological triangulation as described by Patton (2015), adds credibility to interpretations by examining the consistency between </w:t>
      </w:r>
      <w:r>
        <w:lastRenderedPageBreak/>
        <w:t xml:space="preserve">participants' claims about the impact of leadership on school performance and in-school documents. This represents a significant improvement upon the mono-method studies Owan and </w:t>
      </w:r>
      <w:proofErr w:type="spellStart"/>
      <w:r>
        <w:t>Agunwa</w:t>
      </w:r>
      <w:proofErr w:type="spellEnd"/>
      <w:r>
        <w:t xml:space="preserve"> (2019) lament as the main weakness of the body of literature on educational leadership in Nigeria.</w:t>
      </w:r>
    </w:p>
    <w:p w14:paraId="381BC337" w14:textId="0BDEA32D" w:rsidR="009543B6" w:rsidRDefault="001E06C9" w:rsidP="001E06C9">
      <w:pPr>
        <w:spacing w:after="200" w:line="360" w:lineRule="auto"/>
        <w:jc w:val="both"/>
      </w:pPr>
      <w:r>
        <w:t xml:space="preserve">Two alternative designs to the case study strategy are rejected here. A survey strategy, involving questionnaire data collection from a large number of schools in Lagos State, would result in data that could be </w:t>
      </w:r>
      <w:proofErr w:type="spellStart"/>
      <w:r>
        <w:t>analysed</w:t>
      </w:r>
      <w:proofErr w:type="spellEnd"/>
      <w:r>
        <w:t xml:space="preserve"> using correlation and regression, allowing claims about the statistical relationship between leadership dimensions and performance variables. But it would reproduce the problems exposed in Chapter Two: the cross-sectional nature of self-reported data inflated by common method variance (Podsakoff et al. 2003), the lack of context to explain correlations and the lack of insight into how leadership </w:t>
      </w:r>
      <w:proofErr w:type="spellStart"/>
      <w:r>
        <w:t>behaviours</w:t>
      </w:r>
      <w:proofErr w:type="spellEnd"/>
      <w:r>
        <w:t xml:space="preserve"> are interpreted and rendered, and the reliance on the MLQ in a population for which its cultural fit is not proven. A phenomenological strategy would yield richly interpreted descriptions of teachers' subjective experiences of leadership, which is valuable in its own right, but it would lose the cross-case analysis that is critical to this study. The multiple case study strategy obviates both: it preserves contextual and interpretive specificity while allowing for systematic comparison of institutional cases.</w:t>
      </w:r>
    </w:p>
    <w:p w14:paraId="1C1CE262" w14:textId="77777777" w:rsidR="009543B6" w:rsidRDefault="00000000">
      <w:pPr>
        <w:pStyle w:val="Heading3"/>
      </w:pPr>
      <w:r>
        <w:t>3.5.2 Data Sources</w:t>
      </w:r>
    </w:p>
    <w:p w14:paraId="1B25956E" w14:textId="3B707C5C" w:rsidR="009543B6" w:rsidRDefault="001E06C9">
      <w:pPr>
        <w:spacing w:after="200" w:line="360" w:lineRule="auto"/>
        <w:jc w:val="both"/>
      </w:pPr>
      <w:r w:rsidRPr="001E06C9">
        <w:t>This research employs two primary data sources. First is semi-structured interviews with teachers and subject/department heads in the three case schools, the main source of evidence on perceptions of leadership dimensions and their impact on student performance. The second is document evidence (e.g., school performance, policy documents, and where available, demographic data) not used as a primary explanatory data source, but rather as a triangulating source to test and cross-check interview evidence. No secondary data analysis of external data is undertaken because there is no data set for the population and variables of interest in Lagos State. Consequently, primary data collection is not conventional but necessary.</w:t>
      </w:r>
    </w:p>
    <w:p w14:paraId="0BE26FE9" w14:textId="77777777" w:rsidR="009543B6" w:rsidRDefault="00000000">
      <w:pPr>
        <w:pStyle w:val="Heading2"/>
      </w:pPr>
      <w:r>
        <w:t>3.6 Time Horizon</w:t>
      </w:r>
    </w:p>
    <w:p w14:paraId="5908EC80" w14:textId="77777777" w:rsidR="001E06C9" w:rsidRDefault="001E06C9" w:rsidP="001E06C9">
      <w:pPr>
        <w:spacing w:after="200" w:line="360" w:lineRule="auto"/>
        <w:jc w:val="both"/>
      </w:pPr>
      <w:r>
        <w:t xml:space="preserve">The time horizon of a study can either be cross-sectional (data collected at one point in time) or longitudinal (data collected over an extended period at several points in time) (Saunders, Lewis and Thornhill 2019). A longitudinal design is appropriate if the research question seeks to capture </w:t>
      </w:r>
      <w:r>
        <w:lastRenderedPageBreak/>
        <w:t xml:space="preserve">change over time - for instance, if it examines whether changes in principal leadership styles are associated with changes in teachers' </w:t>
      </w:r>
      <w:proofErr w:type="spellStart"/>
      <w:r>
        <w:t>behaviours</w:t>
      </w:r>
      <w:proofErr w:type="spellEnd"/>
      <w:r>
        <w:t xml:space="preserve"> and/or student academic performance. But a cross-sectional design is suitable for the current study. The study questions seek to understand teachers' and subject leaders' perceptions of the association between the transformational leadership </w:t>
      </w:r>
      <w:proofErr w:type="spellStart"/>
      <w:r>
        <w:t>behaviours</w:t>
      </w:r>
      <w:proofErr w:type="spellEnd"/>
      <w:r>
        <w:t xml:space="preserve"> of their principals and their students' academic performance. They don't require the researcher to track how these perceptions are changing or to observe leadership </w:t>
      </w:r>
      <w:proofErr w:type="spellStart"/>
      <w:r>
        <w:t>behaviours</w:t>
      </w:r>
      <w:proofErr w:type="spellEnd"/>
      <w:r>
        <w:t xml:space="preserve"> over several terms. Longitudinal research would be based on sustained fieldwork in three schools over a year or more, which is impractical in the time and funding available for this </w:t>
      </w:r>
      <w:proofErr w:type="spellStart"/>
      <w:r>
        <w:t>MRes</w:t>
      </w:r>
      <w:proofErr w:type="spellEnd"/>
      <w:r>
        <w:t xml:space="preserve"> dissertation, and unnecessary to address the particular interpretative inquiries of this study. The drawback of this approach - that perceptions are observed at a snapshot in time and cannot be evaluated in terms of their evolution - is </w:t>
      </w:r>
      <w:proofErr w:type="spellStart"/>
      <w:r>
        <w:t>recognised</w:t>
      </w:r>
      <w:proofErr w:type="spellEnd"/>
      <w:r>
        <w:t>. It is offset by the retrospective element of the interviews, where participants are asked to reflect on their leadership experiences over their time at the school, thus offering a temporal dimension to the cross-sectional design.</w:t>
      </w:r>
    </w:p>
    <w:p w14:paraId="5EFE1EE3" w14:textId="4665C2B1" w:rsidR="009543B6" w:rsidRDefault="001E06C9" w:rsidP="001E06C9">
      <w:pPr>
        <w:spacing w:after="200" w:line="360" w:lineRule="auto"/>
        <w:jc w:val="both"/>
      </w:pPr>
      <w:r>
        <w:t>The dissertation was scheduled over 24 weeks to allow for sufficient time to be spent on each stage of the research and to complete the analyses. The table below outlines the project's phasing.</w:t>
      </w:r>
    </w:p>
    <w:p w14:paraId="55F3E2F3" w14:textId="77777777" w:rsidR="009543B6" w:rsidRDefault="00000000">
      <w:pPr>
        <w:spacing w:before="200" w:after="120"/>
        <w:jc w:val="both"/>
        <w:rPr>
          <w:b/>
          <w:bCs/>
          <w:i/>
          <w:iCs/>
        </w:rPr>
      </w:pPr>
      <w:r>
        <w:rPr>
          <w:b/>
          <w:bCs/>
          <w:i/>
          <w:iCs/>
        </w:rPr>
        <w:t>Figure 3.1: 24-Week Project Gantt Chart — The Impact of Transformational Leadership on Student Academic Performance in Public Secondary Schools in Lagos State, Nigeria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0"/>
        <w:gridCol w:w="595"/>
        <w:gridCol w:w="595"/>
        <w:gridCol w:w="595"/>
        <w:gridCol w:w="595"/>
        <w:gridCol w:w="595"/>
        <w:gridCol w:w="595"/>
        <w:gridCol w:w="595"/>
        <w:gridCol w:w="595"/>
        <w:gridCol w:w="595"/>
        <w:gridCol w:w="595"/>
        <w:gridCol w:w="595"/>
        <w:gridCol w:w="595"/>
      </w:tblGrid>
      <w:tr w:rsidR="009543B6" w14:paraId="1540E86D"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0856611E" w14:textId="77777777" w:rsidR="009543B6" w:rsidRDefault="00000000">
            <w:r>
              <w:rPr>
                <w:b/>
                <w:bCs/>
                <w:color w:val="FFFFFF"/>
                <w:sz w:val="18"/>
                <w:szCs w:val="18"/>
              </w:rPr>
              <w:t>Phase / Week</w:t>
            </w: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74D87165" w14:textId="77777777" w:rsidR="009543B6" w:rsidRDefault="00000000">
            <w:pPr>
              <w:jc w:val="center"/>
            </w:pPr>
            <w:r>
              <w:rPr>
                <w:b/>
                <w:bCs/>
                <w:color w:val="FFFFFF"/>
                <w:sz w:val="18"/>
                <w:szCs w:val="18"/>
              </w:rPr>
              <w:t>1–2</w:t>
            </w: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2E83240E" w14:textId="77777777" w:rsidR="009543B6" w:rsidRDefault="00000000">
            <w:pPr>
              <w:jc w:val="center"/>
            </w:pPr>
            <w:r>
              <w:rPr>
                <w:b/>
                <w:bCs/>
                <w:color w:val="FFFFFF"/>
                <w:sz w:val="18"/>
                <w:szCs w:val="18"/>
              </w:rPr>
              <w:t>3–4</w:t>
            </w: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780B0A5E" w14:textId="77777777" w:rsidR="009543B6" w:rsidRDefault="00000000">
            <w:pPr>
              <w:jc w:val="center"/>
            </w:pPr>
            <w:r>
              <w:rPr>
                <w:b/>
                <w:bCs/>
                <w:color w:val="FFFFFF"/>
                <w:sz w:val="18"/>
                <w:szCs w:val="18"/>
              </w:rPr>
              <w:t>5–6</w:t>
            </w: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5A99BDD2" w14:textId="77777777" w:rsidR="009543B6" w:rsidRDefault="00000000">
            <w:pPr>
              <w:jc w:val="center"/>
            </w:pPr>
            <w:r>
              <w:rPr>
                <w:b/>
                <w:bCs/>
                <w:color w:val="FFFFFF"/>
                <w:sz w:val="18"/>
                <w:szCs w:val="18"/>
              </w:rPr>
              <w:t>7–8</w:t>
            </w: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5713FCED" w14:textId="77777777" w:rsidR="009543B6" w:rsidRDefault="00000000">
            <w:pPr>
              <w:jc w:val="center"/>
            </w:pPr>
            <w:r>
              <w:rPr>
                <w:b/>
                <w:bCs/>
                <w:color w:val="FFFFFF"/>
                <w:sz w:val="18"/>
                <w:szCs w:val="18"/>
              </w:rPr>
              <w:t>9–10</w:t>
            </w: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34DAEF8F" w14:textId="77777777" w:rsidR="009543B6" w:rsidRDefault="00000000">
            <w:pPr>
              <w:jc w:val="center"/>
            </w:pPr>
            <w:r>
              <w:rPr>
                <w:b/>
                <w:bCs/>
                <w:color w:val="FFFFFF"/>
                <w:sz w:val="18"/>
                <w:szCs w:val="18"/>
              </w:rPr>
              <w:t>11–12</w:t>
            </w: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4E250429" w14:textId="77777777" w:rsidR="009543B6" w:rsidRDefault="00000000">
            <w:pPr>
              <w:jc w:val="center"/>
            </w:pPr>
            <w:r>
              <w:rPr>
                <w:b/>
                <w:bCs/>
                <w:color w:val="FFFFFF"/>
                <w:sz w:val="18"/>
                <w:szCs w:val="18"/>
              </w:rPr>
              <w:t>13–14</w:t>
            </w: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7D1D701C" w14:textId="77777777" w:rsidR="009543B6" w:rsidRDefault="00000000">
            <w:pPr>
              <w:jc w:val="center"/>
            </w:pPr>
            <w:r>
              <w:rPr>
                <w:b/>
                <w:bCs/>
                <w:color w:val="FFFFFF"/>
                <w:sz w:val="18"/>
                <w:szCs w:val="18"/>
              </w:rPr>
              <w:t>15–16</w:t>
            </w: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6D62CC7E" w14:textId="77777777" w:rsidR="009543B6" w:rsidRDefault="00000000">
            <w:pPr>
              <w:jc w:val="center"/>
            </w:pPr>
            <w:r>
              <w:rPr>
                <w:b/>
                <w:bCs/>
                <w:color w:val="FFFFFF"/>
                <w:sz w:val="18"/>
                <w:szCs w:val="18"/>
              </w:rPr>
              <w:t>17–18</w:t>
            </w: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024BF464" w14:textId="77777777" w:rsidR="009543B6" w:rsidRDefault="00000000">
            <w:pPr>
              <w:jc w:val="center"/>
            </w:pPr>
            <w:r>
              <w:rPr>
                <w:b/>
                <w:bCs/>
                <w:color w:val="FFFFFF"/>
                <w:sz w:val="18"/>
                <w:szCs w:val="18"/>
              </w:rPr>
              <w:t>19–20</w:t>
            </w: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36EB421F" w14:textId="77777777" w:rsidR="009543B6" w:rsidRDefault="00000000">
            <w:pPr>
              <w:jc w:val="center"/>
            </w:pPr>
            <w:r>
              <w:rPr>
                <w:b/>
                <w:bCs/>
                <w:color w:val="FFFFFF"/>
                <w:sz w:val="18"/>
                <w:szCs w:val="18"/>
              </w:rPr>
              <w:t>21–22</w:t>
            </w: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7A547607" w14:textId="77777777" w:rsidR="009543B6" w:rsidRDefault="00000000">
            <w:pPr>
              <w:jc w:val="center"/>
            </w:pPr>
            <w:r>
              <w:rPr>
                <w:b/>
                <w:bCs/>
                <w:color w:val="FFFFFF"/>
                <w:sz w:val="18"/>
                <w:szCs w:val="18"/>
              </w:rPr>
              <w:t>23–24</w:t>
            </w:r>
          </w:p>
        </w:tc>
      </w:tr>
      <w:tr w:rsidR="009543B6" w14:paraId="7D78DBD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76215711" w14:textId="77777777" w:rsidR="009543B6" w:rsidRDefault="00000000">
            <w:r>
              <w:rPr>
                <w:b/>
                <w:bCs/>
                <w:color w:val="000000"/>
                <w:sz w:val="20"/>
                <w:szCs w:val="20"/>
              </w:rPr>
              <w:t>Literature Review</w:t>
            </w: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78160D3A" w14:textId="77777777" w:rsidR="009543B6" w:rsidRDefault="00000000">
            <w:pPr>
              <w:jc w:val="center"/>
            </w:pPr>
            <w:r>
              <w:rPr>
                <w:color w:val="FFFFFF"/>
                <w:sz w:val="20"/>
                <w:szCs w:val="20"/>
              </w:rPr>
              <w:t>●</w:t>
            </w: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01065333" w14:textId="77777777" w:rsidR="009543B6" w:rsidRDefault="00000000">
            <w:pPr>
              <w:jc w:val="center"/>
            </w:pPr>
            <w:r>
              <w:rPr>
                <w:color w:val="FFFFFF"/>
                <w:sz w:val="20"/>
                <w:szCs w:val="20"/>
              </w:rPr>
              <w:t>●</w:t>
            </w: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6AB27902" w14:textId="77777777" w:rsidR="009543B6" w:rsidRDefault="00000000">
            <w:pPr>
              <w:jc w:val="center"/>
            </w:pPr>
            <w:r>
              <w:rPr>
                <w:color w:val="FFFFFF"/>
                <w:sz w:val="20"/>
                <w:szCs w:val="20"/>
              </w:rPr>
              <w:t>●</w:t>
            </w: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5BD92562"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347BF5DF"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12943A9D"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5B996144"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26354B71"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659BEA71"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297DDA54"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5C2D83DC"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5928635D" w14:textId="77777777" w:rsidR="009543B6" w:rsidRDefault="009543B6">
            <w:pPr>
              <w:jc w:val="center"/>
            </w:pPr>
          </w:p>
        </w:tc>
      </w:tr>
      <w:tr w:rsidR="009543B6" w14:paraId="62EE26F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2095FCDB" w14:textId="77777777" w:rsidR="009543B6" w:rsidRDefault="00000000">
            <w:r>
              <w:rPr>
                <w:b/>
                <w:bCs/>
                <w:color w:val="000000"/>
                <w:sz w:val="20"/>
                <w:szCs w:val="20"/>
              </w:rPr>
              <w:t>Instrument Design</w:t>
            </w: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351210E3"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111E9834"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5DC1BE28" w14:textId="77777777" w:rsidR="009543B6" w:rsidRDefault="00000000">
            <w:pPr>
              <w:jc w:val="center"/>
            </w:pPr>
            <w:r>
              <w:rPr>
                <w:color w:val="FFFFFF"/>
                <w:sz w:val="20"/>
                <w:szCs w:val="20"/>
              </w:rPr>
              <w:t>●</w:t>
            </w: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6CA8F85E" w14:textId="77777777" w:rsidR="009543B6" w:rsidRDefault="00000000">
            <w:pPr>
              <w:jc w:val="center"/>
            </w:pPr>
            <w:r>
              <w:rPr>
                <w:color w:val="FFFFFF"/>
                <w:sz w:val="20"/>
                <w:szCs w:val="20"/>
              </w:rPr>
              <w:t>●</w:t>
            </w: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294D274F"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0FE9D09A"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17F461B0"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15546A31"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627A97B1"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141A3C7E"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4D8F636C"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10E6022D" w14:textId="77777777" w:rsidR="009543B6" w:rsidRDefault="009543B6">
            <w:pPr>
              <w:jc w:val="center"/>
            </w:pPr>
          </w:p>
        </w:tc>
      </w:tr>
      <w:tr w:rsidR="009543B6" w14:paraId="4180D9D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655937BA" w14:textId="77777777" w:rsidR="009543B6" w:rsidRDefault="00000000">
            <w:r>
              <w:rPr>
                <w:b/>
                <w:bCs/>
                <w:color w:val="000000"/>
                <w:sz w:val="20"/>
                <w:szCs w:val="20"/>
              </w:rPr>
              <w:t>Ethics Submission &amp; Approval</w:t>
            </w: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2ABBD9A6"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0399918C"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35714BFA"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567C7E6D" w14:textId="77777777" w:rsidR="009543B6" w:rsidRDefault="00000000">
            <w:pPr>
              <w:jc w:val="center"/>
            </w:pPr>
            <w:r>
              <w:rPr>
                <w:color w:val="FFFFFF"/>
                <w:sz w:val="20"/>
                <w:szCs w:val="20"/>
              </w:rPr>
              <w:t>●</w:t>
            </w: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010AF5D1" w14:textId="77777777" w:rsidR="009543B6" w:rsidRDefault="00000000">
            <w:pPr>
              <w:jc w:val="center"/>
            </w:pPr>
            <w:r>
              <w:rPr>
                <w:color w:val="FFFFFF"/>
                <w:sz w:val="20"/>
                <w:szCs w:val="20"/>
              </w:rPr>
              <w:t>●</w:t>
            </w: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1C84FAB7"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34930344"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06F1234F"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6BE43020"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2C173A71"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1229D832"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6A57B327" w14:textId="77777777" w:rsidR="009543B6" w:rsidRDefault="009543B6">
            <w:pPr>
              <w:jc w:val="center"/>
            </w:pPr>
          </w:p>
        </w:tc>
      </w:tr>
      <w:tr w:rsidR="009543B6" w14:paraId="71C3620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07315AC2" w14:textId="77777777" w:rsidR="009543B6" w:rsidRDefault="00000000">
            <w:r>
              <w:rPr>
                <w:b/>
                <w:bCs/>
                <w:color w:val="000000"/>
                <w:sz w:val="20"/>
                <w:szCs w:val="20"/>
              </w:rPr>
              <w:t>Gatekeeper Access &amp; Recruitment</w:t>
            </w: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0B73758F"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6771A173"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0D4BA2F4"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29B72CE1"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73417D17" w14:textId="77777777" w:rsidR="009543B6" w:rsidRDefault="00000000">
            <w:pPr>
              <w:jc w:val="center"/>
            </w:pPr>
            <w:r>
              <w:rPr>
                <w:color w:val="FFFFFF"/>
                <w:sz w:val="20"/>
                <w:szCs w:val="20"/>
              </w:rPr>
              <w:t>●</w:t>
            </w: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3268D4E4" w14:textId="77777777" w:rsidR="009543B6" w:rsidRDefault="00000000">
            <w:pPr>
              <w:jc w:val="center"/>
            </w:pPr>
            <w:r>
              <w:rPr>
                <w:color w:val="FFFFFF"/>
                <w:sz w:val="20"/>
                <w:szCs w:val="20"/>
              </w:rPr>
              <w:t>●</w:t>
            </w: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7ABBFA47"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187D72A0"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1FA32F48"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525997C0"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521F7C3D"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1CEE01AF" w14:textId="77777777" w:rsidR="009543B6" w:rsidRDefault="009543B6">
            <w:pPr>
              <w:jc w:val="center"/>
            </w:pPr>
          </w:p>
        </w:tc>
      </w:tr>
      <w:tr w:rsidR="009543B6" w14:paraId="226BE71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6F947D02" w14:textId="77777777" w:rsidR="009543B6" w:rsidRDefault="00000000">
            <w:r>
              <w:rPr>
                <w:b/>
                <w:bCs/>
                <w:color w:val="000000"/>
                <w:sz w:val="20"/>
                <w:szCs w:val="20"/>
              </w:rPr>
              <w:t>Data Collection (Interviews)</w:t>
            </w: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2E8CA73F"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64F8D68E"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394BE80B"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3011BB66"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334F03E2"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7954C80B" w14:textId="77777777" w:rsidR="009543B6" w:rsidRDefault="00000000">
            <w:pPr>
              <w:jc w:val="center"/>
            </w:pPr>
            <w:r>
              <w:rPr>
                <w:color w:val="FFFFFF"/>
                <w:sz w:val="20"/>
                <w:szCs w:val="20"/>
              </w:rPr>
              <w:t>●</w:t>
            </w: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448B511F" w14:textId="77777777" w:rsidR="009543B6" w:rsidRDefault="00000000">
            <w:pPr>
              <w:jc w:val="center"/>
            </w:pPr>
            <w:r>
              <w:rPr>
                <w:color w:val="FFFFFF"/>
                <w:sz w:val="20"/>
                <w:szCs w:val="20"/>
              </w:rPr>
              <w:t>●</w:t>
            </w: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2FB3E74F"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23BD7B65"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3733A649"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537F1B21"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4E40AE4F" w14:textId="77777777" w:rsidR="009543B6" w:rsidRDefault="009543B6">
            <w:pPr>
              <w:jc w:val="center"/>
            </w:pPr>
          </w:p>
        </w:tc>
      </w:tr>
      <w:tr w:rsidR="009543B6" w14:paraId="78BAC8B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208C2CE7" w14:textId="77777777" w:rsidR="009543B6" w:rsidRDefault="00000000">
            <w:r>
              <w:rPr>
                <w:b/>
                <w:bCs/>
                <w:color w:val="000000"/>
                <w:sz w:val="20"/>
                <w:szCs w:val="20"/>
              </w:rPr>
              <w:t>Transcription &amp; NVivo Coding</w:t>
            </w: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3CA35676"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6138BDB7"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58D2EEF2"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2F258F1C"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4EEFECCE"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655C6730"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24EF79CD" w14:textId="77777777" w:rsidR="009543B6" w:rsidRDefault="00000000">
            <w:pPr>
              <w:jc w:val="center"/>
            </w:pPr>
            <w:r>
              <w:rPr>
                <w:color w:val="FFFFFF"/>
                <w:sz w:val="20"/>
                <w:szCs w:val="20"/>
              </w:rPr>
              <w:t>●</w:t>
            </w: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12206D64" w14:textId="77777777" w:rsidR="009543B6" w:rsidRDefault="00000000">
            <w:pPr>
              <w:jc w:val="center"/>
            </w:pPr>
            <w:r>
              <w:rPr>
                <w:color w:val="FFFFFF"/>
                <w:sz w:val="20"/>
                <w:szCs w:val="20"/>
              </w:rPr>
              <w:t>●</w:t>
            </w: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0111467C"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0EC9BC85"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6C51FA01"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1FF0ECD7" w14:textId="77777777" w:rsidR="009543B6" w:rsidRDefault="009543B6">
            <w:pPr>
              <w:jc w:val="center"/>
            </w:pPr>
          </w:p>
        </w:tc>
      </w:tr>
      <w:tr w:rsidR="009543B6" w14:paraId="5EEC4E3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30B257A4" w14:textId="77777777" w:rsidR="009543B6" w:rsidRDefault="00000000">
            <w:r>
              <w:rPr>
                <w:b/>
                <w:bCs/>
                <w:color w:val="000000"/>
                <w:sz w:val="20"/>
                <w:szCs w:val="20"/>
              </w:rPr>
              <w:t>Thematic Analysis</w:t>
            </w: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44D8F589"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52506322"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70F7EB70"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72100A97"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6C733A10"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1B8777B8"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370883B8"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5CB1F452" w14:textId="77777777" w:rsidR="009543B6" w:rsidRDefault="00000000">
            <w:pPr>
              <w:jc w:val="center"/>
            </w:pPr>
            <w:r>
              <w:rPr>
                <w:color w:val="FFFFFF"/>
                <w:sz w:val="20"/>
                <w:szCs w:val="20"/>
              </w:rPr>
              <w:t>●</w:t>
            </w: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31F6DCC2" w14:textId="77777777" w:rsidR="009543B6" w:rsidRDefault="00000000">
            <w:pPr>
              <w:jc w:val="center"/>
            </w:pPr>
            <w:r>
              <w:rPr>
                <w:color w:val="FFFFFF"/>
                <w:sz w:val="20"/>
                <w:szCs w:val="20"/>
              </w:rPr>
              <w:t>●</w:t>
            </w: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667FD8B0"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51A8CC73"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53B842ED" w14:textId="77777777" w:rsidR="009543B6" w:rsidRDefault="009543B6">
            <w:pPr>
              <w:jc w:val="center"/>
            </w:pPr>
          </w:p>
        </w:tc>
      </w:tr>
      <w:tr w:rsidR="009543B6" w14:paraId="29AC4A2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2A80B4AC" w14:textId="77777777" w:rsidR="009543B6" w:rsidRDefault="00000000">
            <w:r>
              <w:rPr>
                <w:b/>
                <w:bCs/>
                <w:color w:val="000000"/>
                <w:sz w:val="20"/>
                <w:szCs w:val="20"/>
              </w:rPr>
              <w:t>Write-up: Chapters 3–4</w:t>
            </w: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26A00287"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638DB8ED"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4EFC4BAA"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3FEFA45B"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67810A9A"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5C80A417"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4E23E0A5"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516DEF0F"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0178F97B" w14:textId="77777777" w:rsidR="009543B6" w:rsidRDefault="00000000">
            <w:pPr>
              <w:jc w:val="center"/>
            </w:pPr>
            <w:r>
              <w:rPr>
                <w:color w:val="FFFFFF"/>
                <w:sz w:val="20"/>
                <w:szCs w:val="20"/>
              </w:rPr>
              <w:t>●</w:t>
            </w: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19078DCC" w14:textId="77777777" w:rsidR="009543B6" w:rsidRDefault="00000000">
            <w:pPr>
              <w:jc w:val="center"/>
            </w:pPr>
            <w:r>
              <w:rPr>
                <w:color w:val="FFFFFF"/>
                <w:sz w:val="20"/>
                <w:szCs w:val="20"/>
              </w:rPr>
              <w:t>●</w:t>
            </w: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51D781BC"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5398D83C" w14:textId="77777777" w:rsidR="009543B6" w:rsidRDefault="009543B6">
            <w:pPr>
              <w:jc w:val="center"/>
            </w:pPr>
          </w:p>
        </w:tc>
      </w:tr>
      <w:tr w:rsidR="009543B6" w14:paraId="604E684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51A61B54" w14:textId="77777777" w:rsidR="009543B6" w:rsidRDefault="00000000">
            <w:r>
              <w:rPr>
                <w:b/>
                <w:bCs/>
                <w:color w:val="000000"/>
                <w:sz w:val="20"/>
                <w:szCs w:val="20"/>
              </w:rPr>
              <w:t>Write-up: Chapter 5 &amp; Revisions</w:t>
            </w: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6C7338D5"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1B5842FC"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240E7DEA"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5B012E9B"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5765DDC7"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79FA0397"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0768B211"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5683F38A"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1F22EC45"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19CEE591" w14:textId="77777777" w:rsidR="009543B6" w:rsidRDefault="00000000">
            <w:pPr>
              <w:jc w:val="center"/>
            </w:pPr>
            <w:r>
              <w:rPr>
                <w:color w:val="FFFFFF"/>
                <w:sz w:val="20"/>
                <w:szCs w:val="20"/>
              </w:rPr>
              <w:t>●</w:t>
            </w: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31499EA1" w14:textId="77777777" w:rsidR="009543B6" w:rsidRDefault="00000000">
            <w:pPr>
              <w:jc w:val="center"/>
            </w:pPr>
            <w:r>
              <w:rPr>
                <w:color w:val="FFFFFF"/>
                <w:sz w:val="20"/>
                <w:szCs w:val="20"/>
              </w:rPr>
              <w:t>●</w:t>
            </w:r>
          </w:p>
        </w:tc>
        <w:tc>
          <w:tcPr>
            <w:tcW w:w="5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14:paraId="70574DBE" w14:textId="77777777" w:rsidR="009543B6" w:rsidRDefault="009543B6">
            <w:pPr>
              <w:jc w:val="center"/>
            </w:pPr>
          </w:p>
        </w:tc>
      </w:tr>
      <w:tr w:rsidR="009543B6" w14:paraId="39DE12E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3B029E18" w14:textId="77777777" w:rsidR="009543B6" w:rsidRDefault="00000000">
            <w:r>
              <w:rPr>
                <w:b/>
                <w:bCs/>
                <w:color w:val="000000"/>
                <w:sz w:val="20"/>
                <w:szCs w:val="20"/>
              </w:rPr>
              <w:t>Final Submission</w:t>
            </w: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6E77CAB2"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04A7EF8D"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399DA274"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6F6E18C0"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6DB86B11"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56F06BFA"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606B38F3"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0C74A809"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725F0801"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D9E2F0"/>
            <w:tcMar>
              <w:top w:w="60" w:type="dxa"/>
              <w:left w:w="80" w:type="dxa"/>
              <w:bottom w:w="60" w:type="dxa"/>
              <w:right w:w="80" w:type="dxa"/>
            </w:tcMar>
            <w:vAlign w:val="center"/>
          </w:tcPr>
          <w:p w14:paraId="42C30B0B" w14:textId="77777777" w:rsidR="009543B6" w:rsidRDefault="009543B6">
            <w:pPr>
              <w:jc w:val="center"/>
            </w:pP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4F8B886D" w14:textId="77777777" w:rsidR="009543B6" w:rsidRDefault="00000000">
            <w:pPr>
              <w:jc w:val="center"/>
            </w:pPr>
            <w:r>
              <w:rPr>
                <w:color w:val="FFFFFF"/>
                <w:sz w:val="20"/>
                <w:szCs w:val="20"/>
              </w:rPr>
              <w:t>●</w:t>
            </w:r>
          </w:p>
        </w:tc>
        <w:tc>
          <w:tcPr>
            <w:tcW w:w="590" w:type="dxa"/>
            <w:tcBorders>
              <w:top w:val="single" w:sz="1" w:space="0" w:color="AAAAAA"/>
              <w:left w:val="single" w:sz="1" w:space="0" w:color="AAAAAA"/>
              <w:bottom w:val="single" w:sz="1" w:space="0" w:color="AAAAAA"/>
              <w:right w:val="single" w:sz="1" w:space="0" w:color="AAAAAA"/>
            </w:tcBorders>
            <w:shd w:val="clear" w:color="auto" w:fill="2E5C8A"/>
            <w:tcMar>
              <w:top w:w="60" w:type="dxa"/>
              <w:left w:w="80" w:type="dxa"/>
              <w:bottom w:w="60" w:type="dxa"/>
              <w:right w:w="80" w:type="dxa"/>
            </w:tcMar>
            <w:vAlign w:val="center"/>
          </w:tcPr>
          <w:p w14:paraId="36FD98DC" w14:textId="77777777" w:rsidR="009543B6" w:rsidRDefault="00000000">
            <w:pPr>
              <w:jc w:val="center"/>
            </w:pPr>
            <w:r>
              <w:rPr>
                <w:color w:val="FFFFFF"/>
                <w:sz w:val="20"/>
                <w:szCs w:val="20"/>
              </w:rPr>
              <w:t>●</w:t>
            </w:r>
          </w:p>
        </w:tc>
      </w:tr>
    </w:tbl>
    <w:p w14:paraId="1787FFBD" w14:textId="77777777" w:rsidR="009543B6" w:rsidRDefault="009543B6"/>
    <w:p w14:paraId="576AA4A4" w14:textId="199FF82C" w:rsidR="009543B6" w:rsidRDefault="001E06C9">
      <w:pPr>
        <w:spacing w:after="200" w:line="360" w:lineRule="auto"/>
        <w:jc w:val="both"/>
      </w:pPr>
      <w:r w:rsidRPr="001E06C9">
        <w:t xml:space="preserve">The timeline illustrates the cyclical nature of qualitative research. Ethics approval (Weeks 7-10) was required prior to any contact with participants (in line with British Educational Research Association [BERA], 2024 and the University of Greater Manchester's RE1 guidelines). Questionnaire design (Weeks 5-8) was contemporaneous with ethics approval because a draft of the interview schedule was needed for the ethics application. Data collection (Weeks 11-14) was scheduled for four weeks to allow for </w:t>
      </w:r>
      <w:proofErr w:type="spellStart"/>
      <w:r w:rsidRPr="001E06C9">
        <w:t>organisational</w:t>
      </w:r>
      <w:proofErr w:type="spellEnd"/>
      <w:r w:rsidRPr="001E06C9">
        <w:t xml:space="preserve"> considerations of three different schools and online interviewing across time zones. Interviews were transcribed and coded in NVivo (Weeks 13-16) as soon as the first interviews were conducted, to ensure that analysis continued throughout the research rather than being postponed to the write-up stage. The writing of Chapters 3-5 (Weeks 17-22) was split into two stages due to the need to write Chapters 3 and 4 before Chapter 5 in order to interpret the findings before drawing conclusions.</w:t>
      </w:r>
    </w:p>
    <w:p w14:paraId="313AFD26" w14:textId="77777777" w:rsidR="009543B6" w:rsidRDefault="00000000">
      <w:pPr>
        <w:pStyle w:val="Heading2"/>
      </w:pPr>
      <w:r>
        <w:t>3.7 Research Techniques</w:t>
      </w:r>
    </w:p>
    <w:p w14:paraId="3F0E5EEA" w14:textId="77777777" w:rsidR="009543B6" w:rsidRDefault="00000000">
      <w:pPr>
        <w:pStyle w:val="Heading3"/>
      </w:pPr>
      <w:r>
        <w:t>3.7.1 Population, Sampling, and Sample Size</w:t>
      </w:r>
    </w:p>
    <w:p w14:paraId="66009034" w14:textId="77777777" w:rsidR="001E06C9" w:rsidRDefault="001E06C9" w:rsidP="001E06C9">
      <w:pPr>
        <w:spacing w:after="200" w:line="360" w:lineRule="auto"/>
        <w:jc w:val="both"/>
      </w:pPr>
      <w:r>
        <w:t>This study's population of interest is teachers and subject/department leaders at present working in public secondary schools in Lagos State, Nigeria. This population is chosen because it represents the professional group whose working relationship with the school principal is the key location where the impacts of transformational leadership dimensions are felt, interpreted and acted upon in the classroom. With the Lagos State Ministry of Education (2023) overseeing more than 300 public secondary schools in the state, this population is large, geographically spread and institutionally diverse - factors that affect sampling design. Teachers of private secondary schools are excluded purposively: their working conditions, resource allocation and accountability systems differ from those of public secondary schools, and Chapter Two identified these as moderators in the relationship between leadership and performance (Grissom, Egalite and Lindsay 2021). Combining public and private school participants would result in institutional confounds that cannot be separated.</w:t>
      </w:r>
    </w:p>
    <w:p w14:paraId="3EA91B05" w14:textId="77777777" w:rsidR="001E06C9" w:rsidRDefault="001E06C9" w:rsidP="001E06C9">
      <w:pPr>
        <w:spacing w:after="200" w:line="360" w:lineRule="auto"/>
        <w:jc w:val="both"/>
      </w:pPr>
      <w:r>
        <w:t xml:space="preserve">Purposive sampling, a non-probability sampling method in which participants are selected purposely because they have information-rich characteristics that are relevant to the study's research questions (Patton 2015), is used. There are a number of related reasons why this is an appropriate sampling strategy. First, the goal of the study is not to make statistically representative </w:t>
      </w:r>
      <w:r>
        <w:lastRenderedPageBreak/>
        <w:t xml:space="preserve">inferences that can be transferred to the population of all teachers in public secondary schools in Lagos State; it is to build analytically transferable knowledge about the processes by which the various dimensions of transformational leadership are perceived to affect student performance in particular institutional contexts. Probability sampling's strength of statistical representativeness is not required. Second, purposive sampling facilitates the selection of schools that differ on theoretically relevant variables - school size, resource allocation, geographical location in Lagos State - to </w:t>
      </w:r>
      <w:proofErr w:type="spellStart"/>
      <w:r>
        <w:t>maximise</w:t>
      </w:r>
      <w:proofErr w:type="spellEnd"/>
      <w:r>
        <w:t xml:space="preserve"> the analytical diversity (theoretical range) of the cases and thus support cross-case comparisons, a key feature of the multiple case study design. Third, the principal is the gatekeeper for the public secondary schools of Lagos State, and random sampling of participants across a large population would not be possible. This purposive sampling of schools and participants within schools is not a weakness, but a design choice that takes into account the practical and ethical challenges of fieldwork in this setting.</w:t>
      </w:r>
    </w:p>
    <w:p w14:paraId="787E5984" w14:textId="77777777" w:rsidR="001E06C9" w:rsidRDefault="001E06C9" w:rsidP="001E06C9">
      <w:pPr>
        <w:spacing w:after="200" w:line="360" w:lineRule="auto"/>
        <w:jc w:val="both"/>
      </w:pPr>
      <w:r>
        <w:t>Within the three selected schools, participants are purposively sampled among teachers and subject/department heads in three curriculum domains (social science, mathematics and technology) to ensure variation of subject context and role within the three cases. This variation within case is important for analysis: different curriculum areas may have different experiences of principal leadership based on their institutional status, resource allocation and curriculum demands, and this variation contributes to the case analysis. The overall sample size of 15-20 participants across three schools is commensurate with expert advice for multiple case studies in education. Yin (2018) advises that each case has sufficient informant coverage to allow pattern recognition within a case, while Creswell and Poth (2018) indicate that the typical sample sizes in multiple case studies using qualitative methods range from two to five participants per case. The current sample of 5-7 participants per school is larger, ensuring analytic sufficiency in each case.</w:t>
      </w:r>
    </w:p>
    <w:p w14:paraId="223D20D4" w14:textId="77777777" w:rsidR="001E06C9" w:rsidRDefault="001E06C9" w:rsidP="001E06C9">
      <w:pPr>
        <w:spacing w:after="200" w:line="360" w:lineRule="auto"/>
        <w:jc w:val="both"/>
      </w:pPr>
      <w:r>
        <w:t xml:space="preserve">The rationale for sample size in qualitative research is not based on statistical power analysis but on information power, as proposed by </w:t>
      </w:r>
      <w:proofErr w:type="spellStart"/>
      <w:r>
        <w:t>Malterud</w:t>
      </w:r>
      <w:proofErr w:type="spellEnd"/>
      <w:r>
        <w:t xml:space="preserve">, Siersma and Guassora (2016). Information power is the extent to which the sample delivers relevant and rich data to address the research questions, given the specificity of the population, theoretical approach and analytical strategy. A purposively selected sample of 15 to 20 teachers and subject leaders from three schools with varying institutional characteristics generates high information power for a research project that uses reflexive thematic analysis to interpret data within and between cases. The sample is not </w:t>
      </w:r>
      <w:r>
        <w:lastRenderedPageBreak/>
        <w:t>compromised by its size for the purpose of saturation of themes that are relevant to the four research questions; the focus of the questions and the underlying theory ensure that the interviews yield data that are relevant to the analysis and not merely general commentary.</w:t>
      </w:r>
    </w:p>
    <w:p w14:paraId="04B552E5" w14:textId="1E2132DE" w:rsidR="009543B6" w:rsidRDefault="001E06C9" w:rsidP="001E06C9">
      <w:pPr>
        <w:spacing w:after="200" w:line="360" w:lineRule="auto"/>
        <w:jc w:val="both"/>
      </w:pPr>
      <w:r>
        <w:t xml:space="preserve">Bias risks are </w:t>
      </w:r>
      <w:proofErr w:type="spellStart"/>
      <w:r>
        <w:t>recognised</w:t>
      </w:r>
      <w:proofErr w:type="spellEnd"/>
      <w:r>
        <w:t xml:space="preserve"> and </w:t>
      </w:r>
      <w:proofErr w:type="spellStart"/>
      <w:r>
        <w:t>minimised</w:t>
      </w:r>
      <w:proofErr w:type="spellEnd"/>
      <w:r>
        <w:t>. Access bias (the risk that only schools with principals who are sure they are good leaders will participate) is addressed by soliciting nominations from a larger initial sample of schools (via gatekeeper letters) and participating with the first three schools for which consent is given (regardless of perceived quality of leadership). Within-school selection bias - the risk that principals only select compliant or pro-leadership teachers - is mitigated by asking principals to provide an entire staff list from which the researcher, not the principal, will select participants, based on curriculum and tenure. Non-response bias is countered by a follow-up with non-respondents, and a replacement strategy if fewer than five teachers respond from each school. This does not preclude access bias, but the approach is the most stringent possible within the ethical and practical framework of the research.</w:t>
      </w:r>
    </w:p>
    <w:p w14:paraId="3B39DDF4" w14:textId="77777777" w:rsidR="009543B6" w:rsidRDefault="00000000">
      <w:pPr>
        <w:pStyle w:val="Heading3"/>
      </w:pPr>
      <w:r>
        <w:t>3.7.2 Data Collection Methods</w:t>
      </w:r>
    </w:p>
    <w:p w14:paraId="4C9C0FD4" w14:textId="77777777" w:rsidR="001E06C9" w:rsidRDefault="001E06C9" w:rsidP="001E06C9">
      <w:pPr>
        <w:spacing w:after="200" w:line="360" w:lineRule="auto"/>
        <w:jc w:val="both"/>
      </w:pPr>
      <w:r>
        <w:t xml:space="preserve">The main data collection tool is a semi-structured interview guide, designed by the researcher and reviewed and refined in draft form through supervisory consultation before being submitted for ethics approval. The choice of semi-structured interviews over structured questionnaires or unstructured interviews is supported by the research questions and the purpose of the study. Structured questionnaires, including adapted versions of the MLQ, provide standardised, comparable data, but lock participants' responses into categories of pre-conceived concepts and cannot elicit the </w:t>
      </w:r>
      <w:proofErr w:type="spellStart"/>
      <w:r>
        <w:t>contextualised</w:t>
      </w:r>
      <w:proofErr w:type="spellEnd"/>
      <w:r>
        <w:t xml:space="preserve">, nuanced stories through which teachers and subject leaders interpret principals' leadership. As discussed in Chapter Two, the cross-cultural validity of MLQ instruments for the Nigerian public school system has not been established, and so structured instruments are especially likely to be unreliable for these participants (Antonakis et al. 2016). Unstructured interviews give interviewees the greatest freedom but can generate data that are not sufficiently focused on the four dimensions of leadership </w:t>
      </w:r>
      <w:proofErr w:type="spellStart"/>
      <w:r>
        <w:t>behaviours</w:t>
      </w:r>
      <w:proofErr w:type="spellEnd"/>
      <w:r>
        <w:t xml:space="preserve"> to compare across participants. Semi-structured interviews strike an analytically fertile balance: they offer a consistent set of themes to ensure that the four research questions are addressed in every interview; and they allow participants to describe, illustrate and interpret their experiences in their own words, with probes to follow up unexpected but potentially helpful revelations.</w:t>
      </w:r>
    </w:p>
    <w:p w14:paraId="1A180F03" w14:textId="77777777" w:rsidR="001E06C9" w:rsidRDefault="001E06C9" w:rsidP="001E06C9">
      <w:pPr>
        <w:spacing w:after="200" w:line="360" w:lineRule="auto"/>
        <w:jc w:val="both"/>
      </w:pPr>
      <w:r>
        <w:lastRenderedPageBreak/>
        <w:t xml:space="preserve">The interview guide was not adapted from a validated instrument, but rather constructed from scratch, for this particular study. There is currently no published semi-structured interview guide that </w:t>
      </w:r>
      <w:proofErr w:type="spellStart"/>
      <w:r>
        <w:t>operationalises</w:t>
      </w:r>
      <w:proofErr w:type="spellEnd"/>
      <w:r>
        <w:t xml:space="preserve"> the four dimensions of Bass and Avolio's (1994) transformational leadership framework for the context of public secondary schools in Lagos State or other institutional contexts in West Africa. The guide was developed by </w:t>
      </w:r>
      <w:proofErr w:type="spellStart"/>
      <w:r>
        <w:t>operationalising</w:t>
      </w:r>
      <w:proofErr w:type="spellEnd"/>
      <w:r>
        <w:t xml:space="preserve"> the definitions of each leadership dimension - as defined in Chapter Two - to produce questions that ask participants to describe </w:t>
      </w:r>
      <w:proofErr w:type="spellStart"/>
      <w:r>
        <w:t>behaviours</w:t>
      </w:r>
      <w:proofErr w:type="spellEnd"/>
      <w:r>
        <w:t xml:space="preserve">, institutional settings and outcomes without employing the technical language of transformational leadership theory so as to avoid imposing the researcher's conceptions. The interview guide is divided into sections, each of which corresponds to one of the research questions and one of the four leadership dimensions, and begins with preliminary questions that elicit information about participants' professional background and perceptions of school performance. Each section contains probes to help guide participants towards describing specific </w:t>
      </w:r>
      <w:proofErr w:type="spellStart"/>
      <w:r>
        <w:t>behaviours</w:t>
      </w:r>
      <w:proofErr w:type="spellEnd"/>
      <w:r>
        <w:t xml:space="preserve"> and events, and to avoid overly abstract statements.</w:t>
      </w:r>
    </w:p>
    <w:p w14:paraId="28049526" w14:textId="77777777" w:rsidR="001E06C9" w:rsidRDefault="001E06C9" w:rsidP="001E06C9">
      <w:pPr>
        <w:spacing w:after="200" w:line="360" w:lineRule="auto"/>
        <w:jc w:val="both"/>
      </w:pPr>
      <w:r>
        <w:t xml:space="preserve">The interview items </w:t>
      </w:r>
      <w:proofErr w:type="spellStart"/>
      <w:r>
        <w:t>operationalise</w:t>
      </w:r>
      <w:proofErr w:type="spellEnd"/>
      <w:r>
        <w:t xml:space="preserve"> the four dimensions in the following way. </w:t>
      </w:r>
      <w:proofErr w:type="spellStart"/>
      <w:r>
        <w:t>Idealised</w:t>
      </w:r>
      <w:proofErr w:type="spellEnd"/>
      <w:r>
        <w:t xml:space="preserve"> influence is assessed through questions about principals' personal </w:t>
      </w:r>
      <w:proofErr w:type="spellStart"/>
      <w:r>
        <w:t>behaviour</w:t>
      </w:r>
      <w:proofErr w:type="spellEnd"/>
      <w:r>
        <w:t xml:space="preserve">, personal integrity and the trust and respect that staff members have for their </w:t>
      </w:r>
      <w:proofErr w:type="spellStart"/>
      <w:r>
        <w:t>behaviour</w:t>
      </w:r>
      <w:proofErr w:type="spellEnd"/>
      <w:r>
        <w:t>. Inspirational motivation is examined by questions about the ways principals articulate a vision for the school, set and communicate expectations, and inspire staff in the face of school challenges. Intellectual stimulation is examined through questions about how and to what extent principals support professional experimentation, collegial dialogue, and pedagogic innovation. Supportive consideration is explored through questions about how principals respond to individual teachers' professional and personal needs, provide feedback, and support professional development.</w:t>
      </w:r>
    </w:p>
    <w:p w14:paraId="37B87494" w14:textId="52DA88FA" w:rsidR="009543B6" w:rsidRDefault="001E06C9" w:rsidP="001E06C9">
      <w:pPr>
        <w:spacing w:after="200" w:line="360" w:lineRule="auto"/>
        <w:jc w:val="both"/>
      </w:pPr>
      <w:r>
        <w:t xml:space="preserve">Data collection takes the form of online interviews, using a virtual conferencing tool, and at times mutually agreed with the interviewees. This method of administration is used for two practical reasons. First, the researcher lives in the United Kingdom and face-to-face data collection in Lagos State is not a practical option in the time and financial constraints of this </w:t>
      </w:r>
      <w:proofErr w:type="spellStart"/>
      <w:r>
        <w:t>MRes</w:t>
      </w:r>
      <w:proofErr w:type="spellEnd"/>
      <w:r>
        <w:t xml:space="preserve"> dissertation. Second, online interviewing has been demonstrated to elicit equally rich and meaningful data as in-person interviews in educational research, provided that the researcher makes efforts to build rapport and that the interviewees have ready access to the technology being used (Lobe, Morgan and Hoffman 2020). The interviews are anticipated to last 30-45 minutes each. Interviews are </w:t>
      </w:r>
      <w:r>
        <w:lastRenderedPageBreak/>
        <w:t>recorded (with the permission of the interviewees) and transcribed verbatim for NVivo-supported thematic analysis. Transcripts are then returned to participants for member checking (i.e. to confirm that their views are represented accurately) as part of the checks and balances to ensure research credibility outlined in Section 3.8. Documentary data collected alongside interviews (e.g. performance scores, policy documents, demographic statistics) is used to complement interview data, rather than to draw either separate or independent conclusions.</w:t>
      </w:r>
    </w:p>
    <w:p w14:paraId="3A5D2E3A" w14:textId="77777777" w:rsidR="009543B6" w:rsidRDefault="00000000">
      <w:pPr>
        <w:pStyle w:val="Heading3"/>
      </w:pPr>
      <w:r>
        <w:t>3.7.3 Data Analysis Procedures</w:t>
      </w:r>
    </w:p>
    <w:p w14:paraId="0F4C18F5" w14:textId="77777777" w:rsidR="001E06C9" w:rsidRDefault="001E06C9" w:rsidP="001E06C9">
      <w:pPr>
        <w:spacing w:after="200" w:line="360" w:lineRule="auto"/>
        <w:jc w:val="both"/>
      </w:pPr>
      <w:r>
        <w:t xml:space="preserve">The semi-structured interviews generate data which will be </w:t>
      </w:r>
      <w:proofErr w:type="spellStart"/>
      <w:r>
        <w:t>analysed</w:t>
      </w:r>
      <w:proofErr w:type="spellEnd"/>
      <w:r>
        <w:t xml:space="preserve"> using reflexive thematic analysis, following the six-step approach outlined by Braun and Clarke (2006) and refined by Clarke and Braun (2021). Reflexive thematic analysis is preferred over other qualitative data analysis approaches because it is compatible with the interpretivist philosophy, abductive reasoning and multiple case study design of this study. Interpretive Phenomenological Analysis (IPA), for instance, is designed to generate idiographic analyses of individual experience that is valuable for single-participant or small-n studies but is not as useful for cross-case analyses (Smith, Flowers and Larkin 2009). Grounded theory, as originally proposed by Glaser and Strauss (1967) and developed by Charmaz (2014) is designed to develop theory from data collected without recourse to pre-existing theories - a requirement that is inconsistent with the abductive reasoning approach of a study that enters the field with a rich theoretical framework and uses this framework to structure but not restrict interpretation. Framework analysis (Ritchie and Spencer 1994) offers a matrix-based approach that is useful for applied policy research but also imposes a rigidity in the coding process that restrains sensitivity to novel data. Reflexive thematic analysis, however, is consistent with a theoretically engaged but methodologically open approach: in this process, codes and themes are generated that are consistent with participant narratives, while the theoretical framework is used as a resource for interpretation.</w:t>
      </w:r>
    </w:p>
    <w:p w14:paraId="756639EE" w14:textId="77777777" w:rsidR="001E06C9" w:rsidRDefault="001E06C9" w:rsidP="001E06C9">
      <w:pPr>
        <w:spacing w:after="200" w:line="360" w:lineRule="auto"/>
        <w:jc w:val="both"/>
      </w:pPr>
      <w:r>
        <w:t xml:space="preserve">Analysis takes place in six phases. In Phase 1, the researcher becomes immersed in the data by reading and re-reading each transcript several times and making initial notes. In Phase 2, initial codes are systematically derived from the entire dataset in NVivo 14, with each unit of data relevant to the research questions, even if it does not fit with theoretical expectations, being coded. In Phase 3, initial codes are aggregated into candidate themes by discerning patterns of meaning across cases and participants. In Phase 4, themes are checked against the extracts of data they </w:t>
      </w:r>
      <w:r>
        <w:lastRenderedPageBreak/>
        <w:t xml:space="preserve">cover, and against the entire data set, to ensure they capture the overall meaning of the data and make analytical sense. In Phase 5, themes are clearly defined and named, clarifying their boundaries with other themes, and what they represent in participant experiences or institutional processes. In Phase 6, the report is written with themes presented in line with the research questions and the theoretical framework developed in Chapter Two. During Phases 2 to 5, NVivo 14 is used to </w:t>
      </w:r>
      <w:proofErr w:type="spellStart"/>
      <w:r>
        <w:t>organise</w:t>
      </w:r>
      <w:proofErr w:type="spellEnd"/>
      <w:r>
        <w:t xml:space="preserve"> and support analysis of the size and complexity of the data set, to support systematic coding across the three cases, and to provide a means of retrieving relevant extracts of data when writing up the results. NVivo does not do the analysis; the researcher makes all interpretive decisions, using NVivo as an </w:t>
      </w:r>
      <w:proofErr w:type="spellStart"/>
      <w:r>
        <w:t>organisational</w:t>
      </w:r>
      <w:proofErr w:type="spellEnd"/>
      <w:r>
        <w:t xml:space="preserve"> and retrieval tool (Silver and Lewins 2014).</w:t>
      </w:r>
    </w:p>
    <w:p w14:paraId="6C4024B9" w14:textId="6DC951E0" w:rsidR="009543B6" w:rsidRDefault="001E06C9" w:rsidP="001E06C9">
      <w:pPr>
        <w:spacing w:after="200" w:line="360" w:lineRule="auto"/>
        <w:jc w:val="both"/>
      </w:pPr>
      <w:r>
        <w:t>Analysis is first within-case - identifying themes in each of the three schools - and second, cross-case - mapping patterns, similarities and differences in the three schools. This is in line with Yin's (2018) suggested approach for multiple case study analysis, in which each case is maintained first, and then conclusions are abstracted across cases. The cross-case analysis is where the institutional context variable - the range of resource levels, governance structures and school cultures represented in the three cases - is introduced. The threshold of significance for analytic decisions in qualitative research is interpretive. Themes are deemed significant if they are found across more than one individual in a case, or appear in a dense and well-developed manner that suggests a consistent institutional experience. Themes that are isolated to individual accounts are recorded and discussed as dissenting views.</w:t>
      </w:r>
    </w:p>
    <w:p w14:paraId="73CDB727" w14:textId="77777777" w:rsidR="009543B6" w:rsidRDefault="00000000">
      <w:pPr>
        <w:pStyle w:val="Heading2"/>
      </w:pPr>
      <w:r>
        <w:t>3.8 Validity, Reliability, and Trustworthiness</w:t>
      </w:r>
    </w:p>
    <w:p w14:paraId="29C37BF3" w14:textId="77777777" w:rsidR="001E06C9" w:rsidRDefault="001E06C9" w:rsidP="001E06C9">
      <w:pPr>
        <w:spacing w:after="200" w:line="360" w:lineRule="auto"/>
        <w:jc w:val="both"/>
      </w:pPr>
      <w:r>
        <w:t xml:space="preserve">In interpretivist qualitative research, the quantitative research criteria of internal validity, external validity and reliability are replaced with the corresponding criteria of credibility, transferability, dependability and confirmability, as set out by Lincoln and Guba (1985). These criteria do not compromise the </w:t>
      </w:r>
      <w:proofErr w:type="spellStart"/>
      <w:r>
        <w:t>rigour</w:t>
      </w:r>
      <w:proofErr w:type="spellEnd"/>
      <w:r>
        <w:t xml:space="preserve"> of the study; they simply re-frame it in terms of its epistemological commitments.</w:t>
      </w:r>
    </w:p>
    <w:p w14:paraId="4B76D6F1" w14:textId="77777777" w:rsidR="001E06C9" w:rsidRDefault="001E06C9" w:rsidP="001E06C9">
      <w:pPr>
        <w:spacing w:after="200" w:line="360" w:lineRule="auto"/>
        <w:jc w:val="both"/>
      </w:pPr>
      <w:r>
        <w:t xml:space="preserve">Credibility - the interpretivist substitute for internal validity - is achieved in four ways. First, member checking: the researcher sends scripts to participants, and shares preliminary </w:t>
      </w:r>
      <w:proofErr w:type="spellStart"/>
      <w:r>
        <w:t>thematisations</w:t>
      </w:r>
      <w:proofErr w:type="spellEnd"/>
      <w:r>
        <w:t xml:space="preserve"> with a subset of participants for their confirmation, to ensure that his own interpretations don't skew participants' meanings (Creswell and Poth 2018). Second, triangulation: </w:t>
      </w:r>
      <w:r>
        <w:lastRenderedPageBreak/>
        <w:t xml:space="preserve">interview data are checked against documentary evidence from each of the schools, offering a further source of information against which to compare participant perspectives (Patton 2015). Third, prolonged engagement with the data: the researcher spends a great deal of time with each transcript through several rounds of coding and analysis, </w:t>
      </w:r>
      <w:proofErr w:type="spellStart"/>
      <w:r>
        <w:t>minimising</w:t>
      </w:r>
      <w:proofErr w:type="spellEnd"/>
      <w:r>
        <w:t xml:space="preserve"> the likelihood of premature interpretation. Fourth, peer debriefing: the draft interpretive analysis is presented to the supervising academic, Dr Emma Salter, whose independent critique provides an external check on the plausibility and consistency of the interpretive analysis.</w:t>
      </w:r>
    </w:p>
    <w:p w14:paraId="243DEE15" w14:textId="2920C833" w:rsidR="009543B6" w:rsidRDefault="001E06C9" w:rsidP="001E06C9">
      <w:pPr>
        <w:spacing w:after="200" w:line="360" w:lineRule="auto"/>
        <w:jc w:val="both"/>
      </w:pPr>
      <w:r>
        <w:t xml:space="preserve">Transferability (the interpretive equivalent of external validity) is achieved through thick description (Geertz 1973), in which the institutional features, participant characteristics and interview context of each case is described in sufficient detail to allow readers to assess the appropriateness of the findings to other settings. The study does not purport to be statistically </w:t>
      </w:r>
      <w:proofErr w:type="spellStart"/>
      <w:r>
        <w:t>generalisable</w:t>
      </w:r>
      <w:proofErr w:type="spellEnd"/>
      <w:r>
        <w:t xml:space="preserve">; it purports to be analytically transferable to settings that share relevant institutional characteristics, namely, public secondary schools in resource-constrained urban African settings, and leaves it to the readers to assess this transferability. Dependability (reliability) is enhanced through the construction of an audit trail: a comprehensive documentation of research decisions, coding practices and analytic judgements that would enable an outside researcher to follow the steps taken from data collection to identified themes. Confirmability - equivalent to objectivity - is enhanced through reflexive journaling, in which the researcher records personal biases, prior experiences and interpretive reactions to the data collection and analysis processes. The researcher's professional background in the Nigerian education system is </w:t>
      </w:r>
      <w:proofErr w:type="spellStart"/>
      <w:r>
        <w:t>recognised</w:t>
      </w:r>
      <w:proofErr w:type="spellEnd"/>
      <w:r>
        <w:t xml:space="preserve"> as a potential source of both analytic insight and interpretive bias; reflexive journaling ensures that this background is not a blind spot.</w:t>
      </w:r>
    </w:p>
    <w:p w14:paraId="76E36E1F" w14:textId="77777777" w:rsidR="009543B6" w:rsidRDefault="00000000">
      <w:pPr>
        <w:pStyle w:val="Heading2"/>
      </w:pPr>
      <w:r>
        <w:t>3.9 Ethical Considerations</w:t>
      </w:r>
    </w:p>
    <w:p w14:paraId="6161EF13" w14:textId="77777777" w:rsidR="00D7024E" w:rsidRDefault="00D7024E" w:rsidP="00D7024E">
      <w:pPr>
        <w:spacing w:after="200" w:line="360" w:lineRule="auto"/>
        <w:jc w:val="both"/>
      </w:pPr>
      <w:r>
        <w:t>This research was undertaken in accordance with the British Educational Research Association's (BERA 2024) ethical code and has been reviewed and approved by the University of Greater Manchester's RE1 research ethics process before contact was made with schools or participants. The RE1 form filed in March 2026 indicated the study involves participants who require gatekeeper access and the measures taken to address the ethical considerations arising from this.</w:t>
      </w:r>
    </w:p>
    <w:p w14:paraId="051D8898" w14:textId="77777777" w:rsidR="00D7024E" w:rsidRDefault="00D7024E" w:rsidP="00D7024E">
      <w:pPr>
        <w:spacing w:after="200" w:line="360" w:lineRule="auto"/>
        <w:jc w:val="both"/>
      </w:pPr>
      <w:r>
        <w:lastRenderedPageBreak/>
        <w:t>Consent was sought in two steps. At the gatekeeper level, permission was obtained from the principal of each school via a research invitation letter, detailing the purpose, methods and types of data collected from the school itself. Each participant was only contacted after written gatekeeper consent was obtained. At the individual level, every teacher and subject leader was provided with a Participant Information Sheet (written in clear, accessible English for an educated, professional audience) describing the purpose of the study, the nature and anticipated length of the interview, the ways in which the data will be used and stored, and the participant's right to withdraw from the study without any adverse impact upon their employment or professional standing. Each participant was asked for digital written informed consent before their interview commenced. They were also verbally advised at the beginning of each interview that they could refuse to answer any question at any time, for any reason.</w:t>
      </w:r>
    </w:p>
    <w:p w14:paraId="590DD6C8" w14:textId="77777777" w:rsidR="00D7024E" w:rsidRDefault="00D7024E" w:rsidP="00D7024E">
      <w:pPr>
        <w:spacing w:after="200" w:line="360" w:lineRule="auto"/>
        <w:jc w:val="both"/>
      </w:pPr>
      <w:r>
        <w:t xml:space="preserve">The </w:t>
      </w:r>
      <w:proofErr w:type="spellStart"/>
      <w:r>
        <w:t>anonymisation</w:t>
      </w:r>
      <w:proofErr w:type="spellEnd"/>
      <w:r>
        <w:t xml:space="preserve"> of participants and schools is </w:t>
      </w:r>
      <w:proofErr w:type="spellStart"/>
      <w:r>
        <w:t>operationalised</w:t>
      </w:r>
      <w:proofErr w:type="spellEnd"/>
      <w:r>
        <w:t xml:space="preserve"> rather than formalised. The three schools are given pseudonyms (School A, School B and School C) that are consistently employed throughout the interview transcripts, notes and reporting. Participants are given alphanumeric pseudonyms (e.g., T1A, T2A, SL1A, where T stands for teacher, SL for subject leader, the number for individual, and the letter for school). Participants' or schools' names, department names, and location descriptors are not reported in any research output to allow reader identification. Because the sample is drawn from just three schools in a particular state system, there's a risk of identifying institutions and this has been reduced by not describing the location of schools at the sub-state level and aggregating the demographic data of participants by school rather than reporting it for individuals.</w:t>
      </w:r>
    </w:p>
    <w:p w14:paraId="02F58CE7" w14:textId="77777777" w:rsidR="00D7024E" w:rsidRDefault="00D7024E" w:rsidP="00D7024E">
      <w:pPr>
        <w:spacing w:after="200" w:line="360" w:lineRule="auto"/>
        <w:jc w:val="both"/>
      </w:pPr>
      <w:r>
        <w:t xml:space="preserve">Data are stored on a password-protected university-owned computer accessible only to the researcher and supervisor. Observations and raw recordings of interviews are held in accordance with the UK General Data Protection Regulation (UK GDPR) and the Data Protection Act 2018, only as long as necessary to transcribe and check the recordings, and then are erased. </w:t>
      </w:r>
      <w:proofErr w:type="spellStart"/>
      <w:r>
        <w:t>Anonymised</w:t>
      </w:r>
      <w:proofErr w:type="spellEnd"/>
      <w:r>
        <w:t xml:space="preserve"> interview transcripts and data files are retained for five years after submission of the dissertation (in accordance with the University of Greater Manchester's data retention policy for research data) and then are deleted using a secure file shredder. Data are not shared with third parties and participant information is not passed to third parties. These processes were explained to </w:t>
      </w:r>
      <w:r>
        <w:lastRenderedPageBreak/>
        <w:t>participants in the Participant Information Sheet and they were given the opportunity to ask questions.</w:t>
      </w:r>
    </w:p>
    <w:p w14:paraId="109E3845" w14:textId="212B3005" w:rsidR="009543B6" w:rsidRDefault="00D7024E" w:rsidP="00D7024E">
      <w:pPr>
        <w:spacing w:after="200" w:line="360" w:lineRule="auto"/>
        <w:jc w:val="both"/>
      </w:pPr>
      <w:r>
        <w:t xml:space="preserve">The power dynamics in this study are notable. Participants are practitioners in publicly accountable roles; their descriptions of their principals' leadership </w:t>
      </w:r>
      <w:proofErr w:type="spellStart"/>
      <w:r>
        <w:t>behaviours</w:t>
      </w:r>
      <w:proofErr w:type="spellEnd"/>
      <w:r>
        <w:t xml:space="preserve"> could, if not properly safeguarded, be used to disadvantage them in institutional settings or in employment. The researcher's history of working in the Nigerian education system raises the possibility that participants may perceive a greater level of power or </w:t>
      </w:r>
      <w:proofErr w:type="spellStart"/>
      <w:r>
        <w:t>organisational</w:t>
      </w:r>
      <w:proofErr w:type="spellEnd"/>
      <w:r>
        <w:t xml:space="preserve"> currency in the researcher than is actually the case, and thus self-censor. These risks were </w:t>
      </w:r>
      <w:proofErr w:type="spellStart"/>
      <w:r>
        <w:t>minimised</w:t>
      </w:r>
      <w:proofErr w:type="spellEnd"/>
      <w:r>
        <w:t xml:space="preserve"> through explicit confidentiality assurances, by conducting interviews online rather than in schools (eliminating the possibility of accidental eavesdropping) and by adopting an interview approach that </w:t>
      </w:r>
      <w:proofErr w:type="spellStart"/>
      <w:r>
        <w:t>prioritised</w:t>
      </w:r>
      <w:proofErr w:type="spellEnd"/>
      <w:r>
        <w:t xml:space="preserve"> the comfort of the participant, began with non-threatening questions about the school, and explicitly stated at the beginning of interviews that no voice would be attributed to any individual in the research output.</w:t>
      </w:r>
    </w:p>
    <w:p w14:paraId="20E171D4" w14:textId="77777777" w:rsidR="009543B6" w:rsidRDefault="00000000">
      <w:pPr>
        <w:pStyle w:val="Heading2"/>
      </w:pPr>
      <w:r>
        <w:t>3.10 Chapter Summary</w:t>
      </w:r>
    </w:p>
    <w:p w14:paraId="2792F74A" w14:textId="77777777" w:rsidR="00D7024E" w:rsidRDefault="00D7024E" w:rsidP="00D7024E">
      <w:pPr>
        <w:spacing w:after="200" w:line="360" w:lineRule="auto"/>
        <w:jc w:val="both"/>
      </w:pPr>
      <w:r>
        <w:t>This chapter has outlined and justified the study's methodology. The interpretivist philosophical approach is warranted by the study's interest in the meanings, understandings and professional interpretations of the teachers and subject leaders in a specific institutional context, and the recognition that the four dimensions of transformational leadership are mediated through socially constructed processes (trust, collective efficacy, professional climate) that resist explanation in terms of quantitative variables. The use of abductive reasoning is justified by a study that starts from a solid theoretical base but moves into a setting - Lagos State public secondary schools - where the relevance of the theory cannot be taken for granted and requires testing against the perceptions of the institutional actors. The multiple case study approach, with three purposively sampled schools as "bounded" cases, offers the analytic framework for achieving both within-case and inter-case analysis. The cross-sectional temporal dimension is appropriate to the interpretive questions of the study and is embedded in a 24-week research schedule to allow for scheduling of the ethical review, data collection and analysis.</w:t>
      </w:r>
    </w:p>
    <w:p w14:paraId="4C25892E" w14:textId="77777777" w:rsidR="00D7024E" w:rsidRDefault="00D7024E" w:rsidP="00D7024E">
      <w:pPr>
        <w:spacing w:after="200" w:line="360" w:lineRule="auto"/>
        <w:jc w:val="both"/>
      </w:pPr>
      <w:r>
        <w:t xml:space="preserve">Sampling 15-20 teachers and subject/department heads from three schools through purposive sampling provides information-rich data suitable for a qualitative multiple case study design with </w:t>
      </w:r>
      <w:r>
        <w:lastRenderedPageBreak/>
        <w:t xml:space="preserve">the barriers to access and potential biases identified and managed through procedural measures. Interviews, designed ab initio and against the four research questions, are the main data collection tool, complemented by documentary data for triangulation. Reflexive thematic analysis, in accordance with Braun and Clarke's (2006) six-stage process and using NVivo 14 for data management, constitutes the analytic approach for identifying themes within and across cases. The credibility, transferability, dependability and confirmability of the findings are actively safeguarded through member checking, triangulation, audit trail, reflexive journaling and peer debriefing. Ethical considerations - two-stage informed consent, strict </w:t>
      </w:r>
      <w:proofErr w:type="spellStart"/>
      <w:r>
        <w:t>anonymisation</w:t>
      </w:r>
      <w:proofErr w:type="spellEnd"/>
      <w:r>
        <w:t>, GDPR-compliant storage and explicit recognition of the power dynamics associated with research in professional institutions - are tailored to the particularities of the population and environment of this study.</w:t>
      </w:r>
    </w:p>
    <w:p w14:paraId="6CF1A9AD" w14:textId="570C857F" w:rsidR="009543B6" w:rsidRDefault="00D7024E" w:rsidP="00D7024E">
      <w:pPr>
        <w:spacing w:after="200" w:line="360" w:lineRule="auto"/>
        <w:jc w:val="both"/>
      </w:pPr>
      <w:r>
        <w:t>These decisions form a methodological chain in which each decision sets the stage for the next, and in which the integrity of the evidence is safeguarded throughout. The outcomes of this design are presented in Chapter Four, with the thematic analysis within and across cases presented in response to the four research questions.</w:t>
      </w:r>
    </w:p>
    <w:sectPr w:rsidR="009543B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032031"/>
    <w:multiLevelType w:val="hybridMultilevel"/>
    <w:tmpl w:val="5F10657C"/>
    <w:lvl w:ilvl="0" w:tplc="DD64F8D2">
      <w:start w:val="1"/>
      <w:numFmt w:val="bullet"/>
      <w:lvlText w:val="●"/>
      <w:lvlJc w:val="left"/>
      <w:pPr>
        <w:ind w:left="720" w:hanging="360"/>
      </w:pPr>
    </w:lvl>
    <w:lvl w:ilvl="1" w:tplc="3F7A8AC6">
      <w:start w:val="1"/>
      <w:numFmt w:val="bullet"/>
      <w:lvlText w:val="○"/>
      <w:lvlJc w:val="left"/>
      <w:pPr>
        <w:ind w:left="1440" w:hanging="360"/>
      </w:pPr>
    </w:lvl>
    <w:lvl w:ilvl="2" w:tplc="75AE0C86">
      <w:start w:val="1"/>
      <w:numFmt w:val="bullet"/>
      <w:lvlText w:val="■"/>
      <w:lvlJc w:val="left"/>
      <w:pPr>
        <w:ind w:left="2160" w:hanging="360"/>
      </w:pPr>
    </w:lvl>
    <w:lvl w:ilvl="3" w:tplc="B5B4277C">
      <w:start w:val="1"/>
      <w:numFmt w:val="bullet"/>
      <w:lvlText w:val="●"/>
      <w:lvlJc w:val="left"/>
      <w:pPr>
        <w:ind w:left="2880" w:hanging="360"/>
      </w:pPr>
    </w:lvl>
    <w:lvl w:ilvl="4" w:tplc="24285F66">
      <w:start w:val="1"/>
      <w:numFmt w:val="bullet"/>
      <w:lvlText w:val="○"/>
      <w:lvlJc w:val="left"/>
      <w:pPr>
        <w:ind w:left="3600" w:hanging="360"/>
      </w:pPr>
    </w:lvl>
    <w:lvl w:ilvl="5" w:tplc="68E69C1A">
      <w:start w:val="1"/>
      <w:numFmt w:val="bullet"/>
      <w:lvlText w:val="■"/>
      <w:lvlJc w:val="left"/>
      <w:pPr>
        <w:ind w:left="4320" w:hanging="360"/>
      </w:pPr>
    </w:lvl>
    <w:lvl w:ilvl="6" w:tplc="3F1C88AA">
      <w:start w:val="1"/>
      <w:numFmt w:val="bullet"/>
      <w:lvlText w:val="●"/>
      <w:lvlJc w:val="left"/>
      <w:pPr>
        <w:ind w:left="5040" w:hanging="360"/>
      </w:pPr>
    </w:lvl>
    <w:lvl w:ilvl="7" w:tplc="4F70EAA8">
      <w:start w:val="1"/>
      <w:numFmt w:val="bullet"/>
      <w:lvlText w:val="●"/>
      <w:lvlJc w:val="left"/>
      <w:pPr>
        <w:ind w:left="5760" w:hanging="360"/>
      </w:pPr>
    </w:lvl>
    <w:lvl w:ilvl="8" w:tplc="D68098F2">
      <w:start w:val="1"/>
      <w:numFmt w:val="bullet"/>
      <w:lvlText w:val="●"/>
      <w:lvlJc w:val="left"/>
      <w:pPr>
        <w:ind w:left="6480" w:hanging="360"/>
      </w:pPr>
    </w:lvl>
  </w:abstractNum>
  <w:num w:numId="1" w16cid:durableId="1643925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3B6"/>
    <w:rsid w:val="001E06C9"/>
    <w:rsid w:val="00397D8E"/>
    <w:rsid w:val="009543B6"/>
    <w:rsid w:val="00D702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A5E03"/>
  <w15:docId w15:val="{7435BDD2-DF84-4785-9177-6E0A5674B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jc w:val="center"/>
      <w:outlineLvl w:val="0"/>
    </w:pPr>
    <w:rPr>
      <w:b/>
      <w:bCs/>
      <w:caps/>
      <w:sz w:val="28"/>
      <w:szCs w:val="28"/>
    </w:rPr>
  </w:style>
  <w:style w:type="paragraph" w:styleId="Heading2">
    <w:name w:val="heading 2"/>
    <w:uiPriority w:val="9"/>
    <w:unhideWhenUsed/>
    <w:qFormat/>
    <w:pPr>
      <w:spacing w:before="300" w:after="160"/>
      <w:outlineLvl w:val="1"/>
    </w:pPr>
    <w:rPr>
      <w:b/>
      <w:bCs/>
    </w:rPr>
  </w:style>
  <w:style w:type="paragraph" w:styleId="Heading3">
    <w:name w:val="heading 3"/>
    <w:uiPriority w:val="9"/>
    <w:unhideWhenUsed/>
    <w:qFormat/>
    <w:pPr>
      <w:spacing w:before="24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18</Pages>
  <Words>6820</Words>
  <Characters>38877</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Author</cp:lastModifiedBy>
  <cp:revision>2</cp:revision>
  <dcterms:created xsi:type="dcterms:W3CDTF">2026-04-27T09:02:00Z</dcterms:created>
  <dcterms:modified xsi:type="dcterms:W3CDTF">2026-04-27T09:26:00Z</dcterms:modified>
</cp:coreProperties>
</file>