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0729C" w14:textId="7A1E2896" w:rsidR="003606E6" w:rsidRPr="007A5227" w:rsidRDefault="003606E6" w:rsidP="003606E6">
      <w:pPr>
        <w:pStyle w:val="NormalWeb"/>
        <w:spacing w:before="120" w:beforeAutospacing="0" w:after="120" w:afterAutospacing="0" w:line="360" w:lineRule="auto"/>
        <w:jc w:val="both"/>
        <w:rPr>
          <w:rFonts w:asciiTheme="minorHAnsi" w:hAnsiTheme="minorHAnsi" w:cstheme="minorHAnsi"/>
          <w:color w:val="202124"/>
          <w:spacing w:val="3"/>
          <w:shd w:val="clear" w:color="auto" w:fill="FFFFFF"/>
        </w:rPr>
      </w:pPr>
      <w:r w:rsidRPr="007A5227">
        <w:rPr>
          <w:rFonts w:asciiTheme="minorHAnsi" w:hAnsiTheme="minorHAnsi" w:cstheme="minorHAnsi"/>
          <w:b/>
          <w:bCs/>
          <w:color w:val="202124"/>
          <w:spacing w:val="3"/>
          <w:shd w:val="clear" w:color="auto" w:fill="FFFFFF"/>
        </w:rPr>
        <w:t>Persona:</w:t>
      </w:r>
      <w:r w:rsidRPr="007A5227">
        <w:rPr>
          <w:rFonts w:asciiTheme="minorHAnsi" w:hAnsiTheme="minorHAnsi" w:cstheme="minorHAnsi"/>
          <w:color w:val="202124"/>
          <w:spacing w:val="3"/>
          <w:shd w:val="clear" w:color="auto" w:fill="FFFFFF"/>
        </w:rPr>
        <w:t xml:space="preserve"> You’re a master’s student in international business, writing your assessment. </w:t>
      </w:r>
    </w:p>
    <w:p w14:paraId="7D1995BF" w14:textId="77777777" w:rsidR="003606E6" w:rsidRPr="007A5227" w:rsidRDefault="003606E6" w:rsidP="003606E6">
      <w:pPr>
        <w:spacing w:line="240" w:lineRule="auto"/>
        <w:jc w:val="both"/>
        <w:rPr>
          <w:rFonts w:cstheme="minorHAnsi"/>
          <w:sz w:val="24"/>
          <w:szCs w:val="24"/>
        </w:rPr>
      </w:pPr>
      <w:r w:rsidRPr="007A5227">
        <w:rPr>
          <w:rFonts w:cstheme="minorHAnsi"/>
          <w:b/>
          <w:bCs/>
          <w:color w:val="202124"/>
          <w:spacing w:val="3"/>
          <w:sz w:val="24"/>
          <w:szCs w:val="24"/>
          <w:shd w:val="clear" w:color="auto" w:fill="FFFFFF"/>
        </w:rPr>
        <w:t xml:space="preserve">Context: Prepare an essay-style assignment (NOT a report) that critically evaluates how digital transformation is reshaping Global Talent Management (GTM) in multinational enterprises (MNEs). </w:t>
      </w:r>
      <w:r w:rsidRPr="007A5227">
        <w:rPr>
          <w:rFonts w:cstheme="minorHAnsi"/>
          <w:sz w:val="24"/>
          <w:szCs w:val="24"/>
        </w:rPr>
        <w:t>Humanise the content you write so it won't be flagged as written by AI, ensuring it reads as written by a human. That means changing your voice, tone, and style. Write in a natural layman's tone that anyone can understand, but make it formal and don't use first-person or contractions. Use UK English and citations. Use varied but simple sentence structures with simple words that anyone can understand, and maintain an authentic flow. Avoid robotic phrasing and keep the text engaging and relatable to human readers. Additionally, make subtle stylistic adjustments to reflect a thoughtful and personal academic writing style.</w:t>
      </w:r>
    </w:p>
    <w:p w14:paraId="5992C0BD" w14:textId="77777777" w:rsidR="003606E6" w:rsidRPr="007A5227" w:rsidRDefault="003606E6" w:rsidP="003606E6">
      <w:pPr>
        <w:spacing w:line="240" w:lineRule="auto"/>
        <w:jc w:val="both"/>
        <w:rPr>
          <w:rFonts w:cstheme="minorHAnsi"/>
          <w:sz w:val="24"/>
          <w:szCs w:val="24"/>
        </w:rPr>
      </w:pPr>
      <w:r w:rsidRPr="007A5227">
        <w:rPr>
          <w:rFonts w:cstheme="minorHAnsi"/>
          <w:sz w:val="24"/>
          <w:szCs w:val="24"/>
        </w:rPr>
        <w:t>As long as you follow all instructions, including those not listed, that's fine. This is an academic work, so using citations is its lifeline. Cite all statements, concepts, definitions, and anything that is not an explicit fact known by everyone needs a citation. Harvard uses "and" not "&amp;". That is among the instructions I explicitly told you to follow. It seems you're disobedient.</w:t>
      </w:r>
    </w:p>
    <w:p w14:paraId="6DF8F257" w14:textId="77777777" w:rsidR="003606E6" w:rsidRPr="007A5227" w:rsidRDefault="003606E6" w:rsidP="003606E6">
      <w:pPr>
        <w:spacing w:line="240" w:lineRule="auto"/>
        <w:jc w:val="both"/>
        <w:rPr>
          <w:rFonts w:cstheme="minorHAnsi"/>
          <w:sz w:val="24"/>
          <w:szCs w:val="24"/>
        </w:rPr>
      </w:pPr>
      <w:r w:rsidRPr="007A5227">
        <w:rPr>
          <w:rFonts w:cstheme="minorHAnsi"/>
          <w:sz w:val="24"/>
          <w:szCs w:val="24"/>
        </w:rPr>
        <w:t xml:space="preserve">As you develop and build upon your academic writing, there should be a move from a descriptive to a more critically evaluative tone. To shift from a descriptive to a critically evaluative writing tone, consider analysing rather than just describing facts. Evaluate their significance, implications, and connections. Challenge the underlying assumptions of the arguments you present. Support your evaluations with evidence, showing how it backs up your points. Highlight differences and similarities to provide deeper insights. Maintain a balanced view by considering multiple perspectives before forming conclusions. For example, you could have given a critique of some / all of the frameworks. What is said about their benefits and challenges? The use of assets to augment your main text could also have been considered. Look to increase your use of references and evidence (critically appraised) as you develop your points of view. Ensure that you use theory and its underpinnings and discuss how it relates to practice, with all the challenges that can occur. When referencing online sources, cite the most specific and direct URL rather than a general homepage link. Each citation should lead to the exact page where the data, statistic, or referenced content is found. For example, cite </w:t>
      </w:r>
      <w:hyperlink r:id="rId5" w:tgtFrame="_new" w:history="1">
        <w:r w:rsidRPr="007A5227">
          <w:rPr>
            <w:rStyle w:val="Hyperlink"/>
            <w:rFonts w:cstheme="minorHAnsi"/>
            <w:i/>
            <w:iCs/>
            <w:sz w:val="24"/>
            <w:szCs w:val="24"/>
          </w:rPr>
          <w:t>https://www.statista.com/topics/1145/internet-usage-worldwide/</w:t>
        </w:r>
      </w:hyperlink>
      <w:r w:rsidRPr="007A5227">
        <w:rPr>
          <w:rFonts w:cstheme="minorHAnsi"/>
          <w:sz w:val="24"/>
          <w:szCs w:val="24"/>
        </w:rPr>
        <w:t xml:space="preserve"> instead of </w:t>
      </w:r>
      <w:hyperlink r:id="rId6" w:tgtFrame="_new" w:history="1">
        <w:r w:rsidRPr="007A5227">
          <w:rPr>
            <w:rStyle w:val="Hyperlink"/>
            <w:rFonts w:cstheme="minorHAnsi"/>
            <w:i/>
            <w:iCs/>
            <w:sz w:val="24"/>
            <w:szCs w:val="24"/>
          </w:rPr>
          <w:t>https://www.statista.com/</w:t>
        </w:r>
      </w:hyperlink>
      <w:r w:rsidRPr="007A5227">
        <w:rPr>
          <w:rFonts w:cstheme="minorHAnsi"/>
          <w:sz w:val="24"/>
          <w:szCs w:val="24"/>
        </w:rPr>
        <w:t>. Prioritise official reports, peer-reviewed publications, and reputable databases over secondary summaries or broad domain links. If a direct URL is unavailable, source it from another reliable platform. Ensure all links are functional and point directly to the referenced material to uphold academic integrity and ease verification.</w:t>
      </w:r>
    </w:p>
    <w:p w14:paraId="725B3937" w14:textId="3AD7F73F" w:rsidR="003606E6" w:rsidRPr="007A5227" w:rsidRDefault="003606E6" w:rsidP="003606E6">
      <w:pPr>
        <w:spacing w:line="240" w:lineRule="auto"/>
        <w:jc w:val="both"/>
        <w:rPr>
          <w:rFonts w:cstheme="minorHAnsi"/>
          <w:sz w:val="24"/>
          <w:szCs w:val="24"/>
        </w:rPr>
      </w:pPr>
      <w:r w:rsidRPr="007A5227">
        <w:rPr>
          <w:rFonts w:cstheme="minorHAnsi"/>
          <w:b/>
          <w:bCs/>
          <w:sz w:val="24"/>
          <w:szCs w:val="24"/>
        </w:rPr>
        <w:t xml:space="preserve">Task: </w:t>
      </w:r>
      <w:r w:rsidRPr="007A5227">
        <w:rPr>
          <w:rFonts w:cstheme="minorHAnsi"/>
          <w:sz w:val="24"/>
          <w:szCs w:val="24"/>
        </w:rPr>
        <w:t xml:space="preserve">Taking a case study approach, critically assess the global strategy of a multinational corporation (MNC) of your choice.  Using theoretical models studied in this module, analyse the MNC’s competitive positioning and international expansion strategies.  Evaluate the MNC’s success in different global markets, considering its adaptation to local contexts.  Additionally, discuss how emerging trends in technology and </w:t>
      </w:r>
      <w:r w:rsidRPr="007A5227">
        <w:rPr>
          <w:rFonts w:cstheme="minorHAnsi"/>
          <w:sz w:val="24"/>
          <w:szCs w:val="24"/>
        </w:rPr>
        <w:lastRenderedPageBreak/>
        <w:t>sustainability impact the MNC’s global strategy.  Finally, propose recommendations for enhancing the MNC’s competitive advantage and global performance, using insights from the theoretical models.</w:t>
      </w:r>
    </w:p>
    <w:p w14:paraId="0275F217" w14:textId="77777777" w:rsidR="003606E6" w:rsidRDefault="003606E6" w:rsidP="003606E6">
      <w:pPr>
        <w:pStyle w:val="NormalWeb"/>
        <w:spacing w:before="120" w:beforeAutospacing="0" w:after="120" w:afterAutospacing="0" w:line="360" w:lineRule="auto"/>
        <w:jc w:val="both"/>
        <w:rPr>
          <w:rFonts w:asciiTheme="minorHAnsi" w:hAnsiTheme="minorHAnsi" w:cstheme="minorHAnsi"/>
          <w:bCs/>
          <w:i/>
        </w:rPr>
      </w:pPr>
      <w:r w:rsidRPr="007A5227">
        <w:rPr>
          <w:rFonts w:asciiTheme="minorHAnsi" w:hAnsiTheme="minorHAnsi" w:cstheme="minorHAnsi"/>
          <w:bCs/>
          <w:i/>
          <w:highlight w:val="cyan"/>
        </w:rPr>
        <w:t>Write section by section and pause until I ask you to go on.</w:t>
      </w:r>
    </w:p>
    <w:p w14:paraId="1CB0DFBA" w14:textId="77777777" w:rsidR="00F8207C" w:rsidRDefault="00F8207C" w:rsidP="003606E6">
      <w:pPr>
        <w:pStyle w:val="NormalWeb"/>
        <w:spacing w:before="120" w:beforeAutospacing="0" w:after="120" w:afterAutospacing="0" w:line="360" w:lineRule="auto"/>
        <w:jc w:val="both"/>
        <w:rPr>
          <w:rFonts w:asciiTheme="minorHAnsi" w:hAnsiTheme="minorHAnsi" w:cstheme="minorHAnsi"/>
          <w:bCs/>
          <w:i/>
        </w:rPr>
      </w:pPr>
    </w:p>
    <w:p w14:paraId="4A86E5A2" w14:textId="77777777" w:rsidR="00414AC1" w:rsidRDefault="00414AC1" w:rsidP="003606E6">
      <w:pPr>
        <w:pStyle w:val="NormalWeb"/>
        <w:spacing w:before="120" w:beforeAutospacing="0" w:after="120" w:afterAutospacing="0" w:line="360" w:lineRule="auto"/>
        <w:jc w:val="both"/>
        <w:rPr>
          <w:rFonts w:asciiTheme="minorHAnsi" w:hAnsiTheme="minorHAnsi" w:cstheme="minorHAnsi"/>
          <w:bCs/>
          <w:i/>
        </w:rPr>
      </w:pPr>
    </w:p>
    <w:tbl>
      <w:tblPr>
        <w:tblStyle w:val="TableGrid"/>
        <w:tblW w:w="0" w:type="auto"/>
        <w:tblLook w:val="04A0" w:firstRow="1" w:lastRow="0" w:firstColumn="1" w:lastColumn="0" w:noHBand="0" w:noVBand="1"/>
      </w:tblPr>
      <w:tblGrid>
        <w:gridCol w:w="2200"/>
        <w:gridCol w:w="1131"/>
        <w:gridCol w:w="3588"/>
        <w:gridCol w:w="2530"/>
        <w:gridCol w:w="2167"/>
        <w:gridCol w:w="2332"/>
      </w:tblGrid>
      <w:tr w:rsidR="00F8207C" w:rsidRPr="00F8207C" w14:paraId="76702C91" w14:textId="77777777" w:rsidTr="00F8207C">
        <w:tc>
          <w:tcPr>
            <w:tcW w:w="0" w:type="auto"/>
            <w:hideMark/>
          </w:tcPr>
          <w:p w14:paraId="06B38DA4" w14:textId="77777777" w:rsidR="00F8207C" w:rsidRPr="00F8207C" w:rsidRDefault="00F8207C" w:rsidP="00F8207C">
            <w:pPr>
              <w:pStyle w:val="NormalWeb"/>
              <w:spacing w:before="120" w:after="120" w:line="360" w:lineRule="auto"/>
              <w:jc w:val="both"/>
              <w:rPr>
                <w:rFonts w:cstheme="minorHAnsi"/>
                <w:b/>
                <w:bCs/>
                <w:i/>
                <w:lang w:val="en-US"/>
              </w:rPr>
            </w:pPr>
            <w:r w:rsidRPr="00F8207C">
              <w:rPr>
                <w:rFonts w:cstheme="minorHAnsi"/>
                <w:b/>
                <w:bCs/>
                <w:i/>
                <w:lang w:val="en-US"/>
              </w:rPr>
              <w:t>Section</w:t>
            </w:r>
          </w:p>
        </w:tc>
        <w:tc>
          <w:tcPr>
            <w:tcW w:w="0" w:type="auto"/>
            <w:hideMark/>
          </w:tcPr>
          <w:p w14:paraId="314D8513" w14:textId="77777777" w:rsidR="00F8207C" w:rsidRPr="00F8207C" w:rsidRDefault="00F8207C" w:rsidP="00F8207C">
            <w:pPr>
              <w:pStyle w:val="NormalWeb"/>
              <w:spacing w:before="120" w:after="120" w:line="360" w:lineRule="auto"/>
              <w:jc w:val="both"/>
              <w:rPr>
                <w:rFonts w:cstheme="minorHAnsi"/>
                <w:b/>
                <w:bCs/>
                <w:i/>
                <w:lang w:val="en-US"/>
              </w:rPr>
            </w:pPr>
            <w:r w:rsidRPr="00F8207C">
              <w:rPr>
                <w:rFonts w:cstheme="minorHAnsi"/>
                <w:b/>
                <w:bCs/>
                <w:i/>
                <w:lang w:val="en-US"/>
              </w:rPr>
              <w:t>Approx. Word Count</w:t>
            </w:r>
          </w:p>
        </w:tc>
        <w:tc>
          <w:tcPr>
            <w:tcW w:w="0" w:type="auto"/>
            <w:hideMark/>
          </w:tcPr>
          <w:p w14:paraId="05F70219" w14:textId="77777777" w:rsidR="00F8207C" w:rsidRPr="00F8207C" w:rsidRDefault="00F8207C" w:rsidP="00F8207C">
            <w:pPr>
              <w:pStyle w:val="NormalWeb"/>
              <w:spacing w:before="120" w:after="120" w:line="360" w:lineRule="auto"/>
              <w:jc w:val="both"/>
              <w:rPr>
                <w:rFonts w:cstheme="minorHAnsi"/>
                <w:b/>
                <w:bCs/>
                <w:i/>
                <w:lang w:val="en-US"/>
              </w:rPr>
            </w:pPr>
            <w:r w:rsidRPr="00F8207C">
              <w:rPr>
                <w:rFonts w:cstheme="minorHAnsi"/>
                <w:b/>
                <w:bCs/>
                <w:i/>
                <w:lang w:val="en-US"/>
              </w:rPr>
              <w:t>Purpose and Content Summary</w:t>
            </w:r>
          </w:p>
        </w:tc>
        <w:tc>
          <w:tcPr>
            <w:tcW w:w="0" w:type="auto"/>
            <w:hideMark/>
          </w:tcPr>
          <w:p w14:paraId="7018248A" w14:textId="77777777" w:rsidR="00F8207C" w:rsidRPr="00F8207C" w:rsidRDefault="00F8207C" w:rsidP="00F8207C">
            <w:pPr>
              <w:pStyle w:val="NormalWeb"/>
              <w:spacing w:before="120" w:after="120" w:line="360" w:lineRule="auto"/>
              <w:jc w:val="both"/>
              <w:rPr>
                <w:rFonts w:cstheme="minorHAnsi"/>
                <w:b/>
                <w:bCs/>
                <w:i/>
                <w:lang w:val="en-US"/>
              </w:rPr>
            </w:pPr>
            <w:r w:rsidRPr="00F8207C">
              <w:rPr>
                <w:rFonts w:cstheme="minorHAnsi"/>
                <w:b/>
                <w:bCs/>
                <w:i/>
                <w:lang w:val="en-US"/>
              </w:rPr>
              <w:t>Critical Focus / Guidance</w:t>
            </w:r>
          </w:p>
        </w:tc>
        <w:tc>
          <w:tcPr>
            <w:tcW w:w="0" w:type="auto"/>
            <w:hideMark/>
          </w:tcPr>
          <w:p w14:paraId="693EA975" w14:textId="77777777" w:rsidR="00F8207C" w:rsidRPr="00F8207C" w:rsidRDefault="00F8207C" w:rsidP="00F8207C">
            <w:pPr>
              <w:pStyle w:val="NormalWeb"/>
              <w:spacing w:before="120" w:after="120" w:line="360" w:lineRule="auto"/>
              <w:jc w:val="both"/>
              <w:rPr>
                <w:rFonts w:cstheme="minorHAnsi"/>
                <w:b/>
                <w:bCs/>
                <w:i/>
                <w:lang w:val="en-US"/>
              </w:rPr>
            </w:pPr>
            <w:r w:rsidRPr="00F8207C">
              <w:rPr>
                <w:rFonts w:cstheme="minorHAnsi"/>
                <w:b/>
                <w:bCs/>
                <w:i/>
                <w:lang w:val="en-US"/>
              </w:rPr>
              <w:t>Learning Outcomes Alignment</w:t>
            </w:r>
          </w:p>
        </w:tc>
        <w:tc>
          <w:tcPr>
            <w:tcW w:w="0" w:type="auto"/>
            <w:hideMark/>
          </w:tcPr>
          <w:p w14:paraId="23F7D9ED" w14:textId="77777777" w:rsidR="00F8207C" w:rsidRPr="00F8207C" w:rsidRDefault="00F8207C" w:rsidP="00F8207C">
            <w:pPr>
              <w:pStyle w:val="NormalWeb"/>
              <w:spacing w:before="120" w:after="120" w:line="360" w:lineRule="auto"/>
              <w:jc w:val="both"/>
              <w:rPr>
                <w:rFonts w:cstheme="minorHAnsi"/>
                <w:b/>
                <w:bCs/>
                <w:i/>
                <w:lang w:val="en-US"/>
              </w:rPr>
            </w:pPr>
            <w:r w:rsidRPr="00F8207C">
              <w:rPr>
                <w:rFonts w:cstheme="minorHAnsi"/>
                <w:b/>
                <w:bCs/>
                <w:i/>
                <w:lang w:val="en-US"/>
              </w:rPr>
              <w:t>Marking Criteria Alignment (Distinction 70–100%)</w:t>
            </w:r>
          </w:p>
        </w:tc>
      </w:tr>
      <w:tr w:rsidR="00F8207C" w:rsidRPr="00F8207C" w14:paraId="6354AD93" w14:textId="77777777" w:rsidTr="00F8207C">
        <w:tc>
          <w:tcPr>
            <w:tcW w:w="0" w:type="auto"/>
            <w:hideMark/>
          </w:tcPr>
          <w:p w14:paraId="486A9DDA"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
                <w:bCs/>
                <w:i/>
                <w:lang w:val="en-US"/>
              </w:rPr>
              <w:t>1. Introduction</w:t>
            </w:r>
          </w:p>
        </w:tc>
        <w:tc>
          <w:tcPr>
            <w:tcW w:w="0" w:type="auto"/>
            <w:hideMark/>
          </w:tcPr>
          <w:p w14:paraId="3D3692AE"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
                <w:bCs/>
                <w:i/>
                <w:lang w:val="en-US"/>
              </w:rPr>
              <w:t>100–150</w:t>
            </w:r>
          </w:p>
        </w:tc>
        <w:tc>
          <w:tcPr>
            <w:tcW w:w="0" w:type="auto"/>
            <w:hideMark/>
          </w:tcPr>
          <w:p w14:paraId="71A5F8EC"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Cs/>
                <w:i/>
                <w:lang w:val="en-US"/>
              </w:rPr>
              <w:t>Introduce the chosen multinational enterprise (MNE): include company name, sector, turnover, global footprint, workforce, and key industry trends. Outline the purpose of the report and identify the frameworks to be applied.</w:t>
            </w:r>
          </w:p>
        </w:tc>
        <w:tc>
          <w:tcPr>
            <w:tcW w:w="0" w:type="auto"/>
            <w:hideMark/>
          </w:tcPr>
          <w:p w14:paraId="074B5C2A"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Cs/>
                <w:i/>
                <w:lang w:val="en-US"/>
              </w:rPr>
              <w:t>Use the latest data (2024–2025) from reliable sources such as company annual reports, Statista, or OECD. Present information clearly using tables or visuals. End with the analytical aim and structure of the paper.</w:t>
            </w:r>
          </w:p>
        </w:tc>
        <w:tc>
          <w:tcPr>
            <w:tcW w:w="0" w:type="auto"/>
            <w:hideMark/>
          </w:tcPr>
          <w:p w14:paraId="711B766B"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Cs/>
                <w:i/>
                <w:lang w:val="en-US"/>
              </w:rPr>
              <w:t>Demonstrate foundational understanding of international business and sustainability strategy.</w:t>
            </w:r>
          </w:p>
        </w:tc>
        <w:tc>
          <w:tcPr>
            <w:tcW w:w="0" w:type="auto"/>
            <w:hideMark/>
          </w:tcPr>
          <w:p w14:paraId="459AEBCB"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
                <w:bCs/>
                <w:i/>
                <w:lang w:val="en-US"/>
              </w:rPr>
              <w:t>Knowledge (20%)</w:t>
            </w:r>
            <w:r w:rsidRPr="00F8207C">
              <w:rPr>
                <w:rFonts w:cstheme="minorHAnsi"/>
                <w:bCs/>
                <w:i/>
                <w:lang w:val="en-US"/>
              </w:rPr>
              <w:t xml:space="preserve"> – Accurate company context. </w:t>
            </w:r>
            <w:r w:rsidRPr="00F8207C">
              <w:rPr>
                <w:rFonts w:cstheme="minorHAnsi"/>
                <w:b/>
                <w:bCs/>
                <w:i/>
                <w:lang w:val="en-US"/>
              </w:rPr>
              <w:t>Structure (10%)</w:t>
            </w:r>
            <w:r w:rsidRPr="00F8207C">
              <w:rPr>
                <w:rFonts w:cstheme="minorHAnsi"/>
                <w:bCs/>
                <w:i/>
                <w:lang w:val="en-US"/>
              </w:rPr>
              <w:t xml:space="preserve"> – Concise, data-led introduction.</w:t>
            </w:r>
          </w:p>
        </w:tc>
      </w:tr>
      <w:tr w:rsidR="00F8207C" w:rsidRPr="00F8207C" w14:paraId="1F05067C" w14:textId="77777777" w:rsidTr="00F8207C">
        <w:tc>
          <w:tcPr>
            <w:tcW w:w="0" w:type="auto"/>
            <w:hideMark/>
          </w:tcPr>
          <w:p w14:paraId="4293D0A5"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
                <w:bCs/>
                <w:i/>
                <w:lang w:val="en-US"/>
              </w:rPr>
              <w:lastRenderedPageBreak/>
              <w:t>2. Competitive Positioning – Porter’s Five Forces</w:t>
            </w:r>
          </w:p>
        </w:tc>
        <w:tc>
          <w:tcPr>
            <w:tcW w:w="0" w:type="auto"/>
            <w:hideMark/>
          </w:tcPr>
          <w:p w14:paraId="3BB82787"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
                <w:bCs/>
                <w:i/>
                <w:lang w:val="en-US"/>
              </w:rPr>
              <w:t>≈ 500</w:t>
            </w:r>
          </w:p>
        </w:tc>
        <w:tc>
          <w:tcPr>
            <w:tcW w:w="0" w:type="auto"/>
            <w:hideMark/>
          </w:tcPr>
          <w:p w14:paraId="22D13ADD"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Cs/>
                <w:i/>
                <w:lang w:val="en-US"/>
              </w:rPr>
              <w:t>Analyse the competitive dynamics within one major host-country market using Porter’s Five Forces (rivalry, new entrants, buyers, suppliers, substitutes).</w:t>
            </w:r>
          </w:p>
        </w:tc>
        <w:tc>
          <w:tcPr>
            <w:tcW w:w="0" w:type="auto"/>
            <w:hideMark/>
          </w:tcPr>
          <w:p w14:paraId="4FCBFB70"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Cs/>
                <w:i/>
                <w:lang w:val="en-US"/>
              </w:rPr>
              <w:t xml:space="preserve">Define micro-analysis and explain Porter’s framework. Discuss </w:t>
            </w:r>
            <w:r w:rsidRPr="00F8207C">
              <w:rPr>
                <w:rFonts w:cstheme="minorHAnsi"/>
                <w:b/>
                <w:bCs/>
                <w:i/>
                <w:lang w:val="en-US"/>
              </w:rPr>
              <w:t>two analytical points per force</w:t>
            </w:r>
            <w:r w:rsidRPr="00F8207C">
              <w:rPr>
                <w:rFonts w:cstheme="minorHAnsi"/>
                <w:bCs/>
                <w:i/>
                <w:lang w:val="en-US"/>
              </w:rPr>
              <w:t xml:space="preserve"> (≈ 50 words each) with data and citations. Include a labelled diagram and a short summary table ranking each force (High, Moderate, Low).</w:t>
            </w:r>
          </w:p>
        </w:tc>
        <w:tc>
          <w:tcPr>
            <w:tcW w:w="0" w:type="auto"/>
            <w:hideMark/>
          </w:tcPr>
          <w:p w14:paraId="5F79D8A5"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Cs/>
                <w:i/>
                <w:lang w:val="en-US"/>
              </w:rPr>
              <w:t>Apply critical evaluation of market forces affecting competitiveness.</w:t>
            </w:r>
          </w:p>
        </w:tc>
        <w:tc>
          <w:tcPr>
            <w:tcW w:w="0" w:type="auto"/>
            <w:hideMark/>
          </w:tcPr>
          <w:p w14:paraId="60790D6D"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
                <w:bCs/>
                <w:i/>
                <w:lang w:val="en-US"/>
              </w:rPr>
              <w:t>Application (30%)</w:t>
            </w:r>
            <w:r w:rsidRPr="00F8207C">
              <w:rPr>
                <w:rFonts w:cstheme="minorHAnsi"/>
                <w:bCs/>
                <w:i/>
                <w:lang w:val="en-US"/>
              </w:rPr>
              <w:t xml:space="preserve">, </w:t>
            </w:r>
            <w:r w:rsidRPr="00F8207C">
              <w:rPr>
                <w:rFonts w:cstheme="minorHAnsi"/>
                <w:b/>
                <w:bCs/>
                <w:i/>
                <w:lang w:val="en-US"/>
              </w:rPr>
              <w:t>Analysis (25%)</w:t>
            </w:r>
            <w:r w:rsidRPr="00F8207C">
              <w:rPr>
                <w:rFonts w:cstheme="minorHAnsi"/>
                <w:bCs/>
                <w:i/>
                <w:lang w:val="en-US"/>
              </w:rPr>
              <w:t xml:space="preserve"> – Strong empirical discussion supported by data and theory.</w:t>
            </w:r>
          </w:p>
        </w:tc>
      </w:tr>
      <w:tr w:rsidR="00F8207C" w:rsidRPr="00F8207C" w14:paraId="249FACC3" w14:textId="77777777" w:rsidTr="00F8207C">
        <w:tc>
          <w:tcPr>
            <w:tcW w:w="0" w:type="auto"/>
            <w:hideMark/>
          </w:tcPr>
          <w:p w14:paraId="1ED68E81"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
                <w:bCs/>
                <w:i/>
                <w:lang w:val="en-US"/>
              </w:rPr>
              <w:t>3. National Advantage – Porter’s Diamond Model</w:t>
            </w:r>
          </w:p>
        </w:tc>
        <w:tc>
          <w:tcPr>
            <w:tcW w:w="0" w:type="auto"/>
            <w:hideMark/>
          </w:tcPr>
          <w:p w14:paraId="28259AF8"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
                <w:bCs/>
                <w:i/>
                <w:lang w:val="en-US"/>
              </w:rPr>
              <w:t>≈ 600–700</w:t>
            </w:r>
          </w:p>
        </w:tc>
        <w:tc>
          <w:tcPr>
            <w:tcW w:w="0" w:type="auto"/>
            <w:hideMark/>
          </w:tcPr>
          <w:p w14:paraId="45B6E719"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Cs/>
                <w:i/>
                <w:lang w:val="en-US"/>
              </w:rPr>
              <w:t>Examine how the home-country environment supports competitiveness using Porter’s Diamond Model (Factor Conditions, Demand Conditions, Related and Supporting Industries, Firm Strategy/Structure/Rivalry). Include Government and Chance.</w:t>
            </w:r>
          </w:p>
        </w:tc>
        <w:tc>
          <w:tcPr>
            <w:tcW w:w="0" w:type="auto"/>
            <w:hideMark/>
          </w:tcPr>
          <w:p w14:paraId="14CC7D1B"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Cs/>
                <w:i/>
                <w:lang w:val="en-US"/>
              </w:rPr>
              <w:t xml:space="preserve">Integrate critical evaluation rather than a separate critique. Use at least </w:t>
            </w:r>
            <w:r w:rsidRPr="00F8207C">
              <w:rPr>
                <w:rFonts w:cstheme="minorHAnsi"/>
                <w:b/>
                <w:bCs/>
                <w:i/>
                <w:lang w:val="en-US"/>
              </w:rPr>
              <w:t>15–20 sources</w:t>
            </w:r>
            <w:r w:rsidRPr="00F8207C">
              <w:rPr>
                <w:rFonts w:cstheme="minorHAnsi"/>
                <w:bCs/>
                <w:i/>
                <w:lang w:val="en-US"/>
              </w:rPr>
              <w:t xml:space="preserve"> (OECD, IMF, WTO, McKinsey, etc.). Link each determinant to how it influences international performance.</w:t>
            </w:r>
          </w:p>
        </w:tc>
        <w:tc>
          <w:tcPr>
            <w:tcW w:w="0" w:type="auto"/>
            <w:hideMark/>
          </w:tcPr>
          <w:p w14:paraId="03E8322E"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Cs/>
                <w:i/>
                <w:lang w:val="en-US"/>
              </w:rPr>
              <w:t>Evaluate how national ecosystems drive global competitiveness and innovation.</w:t>
            </w:r>
          </w:p>
        </w:tc>
        <w:tc>
          <w:tcPr>
            <w:tcW w:w="0" w:type="auto"/>
            <w:hideMark/>
          </w:tcPr>
          <w:p w14:paraId="7DD9B91E"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
                <w:bCs/>
                <w:i/>
                <w:lang w:val="en-US"/>
              </w:rPr>
              <w:t>Knowledge (20%)</w:t>
            </w:r>
            <w:r w:rsidRPr="00F8207C">
              <w:rPr>
                <w:rFonts w:cstheme="minorHAnsi"/>
                <w:bCs/>
                <w:i/>
                <w:lang w:val="en-US"/>
              </w:rPr>
              <w:t xml:space="preserve">, </w:t>
            </w:r>
            <w:r w:rsidRPr="00F8207C">
              <w:rPr>
                <w:rFonts w:cstheme="minorHAnsi"/>
                <w:b/>
                <w:bCs/>
                <w:i/>
                <w:lang w:val="en-US"/>
              </w:rPr>
              <w:t>Application (30%)</w:t>
            </w:r>
            <w:r w:rsidRPr="00F8207C">
              <w:rPr>
                <w:rFonts w:cstheme="minorHAnsi"/>
                <w:bCs/>
                <w:i/>
                <w:lang w:val="en-US"/>
              </w:rPr>
              <w:t xml:space="preserve">, </w:t>
            </w:r>
            <w:r w:rsidRPr="00F8207C">
              <w:rPr>
                <w:rFonts w:cstheme="minorHAnsi"/>
                <w:b/>
                <w:bCs/>
                <w:i/>
                <w:lang w:val="en-US"/>
              </w:rPr>
              <w:t>Analysis (25%)</w:t>
            </w:r>
            <w:r w:rsidRPr="00F8207C">
              <w:rPr>
                <w:rFonts w:cstheme="minorHAnsi"/>
                <w:bCs/>
                <w:i/>
                <w:lang w:val="en-US"/>
              </w:rPr>
              <w:t xml:space="preserve"> – Deep synthesis of national context with theory.</w:t>
            </w:r>
          </w:p>
        </w:tc>
      </w:tr>
      <w:tr w:rsidR="00F8207C" w:rsidRPr="00F8207C" w14:paraId="19B2873B" w14:textId="77777777" w:rsidTr="00F8207C">
        <w:tc>
          <w:tcPr>
            <w:tcW w:w="0" w:type="auto"/>
            <w:hideMark/>
          </w:tcPr>
          <w:p w14:paraId="1CB367DE"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
                <w:bCs/>
                <w:i/>
                <w:lang w:val="en-US"/>
              </w:rPr>
              <w:lastRenderedPageBreak/>
              <w:t>4. International Strategy – Bartlett and Ghoshal’s I–R Framework</w:t>
            </w:r>
          </w:p>
        </w:tc>
        <w:tc>
          <w:tcPr>
            <w:tcW w:w="0" w:type="auto"/>
            <w:hideMark/>
          </w:tcPr>
          <w:p w14:paraId="29A47DE0"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
                <w:bCs/>
                <w:i/>
                <w:lang w:val="en-US"/>
              </w:rPr>
              <w:t>≈ 600</w:t>
            </w:r>
          </w:p>
        </w:tc>
        <w:tc>
          <w:tcPr>
            <w:tcW w:w="0" w:type="auto"/>
            <w:hideMark/>
          </w:tcPr>
          <w:p w14:paraId="267DC621"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Cs/>
                <w:i/>
                <w:lang w:val="en-US"/>
              </w:rPr>
              <w:t>Apply the Integration–Responsiveness Framework to determine the MNC’s global strategic posture (International, Multidomestic, Global, or Transnational).</w:t>
            </w:r>
          </w:p>
        </w:tc>
        <w:tc>
          <w:tcPr>
            <w:tcW w:w="0" w:type="auto"/>
            <w:hideMark/>
          </w:tcPr>
          <w:p w14:paraId="4226ABF7"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Cs/>
                <w:i/>
                <w:lang w:val="en-US"/>
              </w:rPr>
              <w:t>Summarise all four strategies, then justify which model the company most closely follows using examples of operations, marketing, and supply chain management. Include a comparative table linking strategy, market, and product scope.</w:t>
            </w:r>
          </w:p>
        </w:tc>
        <w:tc>
          <w:tcPr>
            <w:tcW w:w="0" w:type="auto"/>
            <w:hideMark/>
          </w:tcPr>
          <w:p w14:paraId="60A0039C"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Cs/>
                <w:i/>
                <w:lang w:val="en-US"/>
              </w:rPr>
              <w:t>Apply advanced understanding of strategic integration and responsiveness in global contexts.</w:t>
            </w:r>
          </w:p>
        </w:tc>
        <w:tc>
          <w:tcPr>
            <w:tcW w:w="0" w:type="auto"/>
            <w:hideMark/>
          </w:tcPr>
          <w:p w14:paraId="75B7728D"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
                <w:bCs/>
                <w:i/>
                <w:lang w:val="en-US"/>
              </w:rPr>
              <w:t>Knowledge (20%)</w:t>
            </w:r>
            <w:r w:rsidRPr="00F8207C">
              <w:rPr>
                <w:rFonts w:cstheme="minorHAnsi"/>
                <w:bCs/>
                <w:i/>
                <w:lang w:val="en-US"/>
              </w:rPr>
              <w:t xml:space="preserve">, </w:t>
            </w:r>
            <w:r w:rsidRPr="00F8207C">
              <w:rPr>
                <w:rFonts w:cstheme="minorHAnsi"/>
                <w:b/>
                <w:bCs/>
                <w:i/>
                <w:lang w:val="en-US"/>
              </w:rPr>
              <w:t>Application (30%)</w:t>
            </w:r>
            <w:r w:rsidRPr="00F8207C">
              <w:rPr>
                <w:rFonts w:cstheme="minorHAnsi"/>
                <w:bCs/>
                <w:i/>
                <w:lang w:val="en-US"/>
              </w:rPr>
              <w:t xml:space="preserve">, </w:t>
            </w:r>
            <w:r w:rsidRPr="00F8207C">
              <w:rPr>
                <w:rFonts w:cstheme="minorHAnsi"/>
                <w:b/>
                <w:bCs/>
                <w:i/>
                <w:lang w:val="en-US"/>
              </w:rPr>
              <w:t>Analysis (25%)</w:t>
            </w:r>
            <w:r w:rsidRPr="00F8207C">
              <w:rPr>
                <w:rFonts w:cstheme="minorHAnsi"/>
                <w:bCs/>
                <w:i/>
                <w:lang w:val="en-US"/>
              </w:rPr>
              <w:t xml:space="preserve"> – Balanced theoretical and practical insight.</w:t>
            </w:r>
          </w:p>
        </w:tc>
      </w:tr>
      <w:tr w:rsidR="00F8207C" w:rsidRPr="00F8207C" w14:paraId="5704DB8B" w14:textId="77777777" w:rsidTr="00F8207C">
        <w:tc>
          <w:tcPr>
            <w:tcW w:w="0" w:type="auto"/>
            <w:hideMark/>
          </w:tcPr>
          <w:p w14:paraId="70FAAD96"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
                <w:bCs/>
                <w:i/>
                <w:lang w:val="en-US"/>
              </w:rPr>
              <w:t>5. Macro-Environment (PESL Analysis)</w:t>
            </w:r>
          </w:p>
        </w:tc>
        <w:tc>
          <w:tcPr>
            <w:tcW w:w="0" w:type="auto"/>
            <w:hideMark/>
          </w:tcPr>
          <w:p w14:paraId="5BE23473"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
                <w:bCs/>
                <w:i/>
                <w:lang w:val="en-US"/>
              </w:rPr>
              <w:t>≈ 600</w:t>
            </w:r>
          </w:p>
        </w:tc>
        <w:tc>
          <w:tcPr>
            <w:tcW w:w="0" w:type="auto"/>
            <w:hideMark/>
          </w:tcPr>
          <w:p w14:paraId="1002FB6B"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Cs/>
                <w:i/>
                <w:lang w:val="en-US"/>
              </w:rPr>
              <w:t xml:space="preserve">Assess macro-environmental influences across home and host regions using the </w:t>
            </w:r>
            <w:r w:rsidRPr="00F8207C">
              <w:rPr>
                <w:rFonts w:cstheme="minorHAnsi"/>
                <w:b/>
                <w:bCs/>
                <w:i/>
                <w:lang w:val="en-US"/>
              </w:rPr>
              <w:t>PESL</w:t>
            </w:r>
            <w:r w:rsidRPr="00F8207C">
              <w:rPr>
                <w:rFonts w:cstheme="minorHAnsi"/>
                <w:bCs/>
                <w:i/>
                <w:lang w:val="en-US"/>
              </w:rPr>
              <w:t xml:space="preserve"> framework (Political, Economic, Social, Legal). Highlight opportunities and threats.</w:t>
            </w:r>
          </w:p>
        </w:tc>
        <w:tc>
          <w:tcPr>
            <w:tcW w:w="0" w:type="auto"/>
            <w:hideMark/>
          </w:tcPr>
          <w:p w14:paraId="5D73F0F7"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Cs/>
                <w:i/>
                <w:lang w:val="en-US"/>
              </w:rPr>
              <w:t xml:space="preserve">Include data such as </w:t>
            </w:r>
            <w:r w:rsidRPr="00F8207C">
              <w:rPr>
                <w:rFonts w:cstheme="minorHAnsi"/>
                <w:b/>
                <w:bCs/>
                <w:i/>
                <w:lang w:val="en-US"/>
              </w:rPr>
              <w:t>FDI inflows, GDP, PPP, inflation, labour laws, trade policies</w:t>
            </w:r>
            <w:r w:rsidRPr="00F8207C">
              <w:rPr>
                <w:rFonts w:cstheme="minorHAnsi"/>
                <w:bCs/>
                <w:i/>
                <w:lang w:val="en-US"/>
              </w:rPr>
              <w:t xml:space="preserve">, and sustainability regulations. Present findings in an </w:t>
            </w:r>
            <w:r w:rsidRPr="00F8207C">
              <w:rPr>
                <w:rFonts w:cstheme="minorHAnsi"/>
                <w:b/>
                <w:bCs/>
                <w:i/>
                <w:lang w:val="en-US"/>
              </w:rPr>
              <w:t>advanced PESL table</w:t>
            </w:r>
            <w:r w:rsidRPr="00F8207C">
              <w:rPr>
                <w:rFonts w:cstheme="minorHAnsi"/>
                <w:bCs/>
                <w:i/>
                <w:lang w:val="en-US"/>
              </w:rPr>
              <w:t xml:space="preserve"> with columns for </w:t>
            </w:r>
            <w:r w:rsidRPr="00F8207C">
              <w:rPr>
                <w:rFonts w:cstheme="minorHAnsi"/>
                <w:bCs/>
                <w:i/>
                <w:iCs/>
                <w:lang w:val="en-US"/>
              </w:rPr>
              <w:t>Impact</w:t>
            </w:r>
            <w:r w:rsidRPr="00F8207C">
              <w:rPr>
                <w:rFonts w:cstheme="minorHAnsi"/>
                <w:bCs/>
                <w:i/>
                <w:lang w:val="en-US"/>
              </w:rPr>
              <w:t xml:space="preserve">, </w:t>
            </w:r>
            <w:r w:rsidRPr="00F8207C">
              <w:rPr>
                <w:rFonts w:cstheme="minorHAnsi"/>
                <w:bCs/>
                <w:i/>
                <w:iCs/>
                <w:lang w:val="en-US"/>
              </w:rPr>
              <w:lastRenderedPageBreak/>
              <w:t>Opportunity</w:t>
            </w:r>
            <w:r w:rsidRPr="00F8207C">
              <w:rPr>
                <w:rFonts w:cstheme="minorHAnsi"/>
                <w:bCs/>
                <w:i/>
                <w:lang w:val="en-US"/>
              </w:rPr>
              <w:t xml:space="preserve">, </w:t>
            </w:r>
            <w:r w:rsidRPr="00F8207C">
              <w:rPr>
                <w:rFonts w:cstheme="minorHAnsi"/>
                <w:bCs/>
                <w:i/>
                <w:iCs/>
                <w:lang w:val="en-US"/>
              </w:rPr>
              <w:t>Threat</w:t>
            </w:r>
            <w:r w:rsidRPr="00F8207C">
              <w:rPr>
                <w:rFonts w:cstheme="minorHAnsi"/>
                <w:bCs/>
                <w:i/>
                <w:lang w:val="en-US"/>
              </w:rPr>
              <w:t xml:space="preserve">, and </w:t>
            </w:r>
            <w:r w:rsidRPr="00F8207C">
              <w:rPr>
                <w:rFonts w:cstheme="minorHAnsi"/>
                <w:bCs/>
                <w:i/>
                <w:iCs/>
                <w:lang w:val="en-US"/>
              </w:rPr>
              <w:t>Supporting Data.</w:t>
            </w:r>
          </w:p>
        </w:tc>
        <w:tc>
          <w:tcPr>
            <w:tcW w:w="0" w:type="auto"/>
            <w:hideMark/>
          </w:tcPr>
          <w:p w14:paraId="43F01D4E"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Cs/>
                <w:i/>
                <w:lang w:val="en-US"/>
              </w:rPr>
              <w:lastRenderedPageBreak/>
              <w:t>Critically assess how macro factors affect performance and strategic agility.</w:t>
            </w:r>
          </w:p>
        </w:tc>
        <w:tc>
          <w:tcPr>
            <w:tcW w:w="0" w:type="auto"/>
            <w:hideMark/>
          </w:tcPr>
          <w:p w14:paraId="6DA1108D"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
                <w:bCs/>
                <w:i/>
                <w:lang w:val="en-US"/>
              </w:rPr>
              <w:t>Application (30%)</w:t>
            </w:r>
            <w:r w:rsidRPr="00F8207C">
              <w:rPr>
                <w:rFonts w:cstheme="minorHAnsi"/>
                <w:bCs/>
                <w:i/>
                <w:lang w:val="en-US"/>
              </w:rPr>
              <w:t xml:space="preserve">, </w:t>
            </w:r>
            <w:r w:rsidRPr="00F8207C">
              <w:rPr>
                <w:rFonts w:cstheme="minorHAnsi"/>
                <w:b/>
                <w:bCs/>
                <w:i/>
                <w:lang w:val="en-US"/>
              </w:rPr>
              <w:t>Analysis (25%)</w:t>
            </w:r>
            <w:r w:rsidRPr="00F8207C">
              <w:rPr>
                <w:rFonts w:cstheme="minorHAnsi"/>
                <w:bCs/>
                <w:i/>
                <w:lang w:val="en-US"/>
              </w:rPr>
              <w:t xml:space="preserve">, </w:t>
            </w:r>
            <w:r w:rsidRPr="00F8207C">
              <w:rPr>
                <w:rFonts w:cstheme="minorHAnsi"/>
                <w:b/>
                <w:bCs/>
                <w:i/>
                <w:lang w:val="en-US"/>
              </w:rPr>
              <w:t>Structure (10%)</w:t>
            </w:r>
            <w:r w:rsidRPr="00F8207C">
              <w:rPr>
                <w:rFonts w:cstheme="minorHAnsi"/>
                <w:bCs/>
                <w:i/>
                <w:lang w:val="en-US"/>
              </w:rPr>
              <w:t xml:space="preserve"> – Clear, data-driven evaluation of risk and opportunity.</w:t>
            </w:r>
          </w:p>
        </w:tc>
      </w:tr>
      <w:tr w:rsidR="00F8207C" w:rsidRPr="00F8207C" w14:paraId="19CDCFB2" w14:textId="77777777" w:rsidTr="00F8207C">
        <w:tc>
          <w:tcPr>
            <w:tcW w:w="0" w:type="auto"/>
            <w:hideMark/>
          </w:tcPr>
          <w:p w14:paraId="70675A1B"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
                <w:bCs/>
                <w:i/>
                <w:lang w:val="en-US"/>
              </w:rPr>
              <w:t>6. CSR Practices and SDG Alignment</w:t>
            </w:r>
          </w:p>
        </w:tc>
        <w:tc>
          <w:tcPr>
            <w:tcW w:w="0" w:type="auto"/>
            <w:hideMark/>
          </w:tcPr>
          <w:p w14:paraId="47F8AC41"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
                <w:bCs/>
                <w:i/>
                <w:lang w:val="en-US"/>
              </w:rPr>
              <w:t>≈ 200</w:t>
            </w:r>
          </w:p>
        </w:tc>
        <w:tc>
          <w:tcPr>
            <w:tcW w:w="0" w:type="auto"/>
            <w:hideMark/>
          </w:tcPr>
          <w:p w14:paraId="29F50990"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Cs/>
                <w:i/>
                <w:lang w:val="en-US"/>
              </w:rPr>
              <w:t xml:space="preserve">Evaluate how the company’s CSR and ESG initiatives align with selected </w:t>
            </w:r>
            <w:r w:rsidRPr="00F8207C">
              <w:rPr>
                <w:rFonts w:cstheme="minorHAnsi"/>
                <w:b/>
                <w:bCs/>
                <w:i/>
                <w:lang w:val="en-US"/>
              </w:rPr>
              <w:t>UN SDGs</w:t>
            </w:r>
            <w:r w:rsidRPr="00F8207C">
              <w:rPr>
                <w:rFonts w:cstheme="minorHAnsi"/>
                <w:bCs/>
                <w:i/>
                <w:lang w:val="en-US"/>
              </w:rPr>
              <w:t xml:space="preserve"> (e.g., SDG 7, 9, 13). Discuss measurable outcomes and competitive value.</w:t>
            </w:r>
          </w:p>
        </w:tc>
        <w:tc>
          <w:tcPr>
            <w:tcW w:w="0" w:type="auto"/>
            <w:hideMark/>
          </w:tcPr>
          <w:p w14:paraId="387CABE2"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Cs/>
                <w:i/>
                <w:lang w:val="en-US"/>
              </w:rPr>
              <w:t>Use evidence from sustainability or ESG reports, UN databases, and consultancy studies (KPMG, Deloitte). Add a table summarising SDGs, CSR initiatives, outcomes, and strategic impact.</w:t>
            </w:r>
          </w:p>
        </w:tc>
        <w:tc>
          <w:tcPr>
            <w:tcW w:w="0" w:type="auto"/>
            <w:hideMark/>
          </w:tcPr>
          <w:p w14:paraId="21DADD63"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Cs/>
                <w:i/>
                <w:lang w:val="en-US"/>
              </w:rPr>
              <w:t>Demonstrate critical understanding of CSR as a global competitiveness tool.</w:t>
            </w:r>
          </w:p>
        </w:tc>
        <w:tc>
          <w:tcPr>
            <w:tcW w:w="0" w:type="auto"/>
            <w:hideMark/>
          </w:tcPr>
          <w:p w14:paraId="646BE219"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
                <w:bCs/>
                <w:i/>
                <w:lang w:val="en-US"/>
              </w:rPr>
              <w:t>Knowledge (20%)</w:t>
            </w:r>
            <w:r w:rsidRPr="00F8207C">
              <w:rPr>
                <w:rFonts w:cstheme="minorHAnsi"/>
                <w:bCs/>
                <w:i/>
                <w:lang w:val="en-US"/>
              </w:rPr>
              <w:t xml:space="preserve">, </w:t>
            </w:r>
            <w:r w:rsidRPr="00F8207C">
              <w:rPr>
                <w:rFonts w:cstheme="minorHAnsi"/>
                <w:b/>
                <w:bCs/>
                <w:i/>
                <w:lang w:val="en-US"/>
              </w:rPr>
              <w:t>Reading (15%)</w:t>
            </w:r>
            <w:r w:rsidRPr="00F8207C">
              <w:rPr>
                <w:rFonts w:cstheme="minorHAnsi"/>
                <w:bCs/>
                <w:i/>
                <w:lang w:val="en-US"/>
              </w:rPr>
              <w:t xml:space="preserve">, </w:t>
            </w:r>
            <w:r w:rsidRPr="00F8207C">
              <w:rPr>
                <w:rFonts w:cstheme="minorHAnsi"/>
                <w:b/>
                <w:bCs/>
                <w:i/>
                <w:lang w:val="en-US"/>
              </w:rPr>
              <w:t>Analysis (25%)</w:t>
            </w:r>
            <w:r w:rsidRPr="00F8207C">
              <w:rPr>
                <w:rFonts w:cstheme="minorHAnsi"/>
                <w:bCs/>
                <w:i/>
                <w:lang w:val="en-US"/>
              </w:rPr>
              <w:t xml:space="preserve"> – Integration of evidence and impact analysis.</w:t>
            </w:r>
          </w:p>
        </w:tc>
      </w:tr>
      <w:tr w:rsidR="00F8207C" w:rsidRPr="00F8207C" w14:paraId="4B8A1150" w14:textId="77777777" w:rsidTr="00F8207C">
        <w:tc>
          <w:tcPr>
            <w:tcW w:w="0" w:type="auto"/>
            <w:hideMark/>
          </w:tcPr>
          <w:p w14:paraId="07A5A7C0"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
                <w:bCs/>
                <w:i/>
                <w:lang w:val="en-US"/>
              </w:rPr>
              <w:t>7. Conclusion and Recommendations</w:t>
            </w:r>
          </w:p>
        </w:tc>
        <w:tc>
          <w:tcPr>
            <w:tcW w:w="0" w:type="auto"/>
            <w:hideMark/>
          </w:tcPr>
          <w:p w14:paraId="79211A2F"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
                <w:bCs/>
                <w:i/>
                <w:lang w:val="en-US"/>
              </w:rPr>
              <w:t>≈ 200</w:t>
            </w:r>
          </w:p>
        </w:tc>
        <w:tc>
          <w:tcPr>
            <w:tcW w:w="0" w:type="auto"/>
            <w:hideMark/>
          </w:tcPr>
          <w:p w14:paraId="05F66813"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Cs/>
                <w:i/>
                <w:lang w:val="en-US"/>
              </w:rPr>
              <w:t>Summarise the key findings from all models and propose realistic, evidence-based recommendations for improving global performance and SDG alignment.</w:t>
            </w:r>
          </w:p>
        </w:tc>
        <w:tc>
          <w:tcPr>
            <w:tcW w:w="0" w:type="auto"/>
            <w:hideMark/>
          </w:tcPr>
          <w:p w14:paraId="59036310"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Cs/>
                <w:i/>
                <w:lang w:val="en-US"/>
              </w:rPr>
              <w:t xml:space="preserve">Each recommendation should specify </w:t>
            </w:r>
            <w:r w:rsidRPr="00F8207C">
              <w:rPr>
                <w:rFonts w:cstheme="minorHAnsi"/>
                <w:b/>
                <w:bCs/>
                <w:i/>
                <w:lang w:val="en-US"/>
              </w:rPr>
              <w:t>action, responsible level, and rationale.</w:t>
            </w:r>
            <w:r w:rsidRPr="00F8207C">
              <w:rPr>
                <w:rFonts w:cstheme="minorHAnsi"/>
                <w:bCs/>
                <w:i/>
                <w:lang w:val="en-US"/>
              </w:rPr>
              <w:t xml:space="preserve"> Link suggestions directly to insights from previous sections (e.g., digitalisation, localisation, sustainability).</w:t>
            </w:r>
          </w:p>
        </w:tc>
        <w:tc>
          <w:tcPr>
            <w:tcW w:w="0" w:type="auto"/>
            <w:hideMark/>
          </w:tcPr>
          <w:p w14:paraId="71FC458F"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Cs/>
                <w:i/>
                <w:lang w:val="en-US"/>
              </w:rPr>
              <w:t>Formulate strategic, ethical, and sustainable recommendations for international performance.</w:t>
            </w:r>
          </w:p>
        </w:tc>
        <w:tc>
          <w:tcPr>
            <w:tcW w:w="0" w:type="auto"/>
            <w:hideMark/>
          </w:tcPr>
          <w:p w14:paraId="76057C9A"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
                <w:bCs/>
                <w:i/>
                <w:lang w:val="en-US"/>
              </w:rPr>
              <w:t>Recommendations (30%)</w:t>
            </w:r>
            <w:r w:rsidRPr="00F8207C">
              <w:rPr>
                <w:rFonts w:cstheme="minorHAnsi"/>
                <w:bCs/>
                <w:i/>
                <w:lang w:val="en-US"/>
              </w:rPr>
              <w:t xml:space="preserve">, </w:t>
            </w:r>
            <w:r w:rsidRPr="00F8207C">
              <w:rPr>
                <w:rFonts w:cstheme="minorHAnsi"/>
                <w:b/>
                <w:bCs/>
                <w:i/>
                <w:lang w:val="en-US"/>
              </w:rPr>
              <w:t>Structure (10%)</w:t>
            </w:r>
            <w:r w:rsidRPr="00F8207C">
              <w:rPr>
                <w:rFonts w:cstheme="minorHAnsi"/>
                <w:bCs/>
                <w:i/>
                <w:lang w:val="en-US"/>
              </w:rPr>
              <w:t xml:space="preserve"> – Logical, actionable, and justified outcomes.</w:t>
            </w:r>
          </w:p>
        </w:tc>
      </w:tr>
      <w:tr w:rsidR="00F8207C" w:rsidRPr="00F8207C" w14:paraId="42258BE7" w14:textId="77777777" w:rsidTr="00F8207C">
        <w:tc>
          <w:tcPr>
            <w:tcW w:w="0" w:type="auto"/>
            <w:hideMark/>
          </w:tcPr>
          <w:p w14:paraId="0AC6FD29"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
                <w:bCs/>
                <w:i/>
                <w:lang w:val="en-US"/>
              </w:rPr>
              <w:lastRenderedPageBreak/>
              <w:t>8. Reference List</w:t>
            </w:r>
          </w:p>
        </w:tc>
        <w:tc>
          <w:tcPr>
            <w:tcW w:w="0" w:type="auto"/>
            <w:hideMark/>
          </w:tcPr>
          <w:p w14:paraId="0EEAD23C"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
                <w:bCs/>
                <w:i/>
                <w:lang w:val="en-US"/>
              </w:rPr>
              <w:t>Not included in word count</w:t>
            </w:r>
          </w:p>
        </w:tc>
        <w:tc>
          <w:tcPr>
            <w:tcW w:w="0" w:type="auto"/>
            <w:hideMark/>
          </w:tcPr>
          <w:p w14:paraId="618FEE15"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Cs/>
                <w:i/>
                <w:lang w:val="en-US"/>
              </w:rPr>
              <w:t>Provide a full Harvard-style reference list (using “and,” not “&amp;”). Minimum 40–50 credible sources (2018–2025).</w:t>
            </w:r>
          </w:p>
        </w:tc>
        <w:tc>
          <w:tcPr>
            <w:tcW w:w="0" w:type="auto"/>
            <w:hideMark/>
          </w:tcPr>
          <w:p w14:paraId="69AD94DC"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Cs/>
                <w:i/>
                <w:lang w:val="en-US"/>
              </w:rPr>
              <w:t>Ensure accurate cross-referencing and hyperlinks to institutional data. Include academic, industry, and policy sources.</w:t>
            </w:r>
          </w:p>
        </w:tc>
        <w:tc>
          <w:tcPr>
            <w:tcW w:w="0" w:type="auto"/>
            <w:hideMark/>
          </w:tcPr>
          <w:p w14:paraId="4334B814"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Cs/>
                <w:i/>
                <w:lang w:val="en-US"/>
              </w:rPr>
              <w:t>Demonstrate academic integrity and comprehensive research.</w:t>
            </w:r>
          </w:p>
        </w:tc>
        <w:tc>
          <w:tcPr>
            <w:tcW w:w="0" w:type="auto"/>
            <w:hideMark/>
          </w:tcPr>
          <w:p w14:paraId="5886B047" w14:textId="77777777" w:rsidR="00F8207C" w:rsidRPr="00F8207C" w:rsidRDefault="00F8207C" w:rsidP="00F8207C">
            <w:pPr>
              <w:pStyle w:val="NormalWeb"/>
              <w:spacing w:before="120" w:after="120" w:line="360" w:lineRule="auto"/>
              <w:jc w:val="both"/>
              <w:rPr>
                <w:rFonts w:cstheme="minorHAnsi"/>
                <w:bCs/>
                <w:i/>
                <w:lang w:val="en-US"/>
              </w:rPr>
            </w:pPr>
            <w:r w:rsidRPr="00F8207C">
              <w:rPr>
                <w:rFonts w:cstheme="minorHAnsi"/>
                <w:b/>
                <w:bCs/>
                <w:i/>
                <w:lang w:val="en-US"/>
              </w:rPr>
              <w:t>Reading (15%)</w:t>
            </w:r>
            <w:r w:rsidRPr="00F8207C">
              <w:rPr>
                <w:rFonts w:cstheme="minorHAnsi"/>
                <w:bCs/>
                <w:i/>
                <w:lang w:val="en-US"/>
              </w:rPr>
              <w:t xml:space="preserve">, </w:t>
            </w:r>
            <w:r w:rsidRPr="00F8207C">
              <w:rPr>
                <w:rFonts w:cstheme="minorHAnsi"/>
                <w:b/>
                <w:bCs/>
                <w:i/>
                <w:lang w:val="en-US"/>
              </w:rPr>
              <w:t>Structure (10%)</w:t>
            </w:r>
            <w:r w:rsidRPr="00F8207C">
              <w:rPr>
                <w:rFonts w:cstheme="minorHAnsi"/>
                <w:bCs/>
                <w:i/>
                <w:lang w:val="en-US"/>
              </w:rPr>
              <w:t xml:space="preserve"> – Wide, relevant, and correctly formatted references.</w:t>
            </w:r>
          </w:p>
        </w:tc>
      </w:tr>
    </w:tbl>
    <w:p w14:paraId="1BF9EDBB" w14:textId="77777777" w:rsidR="00F8207C" w:rsidRDefault="00F8207C" w:rsidP="003606E6">
      <w:pPr>
        <w:pStyle w:val="NormalWeb"/>
        <w:spacing w:before="120" w:beforeAutospacing="0" w:after="120" w:afterAutospacing="0" w:line="360" w:lineRule="auto"/>
        <w:jc w:val="both"/>
        <w:rPr>
          <w:rFonts w:asciiTheme="minorHAnsi" w:hAnsiTheme="minorHAnsi" w:cstheme="minorHAnsi"/>
          <w:bCs/>
          <w:i/>
        </w:rPr>
      </w:pPr>
    </w:p>
    <w:p w14:paraId="530D7DC2" w14:textId="77777777" w:rsidR="00F8207C" w:rsidRDefault="00F8207C" w:rsidP="003606E6">
      <w:pPr>
        <w:pStyle w:val="NormalWeb"/>
        <w:spacing w:before="120" w:beforeAutospacing="0" w:after="120" w:afterAutospacing="0" w:line="360" w:lineRule="auto"/>
        <w:jc w:val="both"/>
        <w:rPr>
          <w:rFonts w:asciiTheme="minorHAnsi" w:hAnsiTheme="minorHAnsi" w:cstheme="minorHAnsi"/>
          <w:bCs/>
          <w:i/>
        </w:rPr>
      </w:pPr>
    </w:p>
    <w:p w14:paraId="1ECEC686" w14:textId="77777777" w:rsidR="00F8207C" w:rsidRPr="007A5227" w:rsidRDefault="00F8207C" w:rsidP="003606E6">
      <w:pPr>
        <w:pStyle w:val="NormalWeb"/>
        <w:spacing w:before="120" w:beforeAutospacing="0" w:after="120" w:afterAutospacing="0" w:line="360" w:lineRule="auto"/>
        <w:jc w:val="both"/>
        <w:rPr>
          <w:rFonts w:asciiTheme="minorHAnsi" w:hAnsiTheme="minorHAnsi" w:cstheme="minorHAnsi"/>
          <w:bCs/>
          <w:i/>
        </w:rPr>
      </w:pPr>
    </w:p>
    <w:tbl>
      <w:tblPr>
        <w:tblStyle w:val="TableGrid"/>
        <w:tblW w:w="0" w:type="auto"/>
        <w:tblLook w:val="04A0" w:firstRow="1" w:lastRow="0" w:firstColumn="1" w:lastColumn="0" w:noHBand="0" w:noVBand="1"/>
      </w:tblPr>
      <w:tblGrid>
        <w:gridCol w:w="2141"/>
        <w:gridCol w:w="1040"/>
        <w:gridCol w:w="3487"/>
        <w:gridCol w:w="2592"/>
        <w:gridCol w:w="2275"/>
        <w:gridCol w:w="2413"/>
      </w:tblGrid>
      <w:tr w:rsidR="007A5227" w:rsidRPr="003031E3" w14:paraId="74ED8457" w14:textId="77777777" w:rsidTr="003031E3">
        <w:tc>
          <w:tcPr>
            <w:tcW w:w="0" w:type="auto"/>
            <w:hideMark/>
          </w:tcPr>
          <w:p w14:paraId="4DFCF12B" w14:textId="77777777" w:rsidR="003031E3" w:rsidRPr="003031E3" w:rsidRDefault="003031E3" w:rsidP="003031E3">
            <w:pPr>
              <w:pStyle w:val="NormalWeb"/>
              <w:rPr>
                <w:rFonts w:asciiTheme="minorHAnsi" w:hAnsiTheme="minorHAnsi" w:cstheme="minorHAnsi"/>
                <w:b/>
                <w:bCs/>
                <w:lang w:val="en-US"/>
              </w:rPr>
            </w:pPr>
            <w:r w:rsidRPr="003031E3">
              <w:rPr>
                <w:rFonts w:asciiTheme="minorHAnsi" w:hAnsiTheme="minorHAnsi" w:cstheme="minorHAnsi"/>
                <w:b/>
                <w:bCs/>
                <w:lang w:val="en-US"/>
              </w:rPr>
              <w:t>Section</w:t>
            </w:r>
          </w:p>
        </w:tc>
        <w:tc>
          <w:tcPr>
            <w:tcW w:w="0" w:type="auto"/>
            <w:hideMark/>
          </w:tcPr>
          <w:p w14:paraId="7BBCCE31" w14:textId="77777777" w:rsidR="003031E3" w:rsidRPr="003031E3" w:rsidRDefault="003031E3" w:rsidP="003031E3">
            <w:pPr>
              <w:pStyle w:val="NormalWeb"/>
              <w:rPr>
                <w:rFonts w:asciiTheme="minorHAnsi" w:hAnsiTheme="minorHAnsi" w:cstheme="minorHAnsi"/>
                <w:b/>
                <w:bCs/>
                <w:lang w:val="en-US"/>
              </w:rPr>
            </w:pPr>
            <w:r w:rsidRPr="003031E3">
              <w:rPr>
                <w:rFonts w:asciiTheme="minorHAnsi" w:hAnsiTheme="minorHAnsi" w:cstheme="minorHAnsi"/>
                <w:b/>
                <w:bCs/>
                <w:lang w:val="en-US"/>
              </w:rPr>
              <w:t>Approx. Word Count</w:t>
            </w:r>
          </w:p>
        </w:tc>
        <w:tc>
          <w:tcPr>
            <w:tcW w:w="0" w:type="auto"/>
            <w:hideMark/>
          </w:tcPr>
          <w:p w14:paraId="153F2A42" w14:textId="77777777" w:rsidR="003031E3" w:rsidRPr="003031E3" w:rsidRDefault="003031E3" w:rsidP="003031E3">
            <w:pPr>
              <w:pStyle w:val="NormalWeb"/>
              <w:rPr>
                <w:rFonts w:asciiTheme="minorHAnsi" w:hAnsiTheme="minorHAnsi" w:cstheme="minorHAnsi"/>
                <w:b/>
                <w:bCs/>
                <w:lang w:val="en-US"/>
              </w:rPr>
            </w:pPr>
            <w:r w:rsidRPr="003031E3">
              <w:rPr>
                <w:rFonts w:asciiTheme="minorHAnsi" w:hAnsiTheme="minorHAnsi" w:cstheme="minorHAnsi"/>
                <w:b/>
                <w:bCs/>
                <w:lang w:val="en-US"/>
              </w:rPr>
              <w:t>Purpose and Content Summary</w:t>
            </w:r>
          </w:p>
        </w:tc>
        <w:tc>
          <w:tcPr>
            <w:tcW w:w="0" w:type="auto"/>
            <w:hideMark/>
          </w:tcPr>
          <w:p w14:paraId="3344F494" w14:textId="77777777" w:rsidR="003031E3" w:rsidRPr="003031E3" w:rsidRDefault="003031E3" w:rsidP="003031E3">
            <w:pPr>
              <w:pStyle w:val="NormalWeb"/>
              <w:rPr>
                <w:rFonts w:asciiTheme="minorHAnsi" w:hAnsiTheme="minorHAnsi" w:cstheme="minorHAnsi"/>
                <w:b/>
                <w:bCs/>
                <w:lang w:val="en-US"/>
              </w:rPr>
            </w:pPr>
            <w:r w:rsidRPr="003031E3">
              <w:rPr>
                <w:rFonts w:asciiTheme="minorHAnsi" w:hAnsiTheme="minorHAnsi" w:cstheme="minorHAnsi"/>
                <w:b/>
                <w:bCs/>
                <w:lang w:val="en-US"/>
              </w:rPr>
              <w:t>Critical Focus / Guidance</w:t>
            </w:r>
          </w:p>
        </w:tc>
        <w:tc>
          <w:tcPr>
            <w:tcW w:w="0" w:type="auto"/>
            <w:hideMark/>
          </w:tcPr>
          <w:p w14:paraId="776799FE" w14:textId="77777777" w:rsidR="003031E3" w:rsidRPr="003031E3" w:rsidRDefault="003031E3" w:rsidP="003031E3">
            <w:pPr>
              <w:pStyle w:val="NormalWeb"/>
              <w:rPr>
                <w:rFonts w:asciiTheme="minorHAnsi" w:hAnsiTheme="minorHAnsi" w:cstheme="minorHAnsi"/>
                <w:b/>
                <w:bCs/>
                <w:lang w:val="en-US"/>
              </w:rPr>
            </w:pPr>
            <w:r w:rsidRPr="003031E3">
              <w:rPr>
                <w:rFonts w:asciiTheme="minorHAnsi" w:hAnsiTheme="minorHAnsi" w:cstheme="minorHAnsi"/>
                <w:b/>
                <w:bCs/>
                <w:lang w:val="en-US"/>
              </w:rPr>
              <w:t>Learning Outcomes Alignment</w:t>
            </w:r>
          </w:p>
        </w:tc>
        <w:tc>
          <w:tcPr>
            <w:tcW w:w="0" w:type="auto"/>
            <w:hideMark/>
          </w:tcPr>
          <w:p w14:paraId="5C8BA95F" w14:textId="77777777" w:rsidR="003031E3" w:rsidRPr="003031E3" w:rsidRDefault="003031E3" w:rsidP="003031E3">
            <w:pPr>
              <w:pStyle w:val="NormalWeb"/>
              <w:rPr>
                <w:rFonts w:asciiTheme="minorHAnsi" w:hAnsiTheme="minorHAnsi" w:cstheme="minorHAnsi"/>
                <w:b/>
                <w:bCs/>
                <w:lang w:val="en-US"/>
              </w:rPr>
            </w:pPr>
            <w:r w:rsidRPr="003031E3">
              <w:rPr>
                <w:rFonts w:asciiTheme="minorHAnsi" w:hAnsiTheme="minorHAnsi" w:cstheme="minorHAnsi"/>
                <w:b/>
                <w:bCs/>
                <w:lang w:val="en-US"/>
              </w:rPr>
              <w:t>Marking Criteria Alignment (Distinction 70–100%)</w:t>
            </w:r>
          </w:p>
        </w:tc>
      </w:tr>
      <w:tr w:rsidR="007A5227" w:rsidRPr="003031E3" w14:paraId="183A46C8" w14:textId="77777777" w:rsidTr="003031E3">
        <w:tc>
          <w:tcPr>
            <w:tcW w:w="0" w:type="auto"/>
            <w:hideMark/>
          </w:tcPr>
          <w:p w14:paraId="56FAEDD9"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1. Introduction</w:t>
            </w:r>
          </w:p>
        </w:tc>
        <w:tc>
          <w:tcPr>
            <w:tcW w:w="0" w:type="auto"/>
            <w:hideMark/>
          </w:tcPr>
          <w:p w14:paraId="73837B91"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100</w:t>
            </w:r>
          </w:p>
        </w:tc>
        <w:tc>
          <w:tcPr>
            <w:tcW w:w="0" w:type="auto"/>
            <w:hideMark/>
          </w:tcPr>
          <w:p w14:paraId="16284C6F"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 xml:space="preserve">Introduce </w:t>
            </w:r>
            <w:r w:rsidRPr="003031E3">
              <w:rPr>
                <w:rFonts w:asciiTheme="minorHAnsi" w:hAnsiTheme="minorHAnsi" w:cstheme="minorHAnsi"/>
                <w:i/>
                <w:iCs/>
                <w:lang w:val="en-US"/>
              </w:rPr>
              <w:t>the company</w:t>
            </w:r>
            <w:r w:rsidRPr="003031E3">
              <w:rPr>
                <w:rFonts w:asciiTheme="minorHAnsi" w:hAnsiTheme="minorHAnsi" w:cstheme="minorHAnsi"/>
                <w:lang w:val="en-US"/>
              </w:rPr>
              <w:t xml:space="preserve"> as a multinational enterprise (MNE): its market sectors, turnover, workforce size, and global presence using the latest 2024/2025 financial data. Explain the essay’s aim — to analyse </w:t>
            </w:r>
            <w:r w:rsidRPr="003031E3">
              <w:rPr>
                <w:rFonts w:asciiTheme="minorHAnsi" w:hAnsiTheme="minorHAnsi" w:cstheme="minorHAnsi"/>
                <w:i/>
                <w:iCs/>
                <w:lang w:val="en-US"/>
              </w:rPr>
              <w:t>the company’s</w:t>
            </w:r>
            <w:r w:rsidRPr="003031E3">
              <w:rPr>
                <w:rFonts w:asciiTheme="minorHAnsi" w:hAnsiTheme="minorHAnsi" w:cstheme="minorHAnsi"/>
                <w:lang w:val="en-US"/>
              </w:rPr>
              <w:t xml:space="preserve"> international strategy, competitive advantage, and alignment with the UN SDGs.</w:t>
            </w:r>
          </w:p>
        </w:tc>
        <w:tc>
          <w:tcPr>
            <w:tcW w:w="0" w:type="auto"/>
            <w:hideMark/>
          </w:tcPr>
          <w:p w14:paraId="23090163"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Use verifiable data from the company’s latest annual reports, Statista, or industry databases. Provide at least five citations with direct URLs.</w:t>
            </w:r>
          </w:p>
        </w:tc>
        <w:tc>
          <w:tcPr>
            <w:tcW w:w="0" w:type="auto"/>
            <w:hideMark/>
          </w:tcPr>
          <w:p w14:paraId="2B86FC3F"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Demonstrate foundational understanding of international business and sustainability strategy concepts.</w:t>
            </w:r>
          </w:p>
        </w:tc>
        <w:tc>
          <w:tcPr>
            <w:tcW w:w="0" w:type="auto"/>
            <w:hideMark/>
          </w:tcPr>
          <w:p w14:paraId="7487C916"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Knowledge (20%) — Exceptional grasp of international business context. Structure (10%) — Focused, data-supported introduction.</w:t>
            </w:r>
          </w:p>
        </w:tc>
      </w:tr>
      <w:tr w:rsidR="007A5227" w:rsidRPr="003031E3" w14:paraId="2F446033" w14:textId="77777777" w:rsidTr="003031E3">
        <w:tc>
          <w:tcPr>
            <w:tcW w:w="0" w:type="auto"/>
            <w:hideMark/>
          </w:tcPr>
          <w:p w14:paraId="0EBA2ED1"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lastRenderedPageBreak/>
              <w:t>2. Competitive Positioning: Porter’s Five Forces Analysis</w:t>
            </w:r>
          </w:p>
        </w:tc>
        <w:tc>
          <w:tcPr>
            <w:tcW w:w="0" w:type="auto"/>
            <w:hideMark/>
          </w:tcPr>
          <w:p w14:paraId="17A2B855"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500</w:t>
            </w:r>
          </w:p>
        </w:tc>
        <w:tc>
          <w:tcPr>
            <w:tcW w:w="0" w:type="auto"/>
            <w:hideMark/>
          </w:tcPr>
          <w:p w14:paraId="58865564"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 xml:space="preserve">Define </w:t>
            </w:r>
            <w:r w:rsidRPr="003031E3">
              <w:rPr>
                <w:rFonts w:asciiTheme="minorHAnsi" w:hAnsiTheme="minorHAnsi" w:cstheme="minorHAnsi"/>
                <w:i/>
                <w:iCs/>
                <w:lang w:val="en-US"/>
              </w:rPr>
              <w:t>micro-analysis</w:t>
            </w:r>
            <w:r w:rsidRPr="003031E3">
              <w:rPr>
                <w:rFonts w:asciiTheme="minorHAnsi" w:hAnsiTheme="minorHAnsi" w:cstheme="minorHAnsi"/>
                <w:lang w:val="en-US"/>
              </w:rPr>
              <w:t xml:space="preserve"> and provide a cited definition of </w:t>
            </w:r>
            <w:r w:rsidRPr="003031E3">
              <w:rPr>
                <w:rFonts w:asciiTheme="minorHAnsi" w:hAnsiTheme="minorHAnsi" w:cstheme="minorHAnsi"/>
                <w:i/>
                <w:iCs/>
                <w:lang w:val="en-US"/>
              </w:rPr>
              <w:t>Porter’s Five Forces model</w:t>
            </w:r>
            <w:r w:rsidRPr="003031E3">
              <w:rPr>
                <w:rFonts w:asciiTheme="minorHAnsi" w:hAnsiTheme="minorHAnsi" w:cstheme="minorHAnsi"/>
                <w:lang w:val="en-US"/>
              </w:rPr>
              <w:t xml:space="preserve">. Apply the model to one key international market (not home country). Discuss two main points for each force with empirical data. Classify each as </w:t>
            </w:r>
            <w:r w:rsidRPr="003031E3">
              <w:rPr>
                <w:rFonts w:asciiTheme="minorHAnsi" w:hAnsiTheme="minorHAnsi" w:cstheme="minorHAnsi"/>
                <w:i/>
                <w:iCs/>
                <w:lang w:val="en-US"/>
              </w:rPr>
              <w:t>High, Moderate, or Low</w:t>
            </w:r>
            <w:r w:rsidRPr="003031E3">
              <w:rPr>
                <w:rFonts w:asciiTheme="minorHAnsi" w:hAnsiTheme="minorHAnsi" w:cstheme="minorHAnsi"/>
                <w:lang w:val="en-US"/>
              </w:rPr>
              <w:t xml:space="preserve"> and summarise in a 4×6 table (Force, Impact, Description, Level).</w:t>
            </w:r>
          </w:p>
        </w:tc>
        <w:tc>
          <w:tcPr>
            <w:tcW w:w="0" w:type="auto"/>
            <w:hideMark/>
          </w:tcPr>
          <w:p w14:paraId="3486C63B"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 xml:space="preserve">Critically evaluate supplier power, buyer power, competitive rivalry, threat of new entrants, and threat of substitutes. Use at least 20 diverse sources to interpret what these mean for </w:t>
            </w:r>
            <w:r w:rsidRPr="003031E3">
              <w:rPr>
                <w:rFonts w:asciiTheme="minorHAnsi" w:hAnsiTheme="minorHAnsi" w:cstheme="minorHAnsi"/>
                <w:i/>
                <w:iCs/>
                <w:lang w:val="en-US"/>
              </w:rPr>
              <w:t>the company’s</w:t>
            </w:r>
            <w:r w:rsidRPr="003031E3">
              <w:rPr>
                <w:rFonts w:asciiTheme="minorHAnsi" w:hAnsiTheme="minorHAnsi" w:cstheme="minorHAnsi"/>
                <w:lang w:val="en-US"/>
              </w:rPr>
              <w:t xml:space="preserve"> market position and industry attractiveness.</w:t>
            </w:r>
          </w:p>
        </w:tc>
        <w:tc>
          <w:tcPr>
            <w:tcW w:w="0" w:type="auto"/>
            <w:hideMark/>
          </w:tcPr>
          <w:p w14:paraId="316F844D"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Apply critical evaluation of theoretical frameworks to analyse competitive market forces.</w:t>
            </w:r>
          </w:p>
        </w:tc>
        <w:tc>
          <w:tcPr>
            <w:tcW w:w="0" w:type="auto"/>
            <w:hideMark/>
          </w:tcPr>
          <w:p w14:paraId="1E3340A9"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Application (30%) — Advanced use of Porter’s model. Analysis (25%) — Insightful evaluation of competitive dynamics.</w:t>
            </w:r>
          </w:p>
        </w:tc>
      </w:tr>
      <w:tr w:rsidR="007A5227" w:rsidRPr="003031E3" w14:paraId="143BF614" w14:textId="77777777" w:rsidTr="003031E3">
        <w:tc>
          <w:tcPr>
            <w:tcW w:w="0" w:type="auto"/>
            <w:hideMark/>
          </w:tcPr>
          <w:p w14:paraId="6D2B3EF8"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3. National Advantage: Porter’s Diamond Model</w:t>
            </w:r>
          </w:p>
        </w:tc>
        <w:tc>
          <w:tcPr>
            <w:tcW w:w="0" w:type="auto"/>
            <w:hideMark/>
          </w:tcPr>
          <w:p w14:paraId="2F1BA402"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600</w:t>
            </w:r>
          </w:p>
        </w:tc>
        <w:tc>
          <w:tcPr>
            <w:tcW w:w="0" w:type="auto"/>
            <w:hideMark/>
          </w:tcPr>
          <w:p w14:paraId="526FBA91"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 xml:space="preserve">Define </w:t>
            </w:r>
            <w:r w:rsidRPr="003031E3">
              <w:rPr>
                <w:rFonts w:asciiTheme="minorHAnsi" w:hAnsiTheme="minorHAnsi" w:cstheme="minorHAnsi"/>
                <w:i/>
                <w:iCs/>
                <w:lang w:val="en-US"/>
              </w:rPr>
              <w:t>Porter’s Diamond Model</w:t>
            </w:r>
            <w:r w:rsidRPr="003031E3">
              <w:rPr>
                <w:rFonts w:asciiTheme="minorHAnsi" w:hAnsiTheme="minorHAnsi" w:cstheme="minorHAnsi"/>
                <w:lang w:val="en-US"/>
              </w:rPr>
              <w:t xml:space="preserve"> and analyse how </w:t>
            </w:r>
            <w:r w:rsidRPr="003031E3">
              <w:rPr>
                <w:rFonts w:asciiTheme="minorHAnsi" w:hAnsiTheme="minorHAnsi" w:cstheme="minorHAnsi"/>
                <w:i/>
                <w:iCs/>
                <w:lang w:val="en-US"/>
              </w:rPr>
              <w:t>the company</w:t>
            </w:r>
            <w:r w:rsidRPr="003031E3">
              <w:rPr>
                <w:rFonts w:asciiTheme="minorHAnsi" w:hAnsiTheme="minorHAnsi" w:cstheme="minorHAnsi"/>
                <w:lang w:val="en-US"/>
              </w:rPr>
              <w:t xml:space="preserve"> benefits from home and host-country advantages. Evaluate the four determinants: </w:t>
            </w:r>
            <w:r w:rsidRPr="003031E3">
              <w:rPr>
                <w:rFonts w:asciiTheme="minorHAnsi" w:hAnsiTheme="minorHAnsi" w:cstheme="minorHAnsi"/>
                <w:i/>
                <w:iCs/>
                <w:lang w:val="en-US"/>
              </w:rPr>
              <w:t>Factor Conditions, Demand Conditions, Related and Supporting Industries, and Firm Strategy/Structure/Rivalry</w:t>
            </w:r>
            <w:r w:rsidRPr="003031E3">
              <w:rPr>
                <w:rFonts w:asciiTheme="minorHAnsi" w:hAnsiTheme="minorHAnsi" w:cstheme="minorHAnsi"/>
                <w:lang w:val="en-US"/>
              </w:rPr>
              <w:t xml:space="preserve"> using data-driven insights.</w:t>
            </w:r>
          </w:p>
        </w:tc>
        <w:tc>
          <w:tcPr>
            <w:tcW w:w="0" w:type="auto"/>
            <w:hideMark/>
          </w:tcPr>
          <w:p w14:paraId="23551E5A"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 xml:space="preserve">Draw on 20+ academic, institutional, and industry references (OECD, WTO, UNCTAD, etc.). Critically explain how national characteristics and innovation ecosystems shape </w:t>
            </w:r>
            <w:r w:rsidRPr="003031E3">
              <w:rPr>
                <w:rFonts w:asciiTheme="minorHAnsi" w:hAnsiTheme="minorHAnsi" w:cstheme="minorHAnsi"/>
                <w:i/>
                <w:iCs/>
                <w:lang w:val="en-US"/>
              </w:rPr>
              <w:t>the company’s</w:t>
            </w:r>
            <w:r w:rsidRPr="003031E3">
              <w:rPr>
                <w:rFonts w:asciiTheme="minorHAnsi" w:hAnsiTheme="minorHAnsi" w:cstheme="minorHAnsi"/>
                <w:lang w:val="en-US"/>
              </w:rPr>
              <w:t xml:space="preserve"> competitive advantage.</w:t>
            </w:r>
          </w:p>
        </w:tc>
        <w:tc>
          <w:tcPr>
            <w:tcW w:w="0" w:type="auto"/>
            <w:hideMark/>
          </w:tcPr>
          <w:p w14:paraId="137A15B9"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Formulate strategies that support successful international operations through the application of advanced theoretical frameworks.</w:t>
            </w:r>
          </w:p>
        </w:tc>
        <w:tc>
          <w:tcPr>
            <w:tcW w:w="0" w:type="auto"/>
            <w:hideMark/>
          </w:tcPr>
          <w:p w14:paraId="4DA0286F"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Application (30%) — Theoretical integration at postgraduate level. Analysis (25%) — Deep synthesis of national competitiveness. Reading (15%) — Extensive referencing.</w:t>
            </w:r>
          </w:p>
        </w:tc>
      </w:tr>
      <w:tr w:rsidR="007A5227" w:rsidRPr="003031E3" w14:paraId="37A83D20" w14:textId="77777777" w:rsidTr="003031E3">
        <w:tc>
          <w:tcPr>
            <w:tcW w:w="0" w:type="auto"/>
            <w:hideMark/>
          </w:tcPr>
          <w:p w14:paraId="5B5C293E"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4. International Strategy: Bartlett and Ghoshal Framework</w:t>
            </w:r>
          </w:p>
        </w:tc>
        <w:tc>
          <w:tcPr>
            <w:tcW w:w="0" w:type="auto"/>
            <w:hideMark/>
          </w:tcPr>
          <w:p w14:paraId="79A71067"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600</w:t>
            </w:r>
          </w:p>
        </w:tc>
        <w:tc>
          <w:tcPr>
            <w:tcW w:w="0" w:type="auto"/>
            <w:hideMark/>
          </w:tcPr>
          <w:p w14:paraId="192D3A4E"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 xml:space="preserve">Define </w:t>
            </w:r>
            <w:r w:rsidRPr="003031E3">
              <w:rPr>
                <w:rFonts w:asciiTheme="minorHAnsi" w:hAnsiTheme="minorHAnsi" w:cstheme="minorHAnsi"/>
                <w:i/>
                <w:iCs/>
                <w:lang w:val="en-US"/>
              </w:rPr>
              <w:t>Bartlett and Ghoshal’s Integration–Responsiveness Framework</w:t>
            </w:r>
            <w:r w:rsidRPr="003031E3">
              <w:rPr>
                <w:rFonts w:asciiTheme="minorHAnsi" w:hAnsiTheme="minorHAnsi" w:cstheme="minorHAnsi"/>
                <w:lang w:val="en-US"/>
              </w:rPr>
              <w:t xml:space="preserve"> and analyse </w:t>
            </w:r>
            <w:r w:rsidRPr="003031E3">
              <w:rPr>
                <w:rFonts w:asciiTheme="minorHAnsi" w:hAnsiTheme="minorHAnsi" w:cstheme="minorHAnsi"/>
                <w:i/>
                <w:iCs/>
                <w:lang w:val="en-US"/>
              </w:rPr>
              <w:t>the company’s</w:t>
            </w:r>
            <w:r w:rsidRPr="003031E3">
              <w:rPr>
                <w:rFonts w:asciiTheme="minorHAnsi" w:hAnsiTheme="minorHAnsi" w:cstheme="minorHAnsi"/>
                <w:lang w:val="en-US"/>
              </w:rPr>
              <w:t xml:space="preserve"> main strategic approach (e.g., Transnational, Global, International, Multidomestic). Critically evaluate all four models using real data. Summarise findings in </w:t>
            </w:r>
            <w:r w:rsidRPr="003031E3">
              <w:rPr>
                <w:rFonts w:asciiTheme="minorHAnsi" w:hAnsiTheme="minorHAnsi" w:cstheme="minorHAnsi"/>
                <w:lang w:val="en-US"/>
              </w:rPr>
              <w:lastRenderedPageBreak/>
              <w:t>a table (Strategy, Product/Market, Country, Strategy Used).</w:t>
            </w:r>
          </w:p>
        </w:tc>
        <w:tc>
          <w:tcPr>
            <w:tcW w:w="0" w:type="auto"/>
            <w:hideMark/>
          </w:tcPr>
          <w:p w14:paraId="7722719D"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lastRenderedPageBreak/>
              <w:t xml:space="preserve">Use 20+ scholarly and professional sources (IMF, UNCTAD, company disclosures). Discuss the balance between global integration and local responsiveness and its effects on profitability, </w:t>
            </w:r>
            <w:r w:rsidRPr="003031E3">
              <w:rPr>
                <w:rFonts w:asciiTheme="minorHAnsi" w:hAnsiTheme="minorHAnsi" w:cstheme="minorHAnsi"/>
                <w:lang w:val="en-US"/>
              </w:rPr>
              <w:lastRenderedPageBreak/>
              <w:t>efficiency, and adaptability.</w:t>
            </w:r>
          </w:p>
        </w:tc>
        <w:tc>
          <w:tcPr>
            <w:tcW w:w="0" w:type="auto"/>
            <w:hideMark/>
          </w:tcPr>
          <w:p w14:paraId="7F6D8579"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lastRenderedPageBreak/>
              <w:t>Apply international management frameworks to assess strategic positioning and contextual pressures.</w:t>
            </w:r>
          </w:p>
        </w:tc>
        <w:tc>
          <w:tcPr>
            <w:tcW w:w="0" w:type="auto"/>
            <w:hideMark/>
          </w:tcPr>
          <w:p w14:paraId="27A67376"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Knowledge (20%) — Strong grasp of global strategy. Application (30%) — Clear theory–practice linkage. Analysis (25%) — Critical comparison of strategies.</w:t>
            </w:r>
          </w:p>
        </w:tc>
      </w:tr>
      <w:tr w:rsidR="007A5227" w:rsidRPr="003031E3" w14:paraId="7BA80D65" w14:textId="77777777" w:rsidTr="003031E3">
        <w:tc>
          <w:tcPr>
            <w:tcW w:w="0" w:type="auto"/>
            <w:hideMark/>
          </w:tcPr>
          <w:p w14:paraId="4C3DC480"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lastRenderedPageBreak/>
              <w:t>5. Macro-Environment Analysis (PESL)</w:t>
            </w:r>
          </w:p>
        </w:tc>
        <w:tc>
          <w:tcPr>
            <w:tcW w:w="0" w:type="auto"/>
            <w:hideMark/>
          </w:tcPr>
          <w:p w14:paraId="78A82E19"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500</w:t>
            </w:r>
          </w:p>
        </w:tc>
        <w:tc>
          <w:tcPr>
            <w:tcW w:w="0" w:type="auto"/>
            <w:hideMark/>
          </w:tcPr>
          <w:p w14:paraId="66FD7FD9"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 xml:space="preserve">Define </w:t>
            </w:r>
            <w:r w:rsidRPr="003031E3">
              <w:rPr>
                <w:rFonts w:asciiTheme="minorHAnsi" w:hAnsiTheme="minorHAnsi" w:cstheme="minorHAnsi"/>
                <w:i/>
                <w:iCs/>
                <w:lang w:val="en-US"/>
              </w:rPr>
              <w:t>macro-environmental analysis</w:t>
            </w:r>
            <w:r w:rsidRPr="003031E3">
              <w:rPr>
                <w:rFonts w:asciiTheme="minorHAnsi" w:hAnsiTheme="minorHAnsi" w:cstheme="minorHAnsi"/>
                <w:lang w:val="en-US"/>
              </w:rPr>
              <w:t xml:space="preserve"> and the </w:t>
            </w:r>
            <w:r w:rsidRPr="003031E3">
              <w:rPr>
                <w:rFonts w:asciiTheme="minorHAnsi" w:hAnsiTheme="minorHAnsi" w:cstheme="minorHAnsi"/>
                <w:i/>
                <w:iCs/>
                <w:lang w:val="en-US"/>
              </w:rPr>
              <w:t>PESL framework</w:t>
            </w:r>
            <w:r w:rsidRPr="003031E3">
              <w:rPr>
                <w:rFonts w:asciiTheme="minorHAnsi" w:hAnsiTheme="minorHAnsi" w:cstheme="minorHAnsi"/>
                <w:lang w:val="en-US"/>
              </w:rPr>
              <w:t xml:space="preserve"> (Political, Economic, Social, Legal). Examine these factors in </w:t>
            </w:r>
            <w:r w:rsidRPr="003031E3">
              <w:rPr>
                <w:rFonts w:asciiTheme="minorHAnsi" w:hAnsiTheme="minorHAnsi" w:cstheme="minorHAnsi"/>
                <w:i/>
                <w:iCs/>
                <w:lang w:val="en-US"/>
              </w:rPr>
              <w:t>the company’s home country</w:t>
            </w:r>
            <w:r w:rsidRPr="003031E3">
              <w:rPr>
                <w:rFonts w:asciiTheme="minorHAnsi" w:hAnsiTheme="minorHAnsi" w:cstheme="minorHAnsi"/>
                <w:lang w:val="en-US"/>
              </w:rPr>
              <w:t xml:space="preserve"> and compare with selected host countries. Identify opportunities and threats and present findings in a data-driven PESL table.</w:t>
            </w:r>
          </w:p>
        </w:tc>
        <w:tc>
          <w:tcPr>
            <w:tcW w:w="0" w:type="auto"/>
            <w:hideMark/>
          </w:tcPr>
          <w:p w14:paraId="261E90F5"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 xml:space="preserve">Use empirical and statistical data (GDP, FDI, inflation, demographics, legal frameworks). Reference credible institutions (World Bank, OECD, IMF, WTO). Discuss implications for </w:t>
            </w:r>
            <w:r w:rsidRPr="003031E3">
              <w:rPr>
                <w:rFonts w:asciiTheme="minorHAnsi" w:hAnsiTheme="minorHAnsi" w:cstheme="minorHAnsi"/>
                <w:i/>
                <w:iCs/>
                <w:lang w:val="en-US"/>
              </w:rPr>
              <w:t>the company’s</w:t>
            </w:r>
            <w:r w:rsidRPr="003031E3">
              <w:rPr>
                <w:rFonts w:asciiTheme="minorHAnsi" w:hAnsiTheme="minorHAnsi" w:cstheme="minorHAnsi"/>
                <w:lang w:val="en-US"/>
              </w:rPr>
              <w:t xml:space="preserve"> risk exposure and strategic agility.</w:t>
            </w:r>
          </w:p>
        </w:tc>
        <w:tc>
          <w:tcPr>
            <w:tcW w:w="0" w:type="auto"/>
            <w:hideMark/>
          </w:tcPr>
          <w:p w14:paraId="7DABDAC5"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Critically assess the impact of external factors on international performance and competitiveness.</w:t>
            </w:r>
          </w:p>
        </w:tc>
        <w:tc>
          <w:tcPr>
            <w:tcW w:w="0" w:type="auto"/>
            <w:hideMark/>
          </w:tcPr>
          <w:p w14:paraId="44F4BA9E"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Application (30%) — Strong use of current data. Analysis (25%) — Balanced evaluation of global risk and opportunity. Structure (10%) — Clear analytical flow.</w:t>
            </w:r>
          </w:p>
        </w:tc>
      </w:tr>
      <w:tr w:rsidR="007A5227" w:rsidRPr="003031E3" w14:paraId="78448021" w14:textId="77777777" w:rsidTr="003031E3">
        <w:tc>
          <w:tcPr>
            <w:tcW w:w="0" w:type="auto"/>
            <w:hideMark/>
          </w:tcPr>
          <w:p w14:paraId="7916DF43"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6. CSR Practices and SDG Alignment</w:t>
            </w:r>
          </w:p>
        </w:tc>
        <w:tc>
          <w:tcPr>
            <w:tcW w:w="0" w:type="auto"/>
            <w:hideMark/>
          </w:tcPr>
          <w:p w14:paraId="7D800C0A"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200</w:t>
            </w:r>
          </w:p>
        </w:tc>
        <w:tc>
          <w:tcPr>
            <w:tcW w:w="0" w:type="auto"/>
            <w:hideMark/>
          </w:tcPr>
          <w:p w14:paraId="345AE1D5"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 xml:space="preserve">Evaluate </w:t>
            </w:r>
            <w:r w:rsidRPr="003031E3">
              <w:rPr>
                <w:rFonts w:asciiTheme="minorHAnsi" w:hAnsiTheme="minorHAnsi" w:cstheme="minorHAnsi"/>
                <w:i/>
                <w:iCs/>
                <w:lang w:val="en-US"/>
              </w:rPr>
              <w:t>the company’s</w:t>
            </w:r>
            <w:r w:rsidRPr="003031E3">
              <w:rPr>
                <w:rFonts w:asciiTheme="minorHAnsi" w:hAnsiTheme="minorHAnsi" w:cstheme="minorHAnsi"/>
                <w:lang w:val="en-US"/>
              </w:rPr>
              <w:t xml:space="preserve"> corporate social responsibility (CSR) initiatives and their alignment with specific UN Sustainable Development Goals (e.g., SDG 7, 9, 13). Discuss the strategic value of sustainability for competitive advantage.</w:t>
            </w:r>
          </w:p>
        </w:tc>
        <w:tc>
          <w:tcPr>
            <w:tcW w:w="0" w:type="auto"/>
            <w:hideMark/>
          </w:tcPr>
          <w:p w14:paraId="1D966825"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Use at least 20 credible sources (UN SDG database, CSR reports, ESG benchmarks, KPMG surveys). Provide measurable evidence of performance outcomes.</w:t>
            </w:r>
          </w:p>
        </w:tc>
        <w:tc>
          <w:tcPr>
            <w:tcW w:w="0" w:type="auto"/>
            <w:hideMark/>
          </w:tcPr>
          <w:p w14:paraId="2E261D06"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Demonstrate critical understanding of CSR as a global competitiveness tool within international business contexts.</w:t>
            </w:r>
          </w:p>
        </w:tc>
        <w:tc>
          <w:tcPr>
            <w:tcW w:w="0" w:type="auto"/>
            <w:hideMark/>
          </w:tcPr>
          <w:p w14:paraId="073430E5"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Knowledge (20%) — Excellent conceptual clarity. Reading (15%) — Broad evidence integration. Analysis (25%) — Analytical synthesis of CSR–SDG relationship.</w:t>
            </w:r>
          </w:p>
        </w:tc>
      </w:tr>
      <w:tr w:rsidR="007A5227" w:rsidRPr="003031E3" w14:paraId="3B73F7F2" w14:textId="77777777" w:rsidTr="003031E3">
        <w:tc>
          <w:tcPr>
            <w:tcW w:w="0" w:type="auto"/>
            <w:hideMark/>
          </w:tcPr>
          <w:p w14:paraId="76F46201"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7. Conclusion and Recommendations</w:t>
            </w:r>
          </w:p>
        </w:tc>
        <w:tc>
          <w:tcPr>
            <w:tcW w:w="0" w:type="auto"/>
            <w:hideMark/>
          </w:tcPr>
          <w:p w14:paraId="1860AF7C"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200</w:t>
            </w:r>
          </w:p>
        </w:tc>
        <w:tc>
          <w:tcPr>
            <w:tcW w:w="0" w:type="auto"/>
            <w:hideMark/>
          </w:tcPr>
          <w:p w14:paraId="5038E9E8"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 xml:space="preserve">Summarise key findings from all analyses. Propose actionable recommendations for strengthening </w:t>
            </w:r>
            <w:r w:rsidRPr="003031E3">
              <w:rPr>
                <w:rFonts w:asciiTheme="minorHAnsi" w:hAnsiTheme="minorHAnsi" w:cstheme="minorHAnsi"/>
                <w:i/>
                <w:iCs/>
                <w:lang w:val="en-US"/>
              </w:rPr>
              <w:t>the company’s</w:t>
            </w:r>
            <w:r w:rsidRPr="003031E3">
              <w:rPr>
                <w:rFonts w:asciiTheme="minorHAnsi" w:hAnsiTheme="minorHAnsi" w:cstheme="minorHAnsi"/>
                <w:lang w:val="en-US"/>
              </w:rPr>
              <w:t xml:space="preserve"> international competitiveness, CSR engagement, and alignment with SDGs. Address </w:t>
            </w:r>
            <w:r w:rsidRPr="003031E3">
              <w:rPr>
                <w:rFonts w:asciiTheme="minorHAnsi" w:hAnsiTheme="minorHAnsi" w:cstheme="minorHAnsi"/>
                <w:lang w:val="en-US"/>
              </w:rPr>
              <w:lastRenderedPageBreak/>
              <w:t>communication with global stakeholders.</w:t>
            </w:r>
          </w:p>
        </w:tc>
        <w:tc>
          <w:tcPr>
            <w:tcW w:w="0" w:type="auto"/>
            <w:hideMark/>
          </w:tcPr>
          <w:p w14:paraId="32725C86"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lastRenderedPageBreak/>
              <w:t>Recommendations must be realistic, evidence-based, and supported by theory and empirical insight.</w:t>
            </w:r>
          </w:p>
        </w:tc>
        <w:tc>
          <w:tcPr>
            <w:tcW w:w="0" w:type="auto"/>
            <w:hideMark/>
          </w:tcPr>
          <w:p w14:paraId="68544217"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Formulate strategic, ethical, and sustainable recommendations for international business performance.</w:t>
            </w:r>
          </w:p>
        </w:tc>
        <w:tc>
          <w:tcPr>
            <w:tcW w:w="0" w:type="auto"/>
            <w:hideMark/>
          </w:tcPr>
          <w:p w14:paraId="03785C27"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Recommendations (30%) — Innovative, feasible, and ethical. Structure (10%) — Logical and coherent closure.</w:t>
            </w:r>
          </w:p>
        </w:tc>
      </w:tr>
      <w:tr w:rsidR="007A5227" w:rsidRPr="003031E3" w14:paraId="763EF400" w14:textId="77777777" w:rsidTr="003031E3">
        <w:tc>
          <w:tcPr>
            <w:tcW w:w="0" w:type="auto"/>
            <w:hideMark/>
          </w:tcPr>
          <w:p w14:paraId="6AFBC618"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lastRenderedPageBreak/>
              <w:t>8. Reference List</w:t>
            </w:r>
          </w:p>
        </w:tc>
        <w:tc>
          <w:tcPr>
            <w:tcW w:w="0" w:type="auto"/>
            <w:hideMark/>
          </w:tcPr>
          <w:p w14:paraId="57EB75FC"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w:t>
            </w:r>
          </w:p>
        </w:tc>
        <w:tc>
          <w:tcPr>
            <w:tcW w:w="0" w:type="auto"/>
            <w:hideMark/>
          </w:tcPr>
          <w:p w14:paraId="7F1A3AB5"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Compile a comprehensive Harvard-style reference list (using “and”, not “&amp;”). Minimum 40–50 credible sources (2018–2025) combining academic, professional, and institutional literature.</w:t>
            </w:r>
          </w:p>
        </w:tc>
        <w:tc>
          <w:tcPr>
            <w:tcW w:w="0" w:type="auto"/>
            <w:hideMark/>
          </w:tcPr>
          <w:p w14:paraId="2C4B1CC1"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Include core references (Hill and Hult, 2021; Wheelen et al., 2018; Collinson et al., 2020; Porter, 1998; etc.) plus recent institutional reports.</w:t>
            </w:r>
          </w:p>
        </w:tc>
        <w:tc>
          <w:tcPr>
            <w:tcW w:w="0" w:type="auto"/>
            <w:hideMark/>
          </w:tcPr>
          <w:p w14:paraId="589ADA46"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Demonstrate academic integrity and advanced research skills.</w:t>
            </w:r>
          </w:p>
        </w:tc>
        <w:tc>
          <w:tcPr>
            <w:tcW w:w="0" w:type="auto"/>
            <w:hideMark/>
          </w:tcPr>
          <w:p w14:paraId="47B4982E" w14:textId="77777777" w:rsidR="003031E3" w:rsidRPr="003031E3" w:rsidRDefault="003031E3" w:rsidP="003031E3">
            <w:pPr>
              <w:pStyle w:val="NormalWeb"/>
              <w:rPr>
                <w:rFonts w:asciiTheme="minorHAnsi" w:hAnsiTheme="minorHAnsi" w:cstheme="minorHAnsi"/>
                <w:lang w:val="en-US"/>
              </w:rPr>
            </w:pPr>
            <w:r w:rsidRPr="003031E3">
              <w:rPr>
                <w:rFonts w:asciiTheme="minorHAnsi" w:hAnsiTheme="minorHAnsi" w:cstheme="minorHAnsi"/>
                <w:lang w:val="en-US"/>
              </w:rPr>
              <w:t>Reading (15%) — Extensive, credible, and accurate sources. Structure (10%) — Perfect Harvard referencing.</w:t>
            </w:r>
          </w:p>
        </w:tc>
      </w:tr>
    </w:tbl>
    <w:p w14:paraId="728BFD4F" w14:textId="77777777" w:rsidR="003606E6" w:rsidRPr="007A5227" w:rsidRDefault="003606E6" w:rsidP="003031E3">
      <w:pPr>
        <w:pStyle w:val="NormalWeb"/>
        <w:jc w:val="both"/>
        <w:rPr>
          <w:rFonts w:asciiTheme="minorHAnsi" w:hAnsiTheme="minorHAnsi" w:cstheme="minorHAnsi"/>
        </w:rPr>
      </w:pPr>
    </w:p>
    <w:p w14:paraId="19A416CA" w14:textId="77777777" w:rsidR="004131DD" w:rsidRPr="007A5227" w:rsidRDefault="004131DD" w:rsidP="00653E62">
      <w:pPr>
        <w:rPr>
          <w:rFonts w:cstheme="minorHAnsi"/>
          <w:b/>
          <w:sz w:val="24"/>
          <w:szCs w:val="24"/>
        </w:rPr>
      </w:pPr>
    </w:p>
    <w:p w14:paraId="470B00E6" w14:textId="77777777" w:rsidR="004131DD" w:rsidRPr="007A5227" w:rsidRDefault="004131DD" w:rsidP="00653E62">
      <w:pPr>
        <w:rPr>
          <w:rFonts w:cstheme="minorHAnsi"/>
          <w:b/>
          <w:sz w:val="24"/>
          <w:szCs w:val="24"/>
        </w:rPr>
      </w:pPr>
      <w:r w:rsidRPr="007A5227">
        <w:rPr>
          <w:rFonts w:cstheme="minorHAnsi"/>
          <w:b/>
          <w:sz w:val="24"/>
          <w:szCs w:val="24"/>
        </w:rPr>
        <w:t xml:space="preserve">Apply at least 10 of the references below to the </w:t>
      </w:r>
      <w:r w:rsidR="003B5DC8" w:rsidRPr="007A5227">
        <w:rPr>
          <w:rFonts w:cstheme="minorHAnsi"/>
          <w:b/>
          <w:sz w:val="24"/>
          <w:szCs w:val="24"/>
        </w:rPr>
        <w:t>paper</w:t>
      </w:r>
      <w:r w:rsidRPr="007A5227">
        <w:rPr>
          <w:rFonts w:cstheme="minorHAnsi"/>
          <w:b/>
          <w:sz w:val="24"/>
          <w:szCs w:val="24"/>
        </w:rPr>
        <w:t>:</w:t>
      </w:r>
    </w:p>
    <w:p w14:paraId="0C2E5644" w14:textId="77777777" w:rsidR="00AB793A" w:rsidRPr="007A5227" w:rsidRDefault="00AB793A" w:rsidP="00AB793A">
      <w:pPr>
        <w:rPr>
          <w:rFonts w:cstheme="minorHAnsi"/>
          <w:sz w:val="24"/>
          <w:szCs w:val="24"/>
        </w:rPr>
      </w:pPr>
      <w:r w:rsidRPr="007A5227">
        <w:rPr>
          <w:rFonts w:cstheme="minorHAnsi"/>
          <w:sz w:val="24"/>
          <w:szCs w:val="24"/>
        </w:rPr>
        <w:t>Hill, C.W.L and Hult, G.T.M (2021) International Business, Competing in the Global Marketplace. 13th ed. New York: McGraw Hill Education</w:t>
      </w:r>
    </w:p>
    <w:p w14:paraId="68B038F4" w14:textId="77777777" w:rsidR="00AB793A" w:rsidRPr="007A5227" w:rsidRDefault="00AB793A" w:rsidP="00AB793A">
      <w:pPr>
        <w:rPr>
          <w:rFonts w:cstheme="minorHAnsi"/>
          <w:sz w:val="24"/>
          <w:szCs w:val="24"/>
        </w:rPr>
      </w:pPr>
      <w:r w:rsidRPr="007A5227">
        <w:rPr>
          <w:rFonts w:cstheme="minorHAnsi"/>
          <w:sz w:val="24"/>
          <w:szCs w:val="24"/>
        </w:rPr>
        <w:t xml:space="preserve">Wheelen, T. L., Hunger, J. D., Hoffman, A. N., and Bamford, C. E. (2018) Strategic Management and Business Policy: Globalization, Innovation and Sustainability, 15th Global ed. Harlow, UK: Pearson Education Limited </w:t>
      </w:r>
    </w:p>
    <w:p w14:paraId="4B85E911" w14:textId="77777777" w:rsidR="00AB793A" w:rsidRPr="007A5227" w:rsidRDefault="00AB793A" w:rsidP="00AB793A">
      <w:pPr>
        <w:rPr>
          <w:rFonts w:cstheme="minorHAnsi"/>
          <w:sz w:val="24"/>
          <w:szCs w:val="24"/>
        </w:rPr>
      </w:pPr>
      <w:r w:rsidRPr="007A5227">
        <w:rPr>
          <w:rFonts w:cstheme="minorHAnsi"/>
          <w:sz w:val="24"/>
          <w:szCs w:val="24"/>
        </w:rPr>
        <w:t xml:space="preserve">Collinson, S., Narula, R., and Rugman, A. M. and Qamar, A. (2020) International Business, 8th ed., Harlow, UK: Pearson Education Limited </w:t>
      </w:r>
    </w:p>
    <w:p w14:paraId="6B4B17C0" w14:textId="77777777" w:rsidR="00AB793A" w:rsidRPr="007A5227" w:rsidRDefault="00AB793A" w:rsidP="00AB793A">
      <w:pPr>
        <w:rPr>
          <w:rFonts w:cstheme="minorHAnsi"/>
          <w:sz w:val="24"/>
          <w:szCs w:val="24"/>
        </w:rPr>
      </w:pPr>
      <w:r w:rsidRPr="007A5227">
        <w:rPr>
          <w:rFonts w:cstheme="minorHAnsi"/>
          <w:sz w:val="24"/>
          <w:szCs w:val="24"/>
        </w:rPr>
        <w:t xml:space="preserve">Daniels, J. D., Radebaugh, L. H. and Sullivan, D. (2021) International Business, Global Edition, 17th ed. Harlow, UK: Pearson Education Limited </w:t>
      </w:r>
    </w:p>
    <w:p w14:paraId="3ADB1424" w14:textId="77777777" w:rsidR="00AB793A" w:rsidRPr="007A5227" w:rsidRDefault="00AB793A" w:rsidP="00AB793A">
      <w:pPr>
        <w:rPr>
          <w:rFonts w:cstheme="minorHAnsi"/>
          <w:sz w:val="24"/>
          <w:szCs w:val="24"/>
        </w:rPr>
      </w:pPr>
      <w:r w:rsidRPr="007A5227">
        <w:rPr>
          <w:rFonts w:cstheme="minorHAnsi"/>
          <w:sz w:val="24"/>
          <w:szCs w:val="24"/>
        </w:rPr>
        <w:t xml:space="preserve">Hamilton, L and Webster, P (2015) The International Business Environment, 3rd ed., Oxford, UK: Oxford University Press </w:t>
      </w:r>
    </w:p>
    <w:p w14:paraId="01A0786E" w14:textId="77777777" w:rsidR="00AB793A" w:rsidRPr="007A5227" w:rsidRDefault="00AB793A" w:rsidP="00AB793A">
      <w:pPr>
        <w:rPr>
          <w:rFonts w:cstheme="minorHAnsi"/>
          <w:sz w:val="24"/>
          <w:szCs w:val="24"/>
        </w:rPr>
      </w:pPr>
      <w:r w:rsidRPr="007A5227">
        <w:rPr>
          <w:rFonts w:cstheme="minorHAnsi"/>
          <w:sz w:val="24"/>
          <w:szCs w:val="24"/>
        </w:rPr>
        <w:t xml:space="preserve">Hill, C. W. L., and Hult, G. T. M (2018) Global Business Today, 10th ed. New York: McGraw- Hill Education </w:t>
      </w:r>
    </w:p>
    <w:p w14:paraId="0438D527" w14:textId="77777777" w:rsidR="00AB793A" w:rsidRPr="007A5227" w:rsidRDefault="00AB793A" w:rsidP="00AB793A">
      <w:pPr>
        <w:rPr>
          <w:rFonts w:cstheme="minorHAnsi"/>
          <w:sz w:val="24"/>
          <w:szCs w:val="24"/>
        </w:rPr>
      </w:pPr>
      <w:r w:rsidRPr="007A5227">
        <w:rPr>
          <w:rFonts w:cstheme="minorHAnsi"/>
          <w:sz w:val="24"/>
          <w:szCs w:val="24"/>
        </w:rPr>
        <w:t>Hunger, J.D. and Wheelen, T.L. (2014) Essentials of Strategic Management: New International Edition. 5th ed., Harlow, UK: Pearson Education Limited</w:t>
      </w:r>
    </w:p>
    <w:p w14:paraId="1355EDB2" w14:textId="77777777" w:rsidR="00AB793A" w:rsidRPr="007A5227" w:rsidRDefault="00AB793A" w:rsidP="00AB793A">
      <w:pPr>
        <w:rPr>
          <w:rFonts w:cstheme="minorHAnsi"/>
          <w:sz w:val="24"/>
          <w:szCs w:val="24"/>
        </w:rPr>
      </w:pPr>
      <w:r w:rsidRPr="007A5227">
        <w:rPr>
          <w:rFonts w:cstheme="minorHAnsi"/>
          <w:sz w:val="24"/>
          <w:szCs w:val="24"/>
        </w:rPr>
        <w:lastRenderedPageBreak/>
        <w:t xml:space="preserve">Johnson, G., Schholes, D., Whittington, R., Regner, P., and Angwin, D., (2020) Fundamentals of Strategy. 5th ed., Harlow, UK: Pearson Education Limited </w:t>
      </w:r>
    </w:p>
    <w:p w14:paraId="628C914C" w14:textId="77777777" w:rsidR="00AB793A" w:rsidRPr="007A5227" w:rsidRDefault="00AB793A" w:rsidP="00AB793A">
      <w:pPr>
        <w:rPr>
          <w:rFonts w:cstheme="minorHAnsi"/>
          <w:sz w:val="24"/>
          <w:szCs w:val="24"/>
        </w:rPr>
      </w:pPr>
      <w:r w:rsidRPr="007A5227">
        <w:rPr>
          <w:rFonts w:cstheme="minorHAnsi"/>
          <w:sz w:val="24"/>
          <w:szCs w:val="24"/>
        </w:rPr>
        <w:t>Johnson, G., Scholes, D., and Whittington, R., (2017) Exploring Corporate Strategy. 11th ed. UK: Prentice Hall</w:t>
      </w:r>
    </w:p>
    <w:p w14:paraId="45AF040E" w14:textId="77777777" w:rsidR="00AB793A" w:rsidRPr="007A5227" w:rsidRDefault="00AB793A" w:rsidP="00AB793A">
      <w:pPr>
        <w:rPr>
          <w:rFonts w:cstheme="minorHAnsi"/>
          <w:sz w:val="24"/>
          <w:szCs w:val="24"/>
        </w:rPr>
      </w:pPr>
      <w:r w:rsidRPr="007A5227">
        <w:rPr>
          <w:rFonts w:cstheme="minorHAnsi"/>
          <w:sz w:val="24"/>
          <w:szCs w:val="24"/>
        </w:rPr>
        <w:t>Lynch, R. (2018) Strategic Management. 8th ed., Harlow, UK: Pearson Education Limited</w:t>
      </w:r>
    </w:p>
    <w:p w14:paraId="663B6B45" w14:textId="77777777" w:rsidR="00AB793A" w:rsidRPr="007A5227" w:rsidRDefault="00AB793A" w:rsidP="00AB793A">
      <w:pPr>
        <w:rPr>
          <w:rFonts w:cstheme="minorHAnsi"/>
          <w:sz w:val="24"/>
          <w:szCs w:val="24"/>
        </w:rPr>
      </w:pPr>
      <w:r w:rsidRPr="007A5227">
        <w:rPr>
          <w:rFonts w:cstheme="minorHAnsi"/>
          <w:sz w:val="24"/>
          <w:szCs w:val="24"/>
        </w:rPr>
        <w:t xml:space="preserve">Porter, M.E., (1998), Competitive Advantages of Nations, MacMillan Business </w:t>
      </w:r>
    </w:p>
    <w:p w14:paraId="5D3C539D" w14:textId="0574BBDC" w:rsidR="00AB793A" w:rsidRPr="007A5227" w:rsidRDefault="00AB793A" w:rsidP="00AB793A">
      <w:pPr>
        <w:rPr>
          <w:rFonts w:cstheme="minorHAnsi"/>
          <w:sz w:val="24"/>
          <w:szCs w:val="24"/>
        </w:rPr>
      </w:pPr>
      <w:r w:rsidRPr="007A5227">
        <w:rPr>
          <w:rFonts w:cstheme="minorHAnsi"/>
          <w:sz w:val="24"/>
          <w:szCs w:val="24"/>
        </w:rPr>
        <w:t xml:space="preserve">Radebaugh, L. H., Sullivan, D., and Daniels, J. D. (2021) International Business, Environments and Operations, 17th ed. Harlow, UK: Pearson Education Limited </w:t>
      </w:r>
    </w:p>
    <w:p w14:paraId="6E6091FD" w14:textId="77777777" w:rsidR="00AB793A" w:rsidRPr="007A5227" w:rsidRDefault="00AB793A" w:rsidP="00AB793A">
      <w:pPr>
        <w:rPr>
          <w:rFonts w:cstheme="minorHAnsi"/>
          <w:sz w:val="24"/>
          <w:szCs w:val="24"/>
        </w:rPr>
      </w:pPr>
      <w:r w:rsidRPr="007A5227">
        <w:rPr>
          <w:rFonts w:cstheme="minorHAnsi"/>
          <w:sz w:val="24"/>
          <w:szCs w:val="24"/>
        </w:rPr>
        <w:t xml:space="preserve">Wall, S and Minocha, S. (2015) International Business, 4th ed., Harlow, UK: Pearson Education Limited </w:t>
      </w:r>
    </w:p>
    <w:p w14:paraId="09CD7C97" w14:textId="77777777" w:rsidR="00AB793A" w:rsidRDefault="00AB793A" w:rsidP="00BA0781">
      <w:pPr>
        <w:rPr>
          <w:rFonts w:cstheme="minorHAnsi"/>
          <w:sz w:val="24"/>
          <w:szCs w:val="24"/>
        </w:rPr>
      </w:pPr>
      <w:r w:rsidRPr="007A5227">
        <w:rPr>
          <w:rFonts w:cstheme="minorHAnsi"/>
          <w:sz w:val="24"/>
          <w:szCs w:val="24"/>
        </w:rPr>
        <w:t>Wild, J.J., and Wild, K.L., (2020) International Business.  The Challenges of Globalization.  9th ed. Harlow, UK: Pearson</w:t>
      </w:r>
    </w:p>
    <w:p w14:paraId="65BF705F" w14:textId="77777777" w:rsidR="00D354CD" w:rsidRDefault="00D354CD" w:rsidP="00BA0781">
      <w:pPr>
        <w:rPr>
          <w:rFonts w:cstheme="minorHAnsi"/>
          <w:sz w:val="24"/>
          <w:szCs w:val="24"/>
        </w:rPr>
      </w:pPr>
    </w:p>
    <w:p w14:paraId="66A0C7D9" w14:textId="77777777" w:rsidR="00D354CD" w:rsidRPr="0051311D" w:rsidRDefault="00D354CD" w:rsidP="00D354CD">
      <w:pPr>
        <w:spacing w:before="120" w:after="120" w:line="360" w:lineRule="auto"/>
        <w:jc w:val="both"/>
        <w:rPr>
          <w:rFonts w:cstheme="minorHAnsi"/>
          <w:color w:val="C00000"/>
          <w:spacing w:val="2"/>
        </w:rPr>
      </w:pPr>
      <w:r w:rsidRPr="0051311D">
        <w:rPr>
          <w:rFonts w:cstheme="minorHAnsi"/>
          <w:color w:val="C00000"/>
          <w:spacing w:val="2"/>
        </w:rPr>
        <w:t>Additional Instructions</w:t>
      </w:r>
    </w:p>
    <w:p w14:paraId="411FC6F8" w14:textId="77777777" w:rsidR="00D354CD" w:rsidRPr="0051311D" w:rsidRDefault="00D354CD" w:rsidP="00D354CD">
      <w:pPr>
        <w:pStyle w:val="ListParagraph"/>
        <w:numPr>
          <w:ilvl w:val="0"/>
          <w:numId w:val="10"/>
        </w:numPr>
        <w:spacing w:before="120" w:after="120" w:line="360" w:lineRule="auto"/>
        <w:contextualSpacing w:val="0"/>
        <w:rPr>
          <w:rFonts w:cstheme="minorHAnsi"/>
          <w:color w:val="C00000"/>
          <w:spacing w:val="2"/>
          <w:shd w:val="clear" w:color="auto" w:fill="FFFFFF"/>
        </w:rPr>
      </w:pPr>
      <w:r w:rsidRPr="0051311D">
        <w:rPr>
          <w:rFonts w:cstheme="minorHAnsi"/>
          <w:color w:val="C00000"/>
          <w:spacing w:val="2"/>
          <w:shd w:val="clear" w:color="auto" w:fill="FFFFFF"/>
        </w:rPr>
        <w:t>Follow specified word count</w:t>
      </w:r>
    </w:p>
    <w:p w14:paraId="7B20EA96" w14:textId="77777777" w:rsidR="00D354CD" w:rsidRPr="0051311D" w:rsidRDefault="00D354CD" w:rsidP="00D354CD">
      <w:pPr>
        <w:pStyle w:val="ListParagraph"/>
        <w:numPr>
          <w:ilvl w:val="0"/>
          <w:numId w:val="10"/>
        </w:numPr>
        <w:spacing w:before="120" w:after="120" w:line="360" w:lineRule="auto"/>
        <w:contextualSpacing w:val="0"/>
        <w:rPr>
          <w:rFonts w:cstheme="minorHAnsi"/>
          <w:color w:val="C00000"/>
          <w:spacing w:val="2"/>
          <w:shd w:val="clear" w:color="auto" w:fill="FFFFFF"/>
        </w:rPr>
      </w:pPr>
      <w:r w:rsidRPr="0051311D">
        <w:rPr>
          <w:rFonts w:cstheme="minorHAnsi"/>
          <w:color w:val="C00000"/>
          <w:spacing w:val="2"/>
          <w:shd w:val="clear" w:color="auto" w:fill="FFFFFF"/>
        </w:rPr>
        <w:t xml:space="preserve">Writing: Write at level 7 (master's level). Show a true understanding of the field of study and related areas. Use the right terminology. Don't just describe, synthesize the work to ensure excellent level 7 writing. </w:t>
      </w:r>
    </w:p>
    <w:p w14:paraId="38D47C2C" w14:textId="77777777" w:rsidR="00D354CD" w:rsidRPr="0051311D" w:rsidRDefault="00D354CD" w:rsidP="00D354CD">
      <w:pPr>
        <w:pStyle w:val="ListParagraph"/>
        <w:numPr>
          <w:ilvl w:val="0"/>
          <w:numId w:val="10"/>
        </w:numPr>
        <w:spacing w:before="120" w:after="120" w:line="360" w:lineRule="auto"/>
        <w:contextualSpacing w:val="0"/>
        <w:rPr>
          <w:rFonts w:cstheme="minorHAnsi"/>
          <w:color w:val="C00000"/>
          <w:spacing w:val="2"/>
          <w:shd w:val="clear" w:color="auto" w:fill="FFFFFF"/>
        </w:rPr>
      </w:pPr>
      <w:r w:rsidRPr="0051311D">
        <w:rPr>
          <w:rFonts w:cstheme="minorHAnsi"/>
        </w:rPr>
        <w:t>Make sure to use empirical data and lots of statistics and in-text citations to show vast reading. Also, don’t keep repeating sources. Use more sources.</w:t>
      </w:r>
    </w:p>
    <w:p w14:paraId="4AAC6B3E" w14:textId="77777777" w:rsidR="00D354CD" w:rsidRPr="0051311D" w:rsidRDefault="00D354CD" w:rsidP="00D354CD">
      <w:pPr>
        <w:pStyle w:val="ListParagraph"/>
        <w:numPr>
          <w:ilvl w:val="0"/>
          <w:numId w:val="10"/>
        </w:numPr>
        <w:spacing w:before="120" w:after="120" w:line="360" w:lineRule="auto"/>
        <w:contextualSpacing w:val="0"/>
        <w:rPr>
          <w:rFonts w:cstheme="minorHAnsi"/>
          <w:color w:val="C00000"/>
          <w:spacing w:val="2"/>
          <w:shd w:val="clear" w:color="auto" w:fill="FFFFFF"/>
        </w:rPr>
      </w:pPr>
      <w:r w:rsidRPr="0051311D">
        <w:rPr>
          <w:rFonts w:cstheme="minorHAnsi"/>
          <w:color w:val="C00000"/>
          <w:spacing w:val="2"/>
          <w:shd w:val="clear" w:color="auto" w:fill="FFFFFF"/>
        </w:rPr>
        <w:t>Do not use contractions or first-person. Only third-person.</w:t>
      </w:r>
    </w:p>
    <w:p w14:paraId="539AF965" w14:textId="77777777" w:rsidR="00D354CD" w:rsidRPr="0051311D" w:rsidRDefault="00D354CD" w:rsidP="00D354CD">
      <w:pPr>
        <w:pStyle w:val="ListParagraph"/>
        <w:numPr>
          <w:ilvl w:val="0"/>
          <w:numId w:val="10"/>
        </w:numPr>
        <w:spacing w:before="120" w:after="120" w:line="360" w:lineRule="auto"/>
        <w:contextualSpacing w:val="0"/>
        <w:rPr>
          <w:rFonts w:cstheme="minorHAnsi"/>
          <w:color w:val="C00000"/>
          <w:spacing w:val="2"/>
          <w:shd w:val="clear" w:color="auto" w:fill="FFFFFF"/>
        </w:rPr>
      </w:pPr>
      <w:r w:rsidRPr="0051311D">
        <w:rPr>
          <w:rFonts w:cstheme="minorHAnsi"/>
          <w:color w:val="C00000"/>
          <w:spacing w:val="2"/>
          <w:shd w:val="clear" w:color="auto" w:fill="FFFFFF"/>
        </w:rPr>
        <w:t>English: UK English</w:t>
      </w:r>
    </w:p>
    <w:p w14:paraId="7B5E89A7" w14:textId="77777777" w:rsidR="00D354CD" w:rsidRPr="0051311D" w:rsidRDefault="00D354CD" w:rsidP="00D354CD">
      <w:pPr>
        <w:pStyle w:val="ListParagraph"/>
        <w:numPr>
          <w:ilvl w:val="0"/>
          <w:numId w:val="10"/>
        </w:numPr>
        <w:spacing w:before="120" w:after="120" w:line="360" w:lineRule="auto"/>
        <w:contextualSpacing w:val="0"/>
        <w:rPr>
          <w:rFonts w:cstheme="minorHAnsi"/>
          <w:color w:val="C00000"/>
          <w:spacing w:val="2"/>
          <w:shd w:val="clear" w:color="auto" w:fill="FFFFFF"/>
        </w:rPr>
      </w:pPr>
      <w:r w:rsidRPr="0051311D">
        <w:rPr>
          <w:rFonts w:cstheme="minorHAnsi"/>
          <w:color w:val="C00000"/>
          <w:spacing w:val="2"/>
          <w:shd w:val="clear" w:color="auto" w:fill="FFFFFF"/>
        </w:rPr>
        <w:lastRenderedPageBreak/>
        <w:t xml:space="preserve">Structure: Write in paragraphs only. Use clear and easy-to-follow headings. No lists or bullet points. Provide scholarly definitions of major concepts in relation to the topic/field of study. </w:t>
      </w:r>
    </w:p>
    <w:p w14:paraId="74D3D66F" w14:textId="77777777" w:rsidR="00D354CD" w:rsidRPr="0051311D" w:rsidRDefault="00D354CD" w:rsidP="00D354CD">
      <w:pPr>
        <w:pStyle w:val="ListParagraph"/>
        <w:numPr>
          <w:ilvl w:val="0"/>
          <w:numId w:val="10"/>
        </w:numPr>
        <w:spacing w:before="120" w:after="120" w:line="360" w:lineRule="auto"/>
        <w:contextualSpacing w:val="0"/>
        <w:rPr>
          <w:rFonts w:cstheme="minorHAnsi"/>
          <w:color w:val="C00000"/>
          <w:spacing w:val="2"/>
          <w:shd w:val="clear" w:color="auto" w:fill="FFFFFF"/>
        </w:rPr>
      </w:pPr>
      <w:r w:rsidRPr="0051311D">
        <w:rPr>
          <w:rFonts w:cstheme="minorHAnsi"/>
          <w:color w:val="C00000"/>
          <w:spacing w:val="2"/>
          <w:shd w:val="clear" w:color="auto" w:fill="FFFFFF"/>
        </w:rPr>
        <w:t>Citation: Harvard Style (with “and” instead of “&amp;”). Use scholarly articles/books/publications for citation.</w:t>
      </w:r>
    </w:p>
    <w:p w14:paraId="7DD64972" w14:textId="77777777" w:rsidR="00D354CD" w:rsidRPr="0051311D" w:rsidRDefault="00D354CD" w:rsidP="00D354CD">
      <w:pPr>
        <w:pStyle w:val="ListParagraph"/>
        <w:numPr>
          <w:ilvl w:val="0"/>
          <w:numId w:val="10"/>
        </w:numPr>
        <w:spacing w:before="120" w:after="120" w:line="360" w:lineRule="auto"/>
        <w:contextualSpacing w:val="0"/>
        <w:rPr>
          <w:rFonts w:cstheme="minorHAnsi"/>
          <w:color w:val="202124"/>
          <w:spacing w:val="2"/>
          <w:shd w:val="clear" w:color="auto" w:fill="FFFFFF"/>
        </w:rPr>
      </w:pPr>
      <w:r w:rsidRPr="0051311D">
        <w:rPr>
          <w:rFonts w:cstheme="minorHAnsi"/>
          <w:color w:val="C00000"/>
          <w:spacing w:val="2"/>
          <w:shd w:val="clear" w:color="auto" w:fill="FFFFFF"/>
        </w:rPr>
        <w:t>Referencing: Provide a list of references after the work. This should not be included in the overall word count.</w:t>
      </w:r>
      <w:r w:rsidRPr="0051311D">
        <w:rPr>
          <w:rFonts w:cstheme="minorHAnsi"/>
          <w:color w:val="C00000"/>
          <w:spacing w:val="2"/>
        </w:rPr>
        <w:br/>
      </w:r>
    </w:p>
    <w:p w14:paraId="20CC94A0" w14:textId="77777777" w:rsidR="00D354CD" w:rsidRPr="0051311D" w:rsidRDefault="00D354CD" w:rsidP="00D354CD">
      <w:pPr>
        <w:spacing w:before="120" w:after="120" w:line="360" w:lineRule="auto"/>
        <w:jc w:val="both"/>
        <w:rPr>
          <w:rFonts w:cstheme="minorHAnsi"/>
        </w:rPr>
      </w:pPr>
      <w:r w:rsidRPr="0051311D">
        <w:rPr>
          <w:rFonts w:cstheme="minorHAnsi"/>
        </w:rPr>
        <w:t>All work must meet the following criteria and encompass these factors:</w:t>
      </w:r>
    </w:p>
    <w:p w14:paraId="636E7B7D" w14:textId="77777777" w:rsidR="00D354CD" w:rsidRPr="0051311D" w:rsidRDefault="00D354CD" w:rsidP="00D354CD">
      <w:pPr>
        <w:spacing w:before="120" w:after="120" w:line="360" w:lineRule="auto"/>
        <w:jc w:val="both"/>
        <w:rPr>
          <w:rFonts w:cstheme="minorHAnsi"/>
          <w:i/>
        </w:rPr>
      </w:pPr>
      <w:r w:rsidRPr="0051311D">
        <w:rPr>
          <w:rFonts w:cstheme="minorHAnsi"/>
          <w:i/>
          <w:color w:val="2E74B5" w:themeColor="accent1" w:themeShade="BF"/>
        </w:rPr>
        <w:t>Clarity of Argument, Depth of Analysis, Critical Thinking, Proper Synthesis of Information, Coherence and Structure, Accurate Citations and Referencing, Originality, Relevance to Topic, Use of Scholarly Sources, Formal Academic Tone, No contractions, Proper Grammar and Spelling, Logical Flow of Ideas, Thorough Research, Adherence to Formatting Guidelines, Balanced Discussion of Different Perspectives, Use of Data and Statistics (if applicable), and Ethical Writing Practices (e.g., avoiding plagiarism)</w:t>
      </w:r>
      <w:r w:rsidRPr="0051311D">
        <w:rPr>
          <w:rFonts w:cstheme="minorHAnsi"/>
          <w:i/>
        </w:rPr>
        <w:t>.</w:t>
      </w:r>
    </w:p>
    <w:p w14:paraId="45591828" w14:textId="77777777" w:rsidR="00D354CD" w:rsidRPr="007A5227" w:rsidRDefault="00D354CD" w:rsidP="00BA0781">
      <w:pPr>
        <w:rPr>
          <w:rFonts w:cstheme="minorHAnsi"/>
          <w:sz w:val="24"/>
          <w:szCs w:val="24"/>
        </w:rPr>
      </w:pPr>
    </w:p>
    <w:p w14:paraId="2B317311" w14:textId="77777777" w:rsidR="00BA0781" w:rsidRPr="007A5227" w:rsidRDefault="00BA0781" w:rsidP="00BA0781">
      <w:pPr>
        <w:rPr>
          <w:rFonts w:cstheme="minorHAnsi"/>
          <w:sz w:val="24"/>
          <w:szCs w:val="24"/>
        </w:rPr>
      </w:pPr>
    </w:p>
    <w:sectPr w:rsidR="00BA0781" w:rsidRPr="007A5227" w:rsidSect="003031E3">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55AE"/>
    <w:multiLevelType w:val="multilevel"/>
    <w:tmpl w:val="8FD4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94C03"/>
    <w:multiLevelType w:val="multilevel"/>
    <w:tmpl w:val="987C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D4BC0"/>
    <w:multiLevelType w:val="hybridMultilevel"/>
    <w:tmpl w:val="174ACB4C"/>
    <w:lvl w:ilvl="0" w:tplc="A532E036">
      <w:start w:val="1"/>
      <w:numFmt w:val="decimal"/>
      <w:pStyle w:val="BodyText-Numbered"/>
      <w:lvlText w:val="%1)"/>
      <w:lvlJc w:val="left"/>
      <w:pPr>
        <w:tabs>
          <w:tab w:val="num" w:pos="851"/>
        </w:tabs>
        <w:ind w:left="425" w:hanging="425"/>
      </w:pPr>
      <w:rPr>
        <w:rFonts w:ascii="Arial" w:hAnsi="Arial" w:hint="default"/>
        <w:b w:val="0"/>
        <w:i w:val="0"/>
        <w:color w:val="130E3D"/>
        <w:w w:val="10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6C7200C"/>
    <w:multiLevelType w:val="multilevel"/>
    <w:tmpl w:val="401A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60A72"/>
    <w:multiLevelType w:val="multilevel"/>
    <w:tmpl w:val="BC4C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36205"/>
    <w:multiLevelType w:val="hybridMultilevel"/>
    <w:tmpl w:val="6F5A68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BD2DBA"/>
    <w:multiLevelType w:val="hybridMultilevel"/>
    <w:tmpl w:val="FC607C96"/>
    <w:lvl w:ilvl="0" w:tplc="23DAE362">
      <w:start w:val="1"/>
      <w:numFmt w:val="bullet"/>
      <w:lvlText w:val="•"/>
      <w:lvlJc w:val="left"/>
      <w:pPr>
        <w:tabs>
          <w:tab w:val="num" w:pos="720"/>
        </w:tabs>
        <w:ind w:left="720" w:hanging="360"/>
      </w:pPr>
      <w:rPr>
        <w:rFonts w:ascii="Arial" w:hAnsi="Arial" w:hint="default"/>
      </w:rPr>
    </w:lvl>
    <w:lvl w:ilvl="1" w:tplc="A516EB6A" w:tentative="1">
      <w:start w:val="1"/>
      <w:numFmt w:val="bullet"/>
      <w:lvlText w:val="•"/>
      <w:lvlJc w:val="left"/>
      <w:pPr>
        <w:tabs>
          <w:tab w:val="num" w:pos="1440"/>
        </w:tabs>
        <w:ind w:left="1440" w:hanging="360"/>
      </w:pPr>
      <w:rPr>
        <w:rFonts w:ascii="Arial" w:hAnsi="Arial" w:hint="default"/>
      </w:rPr>
    </w:lvl>
    <w:lvl w:ilvl="2" w:tplc="0274607A" w:tentative="1">
      <w:start w:val="1"/>
      <w:numFmt w:val="bullet"/>
      <w:lvlText w:val="•"/>
      <w:lvlJc w:val="left"/>
      <w:pPr>
        <w:tabs>
          <w:tab w:val="num" w:pos="2160"/>
        </w:tabs>
        <w:ind w:left="2160" w:hanging="360"/>
      </w:pPr>
      <w:rPr>
        <w:rFonts w:ascii="Arial" w:hAnsi="Arial" w:hint="default"/>
      </w:rPr>
    </w:lvl>
    <w:lvl w:ilvl="3" w:tplc="C086626E" w:tentative="1">
      <w:start w:val="1"/>
      <w:numFmt w:val="bullet"/>
      <w:lvlText w:val="•"/>
      <w:lvlJc w:val="left"/>
      <w:pPr>
        <w:tabs>
          <w:tab w:val="num" w:pos="2880"/>
        </w:tabs>
        <w:ind w:left="2880" w:hanging="360"/>
      </w:pPr>
      <w:rPr>
        <w:rFonts w:ascii="Arial" w:hAnsi="Arial" w:hint="default"/>
      </w:rPr>
    </w:lvl>
    <w:lvl w:ilvl="4" w:tplc="717C42F2" w:tentative="1">
      <w:start w:val="1"/>
      <w:numFmt w:val="bullet"/>
      <w:lvlText w:val="•"/>
      <w:lvlJc w:val="left"/>
      <w:pPr>
        <w:tabs>
          <w:tab w:val="num" w:pos="3600"/>
        </w:tabs>
        <w:ind w:left="3600" w:hanging="360"/>
      </w:pPr>
      <w:rPr>
        <w:rFonts w:ascii="Arial" w:hAnsi="Arial" w:hint="default"/>
      </w:rPr>
    </w:lvl>
    <w:lvl w:ilvl="5" w:tplc="C5EEB7B0" w:tentative="1">
      <w:start w:val="1"/>
      <w:numFmt w:val="bullet"/>
      <w:lvlText w:val="•"/>
      <w:lvlJc w:val="left"/>
      <w:pPr>
        <w:tabs>
          <w:tab w:val="num" w:pos="4320"/>
        </w:tabs>
        <w:ind w:left="4320" w:hanging="360"/>
      </w:pPr>
      <w:rPr>
        <w:rFonts w:ascii="Arial" w:hAnsi="Arial" w:hint="default"/>
      </w:rPr>
    </w:lvl>
    <w:lvl w:ilvl="6" w:tplc="6562B7CE" w:tentative="1">
      <w:start w:val="1"/>
      <w:numFmt w:val="bullet"/>
      <w:lvlText w:val="•"/>
      <w:lvlJc w:val="left"/>
      <w:pPr>
        <w:tabs>
          <w:tab w:val="num" w:pos="5040"/>
        </w:tabs>
        <w:ind w:left="5040" w:hanging="360"/>
      </w:pPr>
      <w:rPr>
        <w:rFonts w:ascii="Arial" w:hAnsi="Arial" w:hint="default"/>
      </w:rPr>
    </w:lvl>
    <w:lvl w:ilvl="7" w:tplc="D4CE674C" w:tentative="1">
      <w:start w:val="1"/>
      <w:numFmt w:val="bullet"/>
      <w:lvlText w:val="•"/>
      <w:lvlJc w:val="left"/>
      <w:pPr>
        <w:tabs>
          <w:tab w:val="num" w:pos="5760"/>
        </w:tabs>
        <w:ind w:left="5760" w:hanging="360"/>
      </w:pPr>
      <w:rPr>
        <w:rFonts w:ascii="Arial" w:hAnsi="Arial" w:hint="default"/>
      </w:rPr>
    </w:lvl>
    <w:lvl w:ilvl="8" w:tplc="441A2BE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2085DB4"/>
    <w:multiLevelType w:val="multilevel"/>
    <w:tmpl w:val="2AD0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02760"/>
    <w:multiLevelType w:val="hybridMultilevel"/>
    <w:tmpl w:val="8AE854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FD6EE9"/>
    <w:multiLevelType w:val="hybridMultilevel"/>
    <w:tmpl w:val="40F2EE7A"/>
    <w:lvl w:ilvl="0" w:tplc="3C4E0D84">
      <w:start w:val="1"/>
      <w:numFmt w:val="bullet"/>
      <w:lvlText w:val=" "/>
      <w:lvlJc w:val="left"/>
      <w:pPr>
        <w:tabs>
          <w:tab w:val="num" w:pos="720"/>
        </w:tabs>
        <w:ind w:left="720" w:hanging="360"/>
      </w:pPr>
      <w:rPr>
        <w:rFonts w:ascii="Calibri" w:hAnsi="Calibri" w:hint="default"/>
      </w:rPr>
    </w:lvl>
    <w:lvl w:ilvl="1" w:tplc="E1B685EC" w:tentative="1">
      <w:start w:val="1"/>
      <w:numFmt w:val="bullet"/>
      <w:lvlText w:val=" "/>
      <w:lvlJc w:val="left"/>
      <w:pPr>
        <w:tabs>
          <w:tab w:val="num" w:pos="1440"/>
        </w:tabs>
        <w:ind w:left="1440" w:hanging="360"/>
      </w:pPr>
      <w:rPr>
        <w:rFonts w:ascii="Calibri" w:hAnsi="Calibri" w:hint="default"/>
      </w:rPr>
    </w:lvl>
    <w:lvl w:ilvl="2" w:tplc="112C24CC" w:tentative="1">
      <w:start w:val="1"/>
      <w:numFmt w:val="bullet"/>
      <w:lvlText w:val=" "/>
      <w:lvlJc w:val="left"/>
      <w:pPr>
        <w:tabs>
          <w:tab w:val="num" w:pos="2160"/>
        </w:tabs>
        <w:ind w:left="2160" w:hanging="360"/>
      </w:pPr>
      <w:rPr>
        <w:rFonts w:ascii="Calibri" w:hAnsi="Calibri" w:hint="default"/>
      </w:rPr>
    </w:lvl>
    <w:lvl w:ilvl="3" w:tplc="21565714" w:tentative="1">
      <w:start w:val="1"/>
      <w:numFmt w:val="bullet"/>
      <w:lvlText w:val=" "/>
      <w:lvlJc w:val="left"/>
      <w:pPr>
        <w:tabs>
          <w:tab w:val="num" w:pos="2880"/>
        </w:tabs>
        <w:ind w:left="2880" w:hanging="360"/>
      </w:pPr>
      <w:rPr>
        <w:rFonts w:ascii="Calibri" w:hAnsi="Calibri" w:hint="default"/>
      </w:rPr>
    </w:lvl>
    <w:lvl w:ilvl="4" w:tplc="FA8ED174" w:tentative="1">
      <w:start w:val="1"/>
      <w:numFmt w:val="bullet"/>
      <w:lvlText w:val=" "/>
      <w:lvlJc w:val="left"/>
      <w:pPr>
        <w:tabs>
          <w:tab w:val="num" w:pos="3600"/>
        </w:tabs>
        <w:ind w:left="3600" w:hanging="360"/>
      </w:pPr>
      <w:rPr>
        <w:rFonts w:ascii="Calibri" w:hAnsi="Calibri" w:hint="default"/>
      </w:rPr>
    </w:lvl>
    <w:lvl w:ilvl="5" w:tplc="D73E0408" w:tentative="1">
      <w:start w:val="1"/>
      <w:numFmt w:val="bullet"/>
      <w:lvlText w:val=" "/>
      <w:lvlJc w:val="left"/>
      <w:pPr>
        <w:tabs>
          <w:tab w:val="num" w:pos="4320"/>
        </w:tabs>
        <w:ind w:left="4320" w:hanging="360"/>
      </w:pPr>
      <w:rPr>
        <w:rFonts w:ascii="Calibri" w:hAnsi="Calibri" w:hint="default"/>
      </w:rPr>
    </w:lvl>
    <w:lvl w:ilvl="6" w:tplc="140A10AE" w:tentative="1">
      <w:start w:val="1"/>
      <w:numFmt w:val="bullet"/>
      <w:lvlText w:val=" "/>
      <w:lvlJc w:val="left"/>
      <w:pPr>
        <w:tabs>
          <w:tab w:val="num" w:pos="5040"/>
        </w:tabs>
        <w:ind w:left="5040" w:hanging="360"/>
      </w:pPr>
      <w:rPr>
        <w:rFonts w:ascii="Calibri" w:hAnsi="Calibri" w:hint="default"/>
      </w:rPr>
    </w:lvl>
    <w:lvl w:ilvl="7" w:tplc="278EE2E8" w:tentative="1">
      <w:start w:val="1"/>
      <w:numFmt w:val="bullet"/>
      <w:lvlText w:val=" "/>
      <w:lvlJc w:val="left"/>
      <w:pPr>
        <w:tabs>
          <w:tab w:val="num" w:pos="5760"/>
        </w:tabs>
        <w:ind w:left="5760" w:hanging="360"/>
      </w:pPr>
      <w:rPr>
        <w:rFonts w:ascii="Calibri" w:hAnsi="Calibri" w:hint="default"/>
      </w:rPr>
    </w:lvl>
    <w:lvl w:ilvl="8" w:tplc="A0B608F0" w:tentative="1">
      <w:start w:val="1"/>
      <w:numFmt w:val="bullet"/>
      <w:lvlText w:val=" "/>
      <w:lvlJc w:val="left"/>
      <w:pPr>
        <w:tabs>
          <w:tab w:val="num" w:pos="6480"/>
        </w:tabs>
        <w:ind w:left="6480" w:hanging="360"/>
      </w:pPr>
      <w:rPr>
        <w:rFonts w:ascii="Calibri" w:hAnsi="Calibri" w:hint="default"/>
      </w:rPr>
    </w:lvl>
  </w:abstractNum>
  <w:abstractNum w:abstractNumId="10" w15:restartNumberingAfterBreak="0">
    <w:nsid w:val="261E11A2"/>
    <w:multiLevelType w:val="hybridMultilevel"/>
    <w:tmpl w:val="60B466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3C7A55"/>
    <w:multiLevelType w:val="hybridMultilevel"/>
    <w:tmpl w:val="F736934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B691FE6"/>
    <w:multiLevelType w:val="multilevel"/>
    <w:tmpl w:val="EDFE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3B6F11"/>
    <w:multiLevelType w:val="multilevel"/>
    <w:tmpl w:val="6CD0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DA46D2"/>
    <w:multiLevelType w:val="hybridMultilevel"/>
    <w:tmpl w:val="63703BA2"/>
    <w:lvl w:ilvl="0" w:tplc="22C89A80">
      <w:start w:val="1"/>
      <w:numFmt w:val="bullet"/>
      <w:lvlText w:val=" "/>
      <w:lvlJc w:val="left"/>
      <w:pPr>
        <w:tabs>
          <w:tab w:val="num" w:pos="720"/>
        </w:tabs>
        <w:ind w:left="720" w:hanging="360"/>
      </w:pPr>
      <w:rPr>
        <w:rFonts w:ascii="Calibri" w:hAnsi="Calibri" w:hint="default"/>
      </w:rPr>
    </w:lvl>
    <w:lvl w:ilvl="1" w:tplc="A76C619A" w:tentative="1">
      <w:start w:val="1"/>
      <w:numFmt w:val="bullet"/>
      <w:lvlText w:val=" "/>
      <w:lvlJc w:val="left"/>
      <w:pPr>
        <w:tabs>
          <w:tab w:val="num" w:pos="1440"/>
        </w:tabs>
        <w:ind w:left="1440" w:hanging="360"/>
      </w:pPr>
      <w:rPr>
        <w:rFonts w:ascii="Calibri" w:hAnsi="Calibri" w:hint="default"/>
      </w:rPr>
    </w:lvl>
    <w:lvl w:ilvl="2" w:tplc="D2DA6CD4" w:tentative="1">
      <w:start w:val="1"/>
      <w:numFmt w:val="bullet"/>
      <w:lvlText w:val=" "/>
      <w:lvlJc w:val="left"/>
      <w:pPr>
        <w:tabs>
          <w:tab w:val="num" w:pos="2160"/>
        </w:tabs>
        <w:ind w:left="2160" w:hanging="360"/>
      </w:pPr>
      <w:rPr>
        <w:rFonts w:ascii="Calibri" w:hAnsi="Calibri" w:hint="default"/>
      </w:rPr>
    </w:lvl>
    <w:lvl w:ilvl="3" w:tplc="91B8E356" w:tentative="1">
      <w:start w:val="1"/>
      <w:numFmt w:val="bullet"/>
      <w:lvlText w:val=" "/>
      <w:lvlJc w:val="left"/>
      <w:pPr>
        <w:tabs>
          <w:tab w:val="num" w:pos="2880"/>
        </w:tabs>
        <w:ind w:left="2880" w:hanging="360"/>
      </w:pPr>
      <w:rPr>
        <w:rFonts w:ascii="Calibri" w:hAnsi="Calibri" w:hint="default"/>
      </w:rPr>
    </w:lvl>
    <w:lvl w:ilvl="4" w:tplc="D61A1F24" w:tentative="1">
      <w:start w:val="1"/>
      <w:numFmt w:val="bullet"/>
      <w:lvlText w:val=" "/>
      <w:lvlJc w:val="left"/>
      <w:pPr>
        <w:tabs>
          <w:tab w:val="num" w:pos="3600"/>
        </w:tabs>
        <w:ind w:left="3600" w:hanging="360"/>
      </w:pPr>
      <w:rPr>
        <w:rFonts w:ascii="Calibri" w:hAnsi="Calibri" w:hint="default"/>
      </w:rPr>
    </w:lvl>
    <w:lvl w:ilvl="5" w:tplc="05502FA0" w:tentative="1">
      <w:start w:val="1"/>
      <w:numFmt w:val="bullet"/>
      <w:lvlText w:val=" "/>
      <w:lvlJc w:val="left"/>
      <w:pPr>
        <w:tabs>
          <w:tab w:val="num" w:pos="4320"/>
        </w:tabs>
        <w:ind w:left="4320" w:hanging="360"/>
      </w:pPr>
      <w:rPr>
        <w:rFonts w:ascii="Calibri" w:hAnsi="Calibri" w:hint="default"/>
      </w:rPr>
    </w:lvl>
    <w:lvl w:ilvl="6" w:tplc="7324AAE8" w:tentative="1">
      <w:start w:val="1"/>
      <w:numFmt w:val="bullet"/>
      <w:lvlText w:val=" "/>
      <w:lvlJc w:val="left"/>
      <w:pPr>
        <w:tabs>
          <w:tab w:val="num" w:pos="5040"/>
        </w:tabs>
        <w:ind w:left="5040" w:hanging="360"/>
      </w:pPr>
      <w:rPr>
        <w:rFonts w:ascii="Calibri" w:hAnsi="Calibri" w:hint="default"/>
      </w:rPr>
    </w:lvl>
    <w:lvl w:ilvl="7" w:tplc="F8C8B70A" w:tentative="1">
      <w:start w:val="1"/>
      <w:numFmt w:val="bullet"/>
      <w:lvlText w:val=" "/>
      <w:lvlJc w:val="left"/>
      <w:pPr>
        <w:tabs>
          <w:tab w:val="num" w:pos="5760"/>
        </w:tabs>
        <w:ind w:left="5760" w:hanging="360"/>
      </w:pPr>
      <w:rPr>
        <w:rFonts w:ascii="Calibri" w:hAnsi="Calibri" w:hint="default"/>
      </w:rPr>
    </w:lvl>
    <w:lvl w:ilvl="8" w:tplc="A70ABC90" w:tentative="1">
      <w:start w:val="1"/>
      <w:numFmt w:val="bullet"/>
      <w:lvlText w:val=" "/>
      <w:lvlJc w:val="left"/>
      <w:pPr>
        <w:tabs>
          <w:tab w:val="num" w:pos="6480"/>
        </w:tabs>
        <w:ind w:left="6480" w:hanging="360"/>
      </w:pPr>
      <w:rPr>
        <w:rFonts w:ascii="Calibri" w:hAnsi="Calibri" w:hint="default"/>
      </w:rPr>
    </w:lvl>
  </w:abstractNum>
  <w:abstractNum w:abstractNumId="15" w15:restartNumberingAfterBreak="0">
    <w:nsid w:val="4F385A96"/>
    <w:multiLevelType w:val="hybridMultilevel"/>
    <w:tmpl w:val="F5FC8C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0324C2A"/>
    <w:multiLevelType w:val="hybridMultilevel"/>
    <w:tmpl w:val="52BA0614"/>
    <w:lvl w:ilvl="0" w:tplc="898C26C0">
      <w:start w:val="1"/>
      <w:numFmt w:val="bullet"/>
      <w:lvlText w:val="•"/>
      <w:lvlJc w:val="left"/>
      <w:pPr>
        <w:tabs>
          <w:tab w:val="num" w:pos="720"/>
        </w:tabs>
        <w:ind w:left="720" w:hanging="360"/>
      </w:pPr>
      <w:rPr>
        <w:rFonts w:ascii="Arial" w:hAnsi="Arial" w:hint="default"/>
      </w:rPr>
    </w:lvl>
    <w:lvl w:ilvl="1" w:tplc="F60CD2F8" w:tentative="1">
      <w:start w:val="1"/>
      <w:numFmt w:val="bullet"/>
      <w:lvlText w:val="•"/>
      <w:lvlJc w:val="left"/>
      <w:pPr>
        <w:tabs>
          <w:tab w:val="num" w:pos="1440"/>
        </w:tabs>
        <w:ind w:left="1440" w:hanging="360"/>
      </w:pPr>
      <w:rPr>
        <w:rFonts w:ascii="Arial" w:hAnsi="Arial" w:hint="default"/>
      </w:rPr>
    </w:lvl>
    <w:lvl w:ilvl="2" w:tplc="19ECDD7E" w:tentative="1">
      <w:start w:val="1"/>
      <w:numFmt w:val="bullet"/>
      <w:lvlText w:val="•"/>
      <w:lvlJc w:val="left"/>
      <w:pPr>
        <w:tabs>
          <w:tab w:val="num" w:pos="2160"/>
        </w:tabs>
        <w:ind w:left="2160" w:hanging="360"/>
      </w:pPr>
      <w:rPr>
        <w:rFonts w:ascii="Arial" w:hAnsi="Arial" w:hint="default"/>
      </w:rPr>
    </w:lvl>
    <w:lvl w:ilvl="3" w:tplc="AB3A6E42" w:tentative="1">
      <w:start w:val="1"/>
      <w:numFmt w:val="bullet"/>
      <w:lvlText w:val="•"/>
      <w:lvlJc w:val="left"/>
      <w:pPr>
        <w:tabs>
          <w:tab w:val="num" w:pos="2880"/>
        </w:tabs>
        <w:ind w:left="2880" w:hanging="360"/>
      </w:pPr>
      <w:rPr>
        <w:rFonts w:ascii="Arial" w:hAnsi="Arial" w:hint="default"/>
      </w:rPr>
    </w:lvl>
    <w:lvl w:ilvl="4" w:tplc="47A2A248" w:tentative="1">
      <w:start w:val="1"/>
      <w:numFmt w:val="bullet"/>
      <w:lvlText w:val="•"/>
      <w:lvlJc w:val="left"/>
      <w:pPr>
        <w:tabs>
          <w:tab w:val="num" w:pos="3600"/>
        </w:tabs>
        <w:ind w:left="3600" w:hanging="360"/>
      </w:pPr>
      <w:rPr>
        <w:rFonts w:ascii="Arial" w:hAnsi="Arial" w:hint="default"/>
      </w:rPr>
    </w:lvl>
    <w:lvl w:ilvl="5" w:tplc="1F8A7B58" w:tentative="1">
      <w:start w:val="1"/>
      <w:numFmt w:val="bullet"/>
      <w:lvlText w:val="•"/>
      <w:lvlJc w:val="left"/>
      <w:pPr>
        <w:tabs>
          <w:tab w:val="num" w:pos="4320"/>
        </w:tabs>
        <w:ind w:left="4320" w:hanging="360"/>
      </w:pPr>
      <w:rPr>
        <w:rFonts w:ascii="Arial" w:hAnsi="Arial" w:hint="default"/>
      </w:rPr>
    </w:lvl>
    <w:lvl w:ilvl="6" w:tplc="729A0F96" w:tentative="1">
      <w:start w:val="1"/>
      <w:numFmt w:val="bullet"/>
      <w:lvlText w:val="•"/>
      <w:lvlJc w:val="left"/>
      <w:pPr>
        <w:tabs>
          <w:tab w:val="num" w:pos="5040"/>
        </w:tabs>
        <w:ind w:left="5040" w:hanging="360"/>
      </w:pPr>
      <w:rPr>
        <w:rFonts w:ascii="Arial" w:hAnsi="Arial" w:hint="default"/>
      </w:rPr>
    </w:lvl>
    <w:lvl w:ilvl="7" w:tplc="3B942630" w:tentative="1">
      <w:start w:val="1"/>
      <w:numFmt w:val="bullet"/>
      <w:lvlText w:val="•"/>
      <w:lvlJc w:val="left"/>
      <w:pPr>
        <w:tabs>
          <w:tab w:val="num" w:pos="5760"/>
        </w:tabs>
        <w:ind w:left="5760" w:hanging="360"/>
      </w:pPr>
      <w:rPr>
        <w:rFonts w:ascii="Arial" w:hAnsi="Arial" w:hint="default"/>
      </w:rPr>
    </w:lvl>
    <w:lvl w:ilvl="8" w:tplc="86B0A78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50BE53A8"/>
    <w:multiLevelType w:val="multilevel"/>
    <w:tmpl w:val="4348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7C0980"/>
    <w:multiLevelType w:val="multilevel"/>
    <w:tmpl w:val="4C0A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2B67C7"/>
    <w:multiLevelType w:val="multilevel"/>
    <w:tmpl w:val="F33A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2A70AC"/>
    <w:multiLevelType w:val="hybridMultilevel"/>
    <w:tmpl w:val="111CDA9A"/>
    <w:lvl w:ilvl="0" w:tplc="59AA2BE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E441078"/>
    <w:multiLevelType w:val="hybridMultilevel"/>
    <w:tmpl w:val="DE3C550E"/>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F5630FB"/>
    <w:multiLevelType w:val="multilevel"/>
    <w:tmpl w:val="877E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B43820"/>
    <w:multiLevelType w:val="multilevel"/>
    <w:tmpl w:val="A4E6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036B3A"/>
    <w:multiLevelType w:val="hybridMultilevel"/>
    <w:tmpl w:val="111CDA9A"/>
    <w:lvl w:ilvl="0" w:tplc="59AA2BE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1302F09"/>
    <w:multiLevelType w:val="multilevel"/>
    <w:tmpl w:val="67F2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A41011"/>
    <w:multiLevelType w:val="hybridMultilevel"/>
    <w:tmpl w:val="2822FB58"/>
    <w:lvl w:ilvl="0" w:tplc="1276A03C">
      <w:start w:val="1"/>
      <w:numFmt w:val="bullet"/>
      <w:lvlText w:val=" "/>
      <w:lvlJc w:val="left"/>
      <w:pPr>
        <w:tabs>
          <w:tab w:val="num" w:pos="720"/>
        </w:tabs>
        <w:ind w:left="720" w:hanging="360"/>
      </w:pPr>
      <w:rPr>
        <w:rFonts w:ascii="Calibri" w:hAnsi="Calibri" w:hint="default"/>
      </w:rPr>
    </w:lvl>
    <w:lvl w:ilvl="1" w:tplc="99586852" w:tentative="1">
      <w:start w:val="1"/>
      <w:numFmt w:val="bullet"/>
      <w:lvlText w:val=" "/>
      <w:lvlJc w:val="left"/>
      <w:pPr>
        <w:tabs>
          <w:tab w:val="num" w:pos="1440"/>
        </w:tabs>
        <w:ind w:left="1440" w:hanging="360"/>
      </w:pPr>
      <w:rPr>
        <w:rFonts w:ascii="Calibri" w:hAnsi="Calibri" w:hint="default"/>
      </w:rPr>
    </w:lvl>
    <w:lvl w:ilvl="2" w:tplc="8D881B84" w:tentative="1">
      <w:start w:val="1"/>
      <w:numFmt w:val="bullet"/>
      <w:lvlText w:val=" "/>
      <w:lvlJc w:val="left"/>
      <w:pPr>
        <w:tabs>
          <w:tab w:val="num" w:pos="2160"/>
        </w:tabs>
        <w:ind w:left="2160" w:hanging="360"/>
      </w:pPr>
      <w:rPr>
        <w:rFonts w:ascii="Calibri" w:hAnsi="Calibri" w:hint="default"/>
      </w:rPr>
    </w:lvl>
    <w:lvl w:ilvl="3" w:tplc="E264DA7C" w:tentative="1">
      <w:start w:val="1"/>
      <w:numFmt w:val="bullet"/>
      <w:lvlText w:val=" "/>
      <w:lvlJc w:val="left"/>
      <w:pPr>
        <w:tabs>
          <w:tab w:val="num" w:pos="2880"/>
        </w:tabs>
        <w:ind w:left="2880" w:hanging="360"/>
      </w:pPr>
      <w:rPr>
        <w:rFonts w:ascii="Calibri" w:hAnsi="Calibri" w:hint="default"/>
      </w:rPr>
    </w:lvl>
    <w:lvl w:ilvl="4" w:tplc="64A231CA" w:tentative="1">
      <w:start w:val="1"/>
      <w:numFmt w:val="bullet"/>
      <w:lvlText w:val=" "/>
      <w:lvlJc w:val="left"/>
      <w:pPr>
        <w:tabs>
          <w:tab w:val="num" w:pos="3600"/>
        </w:tabs>
        <w:ind w:left="3600" w:hanging="360"/>
      </w:pPr>
      <w:rPr>
        <w:rFonts w:ascii="Calibri" w:hAnsi="Calibri" w:hint="default"/>
      </w:rPr>
    </w:lvl>
    <w:lvl w:ilvl="5" w:tplc="A0C4E850" w:tentative="1">
      <w:start w:val="1"/>
      <w:numFmt w:val="bullet"/>
      <w:lvlText w:val=" "/>
      <w:lvlJc w:val="left"/>
      <w:pPr>
        <w:tabs>
          <w:tab w:val="num" w:pos="4320"/>
        </w:tabs>
        <w:ind w:left="4320" w:hanging="360"/>
      </w:pPr>
      <w:rPr>
        <w:rFonts w:ascii="Calibri" w:hAnsi="Calibri" w:hint="default"/>
      </w:rPr>
    </w:lvl>
    <w:lvl w:ilvl="6" w:tplc="CF08F846" w:tentative="1">
      <w:start w:val="1"/>
      <w:numFmt w:val="bullet"/>
      <w:lvlText w:val=" "/>
      <w:lvlJc w:val="left"/>
      <w:pPr>
        <w:tabs>
          <w:tab w:val="num" w:pos="5040"/>
        </w:tabs>
        <w:ind w:left="5040" w:hanging="360"/>
      </w:pPr>
      <w:rPr>
        <w:rFonts w:ascii="Calibri" w:hAnsi="Calibri" w:hint="default"/>
      </w:rPr>
    </w:lvl>
    <w:lvl w:ilvl="7" w:tplc="20280AAC" w:tentative="1">
      <w:start w:val="1"/>
      <w:numFmt w:val="bullet"/>
      <w:lvlText w:val=" "/>
      <w:lvlJc w:val="left"/>
      <w:pPr>
        <w:tabs>
          <w:tab w:val="num" w:pos="5760"/>
        </w:tabs>
        <w:ind w:left="5760" w:hanging="360"/>
      </w:pPr>
      <w:rPr>
        <w:rFonts w:ascii="Calibri" w:hAnsi="Calibri" w:hint="default"/>
      </w:rPr>
    </w:lvl>
    <w:lvl w:ilvl="8" w:tplc="EE7A6FA0" w:tentative="1">
      <w:start w:val="1"/>
      <w:numFmt w:val="bullet"/>
      <w:lvlText w:val=" "/>
      <w:lvlJc w:val="left"/>
      <w:pPr>
        <w:tabs>
          <w:tab w:val="num" w:pos="6480"/>
        </w:tabs>
        <w:ind w:left="6480" w:hanging="360"/>
      </w:pPr>
      <w:rPr>
        <w:rFonts w:ascii="Calibri" w:hAnsi="Calibri" w:hint="default"/>
      </w:rPr>
    </w:lvl>
  </w:abstractNum>
  <w:abstractNum w:abstractNumId="27" w15:restartNumberingAfterBreak="0">
    <w:nsid w:val="758079CE"/>
    <w:multiLevelType w:val="multilevel"/>
    <w:tmpl w:val="3DB0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B02079"/>
    <w:multiLevelType w:val="hybridMultilevel"/>
    <w:tmpl w:val="E2FA11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7986577"/>
    <w:multiLevelType w:val="hybridMultilevel"/>
    <w:tmpl w:val="8C08B7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96865507">
    <w:abstractNumId w:val="20"/>
  </w:num>
  <w:num w:numId="2" w16cid:durableId="2115906500">
    <w:abstractNumId w:val="11"/>
  </w:num>
  <w:num w:numId="3" w16cid:durableId="1549611803">
    <w:abstractNumId w:val="29"/>
  </w:num>
  <w:num w:numId="4" w16cid:durableId="1844928074">
    <w:abstractNumId w:val="5"/>
  </w:num>
  <w:num w:numId="5" w16cid:durableId="20403640">
    <w:abstractNumId w:val="8"/>
  </w:num>
  <w:num w:numId="6" w16cid:durableId="1002244010">
    <w:abstractNumId w:val="10"/>
  </w:num>
  <w:num w:numId="7" w16cid:durableId="2002847248">
    <w:abstractNumId w:val="15"/>
  </w:num>
  <w:num w:numId="8" w16cid:durableId="1189030510">
    <w:abstractNumId w:val="6"/>
  </w:num>
  <w:num w:numId="9" w16cid:durableId="1156611017">
    <w:abstractNumId w:val="16"/>
  </w:num>
  <w:num w:numId="10" w16cid:durableId="1273897050">
    <w:abstractNumId w:val="21"/>
  </w:num>
  <w:num w:numId="11" w16cid:durableId="211239318">
    <w:abstractNumId w:val="7"/>
  </w:num>
  <w:num w:numId="12" w16cid:durableId="651367579">
    <w:abstractNumId w:val="23"/>
  </w:num>
  <w:num w:numId="13" w16cid:durableId="702902822">
    <w:abstractNumId w:val="4"/>
  </w:num>
  <w:num w:numId="14" w16cid:durableId="1157576861">
    <w:abstractNumId w:val="19"/>
  </w:num>
  <w:num w:numId="15" w16cid:durableId="1514496416">
    <w:abstractNumId w:val="27"/>
  </w:num>
  <w:num w:numId="16" w16cid:durableId="1431580760">
    <w:abstractNumId w:val="3"/>
  </w:num>
  <w:num w:numId="17" w16cid:durableId="1663703978">
    <w:abstractNumId w:val="0"/>
  </w:num>
  <w:num w:numId="18" w16cid:durableId="938871204">
    <w:abstractNumId w:val="17"/>
  </w:num>
  <w:num w:numId="19" w16cid:durableId="1585995409">
    <w:abstractNumId w:val="25"/>
  </w:num>
  <w:num w:numId="20" w16cid:durableId="13970575">
    <w:abstractNumId w:val="1"/>
  </w:num>
  <w:num w:numId="21" w16cid:durableId="1694843218">
    <w:abstractNumId w:val="13"/>
  </w:num>
  <w:num w:numId="22" w16cid:durableId="1973247594">
    <w:abstractNumId w:val="18"/>
  </w:num>
  <w:num w:numId="23" w16cid:durableId="353847592">
    <w:abstractNumId w:val="22"/>
  </w:num>
  <w:num w:numId="24" w16cid:durableId="880093752">
    <w:abstractNumId w:val="12"/>
  </w:num>
  <w:num w:numId="25" w16cid:durableId="1301494393">
    <w:abstractNumId w:val="28"/>
  </w:num>
  <w:num w:numId="26" w16cid:durableId="1898858380">
    <w:abstractNumId w:val="24"/>
  </w:num>
  <w:num w:numId="27" w16cid:durableId="375325253">
    <w:abstractNumId w:val="14"/>
  </w:num>
  <w:num w:numId="28" w16cid:durableId="415250294">
    <w:abstractNumId w:val="26"/>
  </w:num>
  <w:num w:numId="29" w16cid:durableId="955718613">
    <w:abstractNumId w:val="9"/>
  </w:num>
  <w:num w:numId="30" w16cid:durableId="8992913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781"/>
    <w:rsid w:val="0000753A"/>
    <w:rsid w:val="000303F3"/>
    <w:rsid w:val="00053462"/>
    <w:rsid w:val="0006080E"/>
    <w:rsid w:val="000820DE"/>
    <w:rsid w:val="0009384F"/>
    <w:rsid w:val="000C6D28"/>
    <w:rsid w:val="000D4297"/>
    <w:rsid w:val="000F5CE7"/>
    <w:rsid w:val="001329AB"/>
    <w:rsid w:val="0016071C"/>
    <w:rsid w:val="001705D7"/>
    <w:rsid w:val="0018715F"/>
    <w:rsid w:val="001D2324"/>
    <w:rsid w:val="001E247F"/>
    <w:rsid w:val="001E5A9C"/>
    <w:rsid w:val="001E7D7F"/>
    <w:rsid w:val="001F3806"/>
    <w:rsid w:val="00217E35"/>
    <w:rsid w:val="002251BE"/>
    <w:rsid w:val="002432EF"/>
    <w:rsid w:val="00244E46"/>
    <w:rsid w:val="00260945"/>
    <w:rsid w:val="00276CB9"/>
    <w:rsid w:val="00295E3D"/>
    <w:rsid w:val="002A3B7C"/>
    <w:rsid w:val="002F252D"/>
    <w:rsid w:val="003031E3"/>
    <w:rsid w:val="0031484A"/>
    <w:rsid w:val="00315BB3"/>
    <w:rsid w:val="003575EF"/>
    <w:rsid w:val="003606E6"/>
    <w:rsid w:val="0036349C"/>
    <w:rsid w:val="003B5DC8"/>
    <w:rsid w:val="003D1CED"/>
    <w:rsid w:val="003E2688"/>
    <w:rsid w:val="00401448"/>
    <w:rsid w:val="004131DD"/>
    <w:rsid w:val="00414AC1"/>
    <w:rsid w:val="004243C8"/>
    <w:rsid w:val="0042587E"/>
    <w:rsid w:val="004303E8"/>
    <w:rsid w:val="00452E60"/>
    <w:rsid w:val="00482B30"/>
    <w:rsid w:val="004A3647"/>
    <w:rsid w:val="004B7B76"/>
    <w:rsid w:val="004C16B9"/>
    <w:rsid w:val="004E5110"/>
    <w:rsid w:val="004E70B4"/>
    <w:rsid w:val="0050700A"/>
    <w:rsid w:val="005232F7"/>
    <w:rsid w:val="00546AE2"/>
    <w:rsid w:val="00550CC4"/>
    <w:rsid w:val="00562188"/>
    <w:rsid w:val="005750FC"/>
    <w:rsid w:val="005A479D"/>
    <w:rsid w:val="005C0B7F"/>
    <w:rsid w:val="005D1447"/>
    <w:rsid w:val="005D5507"/>
    <w:rsid w:val="005E0B74"/>
    <w:rsid w:val="00601766"/>
    <w:rsid w:val="00604BE2"/>
    <w:rsid w:val="00611182"/>
    <w:rsid w:val="00613AD4"/>
    <w:rsid w:val="00634684"/>
    <w:rsid w:val="00653E62"/>
    <w:rsid w:val="00655F6B"/>
    <w:rsid w:val="0065657E"/>
    <w:rsid w:val="00670F88"/>
    <w:rsid w:val="00687BF8"/>
    <w:rsid w:val="00691331"/>
    <w:rsid w:val="006B6BC6"/>
    <w:rsid w:val="0070085E"/>
    <w:rsid w:val="00720B94"/>
    <w:rsid w:val="0073215F"/>
    <w:rsid w:val="007515B0"/>
    <w:rsid w:val="00755646"/>
    <w:rsid w:val="007738AD"/>
    <w:rsid w:val="007A5227"/>
    <w:rsid w:val="007B4887"/>
    <w:rsid w:val="007C094B"/>
    <w:rsid w:val="007E1696"/>
    <w:rsid w:val="007E49CD"/>
    <w:rsid w:val="007F2701"/>
    <w:rsid w:val="007F626C"/>
    <w:rsid w:val="0080045B"/>
    <w:rsid w:val="0083424F"/>
    <w:rsid w:val="008349D0"/>
    <w:rsid w:val="00836ABB"/>
    <w:rsid w:val="00846D84"/>
    <w:rsid w:val="008506AC"/>
    <w:rsid w:val="00861EED"/>
    <w:rsid w:val="00863549"/>
    <w:rsid w:val="00890363"/>
    <w:rsid w:val="008C55A1"/>
    <w:rsid w:val="008D3240"/>
    <w:rsid w:val="009026EF"/>
    <w:rsid w:val="00946231"/>
    <w:rsid w:val="009554AD"/>
    <w:rsid w:val="00961AB5"/>
    <w:rsid w:val="009656F7"/>
    <w:rsid w:val="009715E5"/>
    <w:rsid w:val="00977950"/>
    <w:rsid w:val="00995AB6"/>
    <w:rsid w:val="0099784D"/>
    <w:rsid w:val="009B54A3"/>
    <w:rsid w:val="009E4DEC"/>
    <w:rsid w:val="009E7113"/>
    <w:rsid w:val="00A051A2"/>
    <w:rsid w:val="00A073A0"/>
    <w:rsid w:val="00A41E0F"/>
    <w:rsid w:val="00A611CF"/>
    <w:rsid w:val="00A652F8"/>
    <w:rsid w:val="00A71A71"/>
    <w:rsid w:val="00A8014E"/>
    <w:rsid w:val="00A878EE"/>
    <w:rsid w:val="00A95465"/>
    <w:rsid w:val="00AB793A"/>
    <w:rsid w:val="00AD4B57"/>
    <w:rsid w:val="00AD5292"/>
    <w:rsid w:val="00AF7E28"/>
    <w:rsid w:val="00B02AEE"/>
    <w:rsid w:val="00B41285"/>
    <w:rsid w:val="00B85699"/>
    <w:rsid w:val="00B94BBD"/>
    <w:rsid w:val="00BA0781"/>
    <w:rsid w:val="00BD6CDD"/>
    <w:rsid w:val="00BE1359"/>
    <w:rsid w:val="00BF06FC"/>
    <w:rsid w:val="00C02889"/>
    <w:rsid w:val="00C07018"/>
    <w:rsid w:val="00C14E19"/>
    <w:rsid w:val="00C17458"/>
    <w:rsid w:val="00C2388E"/>
    <w:rsid w:val="00C56BB7"/>
    <w:rsid w:val="00C92405"/>
    <w:rsid w:val="00CA3922"/>
    <w:rsid w:val="00CA3B65"/>
    <w:rsid w:val="00CB1CB6"/>
    <w:rsid w:val="00CB28DF"/>
    <w:rsid w:val="00CE4D3D"/>
    <w:rsid w:val="00CE4E50"/>
    <w:rsid w:val="00D354CD"/>
    <w:rsid w:val="00D36B0C"/>
    <w:rsid w:val="00D40053"/>
    <w:rsid w:val="00D40B5E"/>
    <w:rsid w:val="00D6556F"/>
    <w:rsid w:val="00D95302"/>
    <w:rsid w:val="00DB5F27"/>
    <w:rsid w:val="00DC550D"/>
    <w:rsid w:val="00DC7950"/>
    <w:rsid w:val="00DE6618"/>
    <w:rsid w:val="00DF43B8"/>
    <w:rsid w:val="00E04399"/>
    <w:rsid w:val="00E12C1A"/>
    <w:rsid w:val="00E17559"/>
    <w:rsid w:val="00E17B2A"/>
    <w:rsid w:val="00E20004"/>
    <w:rsid w:val="00E2483D"/>
    <w:rsid w:val="00E51F9F"/>
    <w:rsid w:val="00E52BC9"/>
    <w:rsid w:val="00E66838"/>
    <w:rsid w:val="00E761D7"/>
    <w:rsid w:val="00EB424D"/>
    <w:rsid w:val="00EB4355"/>
    <w:rsid w:val="00EF6276"/>
    <w:rsid w:val="00F03D55"/>
    <w:rsid w:val="00F1142F"/>
    <w:rsid w:val="00F167E6"/>
    <w:rsid w:val="00F403EC"/>
    <w:rsid w:val="00F67A1A"/>
    <w:rsid w:val="00F739FA"/>
    <w:rsid w:val="00F8207C"/>
    <w:rsid w:val="00F9675B"/>
    <w:rsid w:val="00F97C22"/>
    <w:rsid w:val="00FA1284"/>
    <w:rsid w:val="00FA1373"/>
    <w:rsid w:val="00FE10AE"/>
    <w:rsid w:val="00FF19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79A60C"/>
  <w15:chartTrackingRefBased/>
  <w15:docId w15:val="{339873FE-FE1D-43BF-B3DB-3BB60C03C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F43B8"/>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DF43B8"/>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B793A"/>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F5CE7"/>
    <w:pPr>
      <w:ind w:left="720"/>
      <w:contextualSpacing/>
    </w:pPr>
  </w:style>
  <w:style w:type="character" w:styleId="Hyperlink">
    <w:name w:val="Hyperlink"/>
    <w:basedOn w:val="DefaultParagraphFont"/>
    <w:uiPriority w:val="99"/>
    <w:semiHidden/>
    <w:unhideWhenUsed/>
    <w:rsid w:val="00F1142F"/>
    <w:rPr>
      <w:color w:val="0563C1" w:themeColor="hyperlink"/>
      <w:u w:val="single"/>
    </w:rPr>
  </w:style>
  <w:style w:type="paragraph" w:styleId="NormalWeb">
    <w:name w:val="Normal (Web)"/>
    <w:basedOn w:val="Normal"/>
    <w:uiPriority w:val="99"/>
    <w:unhideWhenUsed/>
    <w:rsid w:val="00F1142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rsid w:val="00DF43B8"/>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DF43B8"/>
    <w:rPr>
      <w:rFonts w:ascii="Times New Roman" w:eastAsia="Times New Roman" w:hAnsi="Times New Roman" w:cs="Times New Roman"/>
      <w:b/>
      <w:bCs/>
      <w:sz w:val="24"/>
      <w:szCs w:val="24"/>
      <w:lang w:eastAsia="en-GB"/>
    </w:rPr>
  </w:style>
  <w:style w:type="character" w:styleId="Strong">
    <w:name w:val="Strong"/>
    <w:basedOn w:val="DefaultParagraphFont"/>
    <w:uiPriority w:val="22"/>
    <w:qFormat/>
    <w:rsid w:val="00DF43B8"/>
    <w:rPr>
      <w:b/>
      <w:bCs/>
    </w:rPr>
  </w:style>
  <w:style w:type="paragraph" w:styleId="BodyText">
    <w:name w:val="Body Text"/>
    <w:basedOn w:val="Normal"/>
    <w:link w:val="BodyTextChar"/>
    <w:uiPriority w:val="99"/>
    <w:unhideWhenUsed/>
    <w:rsid w:val="0006080E"/>
    <w:pPr>
      <w:spacing w:after="120" w:line="280" w:lineRule="exact"/>
    </w:pPr>
    <w:rPr>
      <w:rFonts w:ascii="Arial" w:eastAsia="Times New Roman" w:hAnsi="Arial" w:cs="Times New Roman"/>
      <w:color w:val="041E42"/>
      <w:szCs w:val="24"/>
      <w:lang w:eastAsia="en-GB"/>
    </w:rPr>
  </w:style>
  <w:style w:type="character" w:customStyle="1" w:styleId="BodyTextChar">
    <w:name w:val="Body Text Char"/>
    <w:basedOn w:val="DefaultParagraphFont"/>
    <w:link w:val="BodyText"/>
    <w:uiPriority w:val="99"/>
    <w:rsid w:val="0006080E"/>
    <w:rPr>
      <w:rFonts w:ascii="Arial" w:eastAsia="Times New Roman" w:hAnsi="Arial" w:cs="Times New Roman"/>
      <w:color w:val="041E42"/>
      <w:szCs w:val="24"/>
      <w:lang w:eastAsia="en-GB"/>
    </w:rPr>
  </w:style>
  <w:style w:type="paragraph" w:customStyle="1" w:styleId="Heading5-SchoolandFaculty">
    <w:name w:val="Heading 5 - School and Faculty"/>
    <w:basedOn w:val="Normal"/>
    <w:uiPriority w:val="99"/>
    <w:rsid w:val="0006080E"/>
    <w:pPr>
      <w:suppressAutoHyphens/>
      <w:autoSpaceDE w:val="0"/>
      <w:autoSpaceDN w:val="0"/>
      <w:adjustRightInd w:val="0"/>
      <w:spacing w:after="120" w:line="288" w:lineRule="auto"/>
      <w:textAlignment w:val="center"/>
    </w:pPr>
    <w:rPr>
      <w:rFonts w:ascii="Arial" w:hAnsi="Arial" w:cs="Arial"/>
      <w:b/>
      <w:bCs/>
      <w:color w:val="041E42"/>
      <w:sz w:val="28"/>
      <w:szCs w:val="28"/>
    </w:rPr>
  </w:style>
  <w:style w:type="paragraph" w:customStyle="1" w:styleId="BodyText-Bold">
    <w:name w:val="Body Text - Bold"/>
    <w:basedOn w:val="BodyText"/>
    <w:uiPriority w:val="99"/>
    <w:rsid w:val="0006080E"/>
    <w:pPr>
      <w:suppressAutoHyphens/>
      <w:autoSpaceDE w:val="0"/>
      <w:autoSpaceDN w:val="0"/>
      <w:adjustRightInd w:val="0"/>
      <w:spacing w:after="0" w:line="288" w:lineRule="auto"/>
      <w:textAlignment w:val="center"/>
    </w:pPr>
    <w:rPr>
      <w:rFonts w:eastAsiaTheme="minorHAnsi" w:cs="Arial"/>
      <w:b/>
      <w:bCs/>
      <w:lang w:eastAsia="en-US"/>
    </w:rPr>
  </w:style>
  <w:style w:type="paragraph" w:customStyle="1" w:styleId="TableHeading-White">
    <w:name w:val="Table Heading - White"/>
    <w:basedOn w:val="BodyText-Bold"/>
    <w:qFormat/>
    <w:rsid w:val="0006080E"/>
    <w:pPr>
      <w:framePr w:hSpace="180" w:wrap="around" w:vAnchor="text" w:hAnchor="margin" w:y="104"/>
    </w:pPr>
    <w:rPr>
      <w:color w:val="FFFFFF" w:themeColor="background1"/>
      <w:sz w:val="28"/>
    </w:rPr>
  </w:style>
  <w:style w:type="paragraph" w:customStyle="1" w:styleId="BodyText-Numbered">
    <w:name w:val="Body Text - Numbered"/>
    <w:basedOn w:val="BodyText"/>
    <w:link w:val="BodyText-NumberedChar"/>
    <w:qFormat/>
    <w:rsid w:val="0006080E"/>
    <w:pPr>
      <w:numPr>
        <w:numId w:val="30"/>
      </w:numPr>
    </w:pPr>
  </w:style>
  <w:style w:type="character" w:customStyle="1" w:styleId="BodyText-NumberedChar">
    <w:name w:val="Body Text - Numbered Char"/>
    <w:basedOn w:val="BodyTextChar"/>
    <w:link w:val="BodyText-Numbered"/>
    <w:rsid w:val="0006080E"/>
    <w:rPr>
      <w:rFonts w:ascii="Arial" w:eastAsia="Times New Roman" w:hAnsi="Arial" w:cs="Times New Roman"/>
      <w:color w:val="041E42"/>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375038">
      <w:bodyDiv w:val="1"/>
      <w:marLeft w:val="0"/>
      <w:marRight w:val="0"/>
      <w:marTop w:val="0"/>
      <w:marBottom w:val="0"/>
      <w:divBdr>
        <w:top w:val="none" w:sz="0" w:space="0" w:color="auto"/>
        <w:left w:val="none" w:sz="0" w:space="0" w:color="auto"/>
        <w:bottom w:val="none" w:sz="0" w:space="0" w:color="auto"/>
        <w:right w:val="none" w:sz="0" w:space="0" w:color="auto"/>
      </w:divBdr>
      <w:divsChild>
        <w:div w:id="563835165">
          <w:marLeft w:val="360"/>
          <w:marRight w:val="0"/>
          <w:marTop w:val="200"/>
          <w:marBottom w:val="0"/>
          <w:divBdr>
            <w:top w:val="none" w:sz="0" w:space="0" w:color="auto"/>
            <w:left w:val="none" w:sz="0" w:space="0" w:color="auto"/>
            <w:bottom w:val="none" w:sz="0" w:space="0" w:color="auto"/>
            <w:right w:val="none" w:sz="0" w:space="0" w:color="auto"/>
          </w:divBdr>
        </w:div>
      </w:divsChild>
    </w:div>
    <w:div w:id="508714297">
      <w:bodyDiv w:val="1"/>
      <w:marLeft w:val="0"/>
      <w:marRight w:val="0"/>
      <w:marTop w:val="0"/>
      <w:marBottom w:val="0"/>
      <w:divBdr>
        <w:top w:val="none" w:sz="0" w:space="0" w:color="auto"/>
        <w:left w:val="none" w:sz="0" w:space="0" w:color="auto"/>
        <w:bottom w:val="none" w:sz="0" w:space="0" w:color="auto"/>
        <w:right w:val="none" w:sz="0" w:space="0" w:color="auto"/>
      </w:divBdr>
      <w:divsChild>
        <w:div w:id="2026440021">
          <w:marLeft w:val="360"/>
          <w:marRight w:val="0"/>
          <w:marTop w:val="200"/>
          <w:marBottom w:val="0"/>
          <w:divBdr>
            <w:top w:val="none" w:sz="0" w:space="0" w:color="auto"/>
            <w:left w:val="none" w:sz="0" w:space="0" w:color="auto"/>
            <w:bottom w:val="none" w:sz="0" w:space="0" w:color="auto"/>
            <w:right w:val="none" w:sz="0" w:space="0" w:color="auto"/>
          </w:divBdr>
        </w:div>
      </w:divsChild>
    </w:div>
    <w:div w:id="531500338">
      <w:bodyDiv w:val="1"/>
      <w:marLeft w:val="0"/>
      <w:marRight w:val="0"/>
      <w:marTop w:val="0"/>
      <w:marBottom w:val="0"/>
      <w:divBdr>
        <w:top w:val="none" w:sz="0" w:space="0" w:color="auto"/>
        <w:left w:val="none" w:sz="0" w:space="0" w:color="auto"/>
        <w:bottom w:val="none" w:sz="0" w:space="0" w:color="auto"/>
        <w:right w:val="none" w:sz="0" w:space="0" w:color="auto"/>
      </w:divBdr>
      <w:divsChild>
        <w:div w:id="2066223529">
          <w:marLeft w:val="0"/>
          <w:marRight w:val="0"/>
          <w:marTop w:val="0"/>
          <w:marBottom w:val="0"/>
          <w:divBdr>
            <w:top w:val="none" w:sz="0" w:space="0" w:color="auto"/>
            <w:left w:val="none" w:sz="0" w:space="0" w:color="auto"/>
            <w:bottom w:val="none" w:sz="0" w:space="0" w:color="auto"/>
            <w:right w:val="none" w:sz="0" w:space="0" w:color="auto"/>
          </w:divBdr>
        </w:div>
      </w:divsChild>
    </w:div>
    <w:div w:id="563375812">
      <w:bodyDiv w:val="1"/>
      <w:marLeft w:val="0"/>
      <w:marRight w:val="0"/>
      <w:marTop w:val="0"/>
      <w:marBottom w:val="0"/>
      <w:divBdr>
        <w:top w:val="none" w:sz="0" w:space="0" w:color="auto"/>
        <w:left w:val="none" w:sz="0" w:space="0" w:color="auto"/>
        <w:bottom w:val="none" w:sz="0" w:space="0" w:color="auto"/>
        <w:right w:val="none" w:sz="0" w:space="0" w:color="auto"/>
      </w:divBdr>
      <w:divsChild>
        <w:div w:id="2024933654">
          <w:marLeft w:val="144"/>
          <w:marRight w:val="0"/>
          <w:marTop w:val="240"/>
          <w:marBottom w:val="40"/>
          <w:divBdr>
            <w:top w:val="none" w:sz="0" w:space="0" w:color="auto"/>
            <w:left w:val="none" w:sz="0" w:space="0" w:color="auto"/>
            <w:bottom w:val="none" w:sz="0" w:space="0" w:color="auto"/>
            <w:right w:val="none" w:sz="0" w:space="0" w:color="auto"/>
          </w:divBdr>
        </w:div>
      </w:divsChild>
    </w:div>
    <w:div w:id="1062487775">
      <w:bodyDiv w:val="1"/>
      <w:marLeft w:val="0"/>
      <w:marRight w:val="0"/>
      <w:marTop w:val="0"/>
      <w:marBottom w:val="0"/>
      <w:divBdr>
        <w:top w:val="none" w:sz="0" w:space="0" w:color="auto"/>
        <w:left w:val="none" w:sz="0" w:space="0" w:color="auto"/>
        <w:bottom w:val="none" w:sz="0" w:space="0" w:color="auto"/>
        <w:right w:val="none" w:sz="0" w:space="0" w:color="auto"/>
      </w:divBdr>
    </w:div>
    <w:div w:id="1208491783">
      <w:bodyDiv w:val="1"/>
      <w:marLeft w:val="0"/>
      <w:marRight w:val="0"/>
      <w:marTop w:val="0"/>
      <w:marBottom w:val="0"/>
      <w:divBdr>
        <w:top w:val="none" w:sz="0" w:space="0" w:color="auto"/>
        <w:left w:val="none" w:sz="0" w:space="0" w:color="auto"/>
        <w:bottom w:val="none" w:sz="0" w:space="0" w:color="auto"/>
        <w:right w:val="none" w:sz="0" w:space="0" w:color="auto"/>
      </w:divBdr>
    </w:div>
    <w:div w:id="1359820135">
      <w:bodyDiv w:val="1"/>
      <w:marLeft w:val="0"/>
      <w:marRight w:val="0"/>
      <w:marTop w:val="0"/>
      <w:marBottom w:val="0"/>
      <w:divBdr>
        <w:top w:val="none" w:sz="0" w:space="0" w:color="auto"/>
        <w:left w:val="none" w:sz="0" w:space="0" w:color="auto"/>
        <w:bottom w:val="none" w:sz="0" w:space="0" w:color="auto"/>
        <w:right w:val="none" w:sz="0" w:space="0" w:color="auto"/>
      </w:divBdr>
      <w:divsChild>
        <w:div w:id="820969538">
          <w:marLeft w:val="0"/>
          <w:marRight w:val="0"/>
          <w:marTop w:val="0"/>
          <w:marBottom w:val="0"/>
          <w:divBdr>
            <w:top w:val="none" w:sz="0" w:space="0" w:color="auto"/>
            <w:left w:val="none" w:sz="0" w:space="0" w:color="auto"/>
            <w:bottom w:val="none" w:sz="0" w:space="0" w:color="auto"/>
            <w:right w:val="none" w:sz="0" w:space="0" w:color="auto"/>
          </w:divBdr>
        </w:div>
      </w:divsChild>
    </w:div>
    <w:div w:id="1428577269">
      <w:bodyDiv w:val="1"/>
      <w:marLeft w:val="0"/>
      <w:marRight w:val="0"/>
      <w:marTop w:val="0"/>
      <w:marBottom w:val="0"/>
      <w:divBdr>
        <w:top w:val="none" w:sz="0" w:space="0" w:color="auto"/>
        <w:left w:val="none" w:sz="0" w:space="0" w:color="auto"/>
        <w:bottom w:val="none" w:sz="0" w:space="0" w:color="auto"/>
        <w:right w:val="none" w:sz="0" w:space="0" w:color="auto"/>
      </w:divBdr>
    </w:div>
    <w:div w:id="1564414393">
      <w:bodyDiv w:val="1"/>
      <w:marLeft w:val="0"/>
      <w:marRight w:val="0"/>
      <w:marTop w:val="0"/>
      <w:marBottom w:val="0"/>
      <w:divBdr>
        <w:top w:val="none" w:sz="0" w:space="0" w:color="auto"/>
        <w:left w:val="none" w:sz="0" w:space="0" w:color="auto"/>
        <w:bottom w:val="none" w:sz="0" w:space="0" w:color="auto"/>
        <w:right w:val="none" w:sz="0" w:space="0" w:color="auto"/>
      </w:divBdr>
    </w:div>
    <w:div w:id="1694191347">
      <w:bodyDiv w:val="1"/>
      <w:marLeft w:val="0"/>
      <w:marRight w:val="0"/>
      <w:marTop w:val="0"/>
      <w:marBottom w:val="0"/>
      <w:divBdr>
        <w:top w:val="none" w:sz="0" w:space="0" w:color="auto"/>
        <w:left w:val="none" w:sz="0" w:space="0" w:color="auto"/>
        <w:bottom w:val="none" w:sz="0" w:space="0" w:color="auto"/>
        <w:right w:val="none" w:sz="0" w:space="0" w:color="auto"/>
      </w:divBdr>
    </w:div>
    <w:div w:id="1701010922">
      <w:bodyDiv w:val="1"/>
      <w:marLeft w:val="0"/>
      <w:marRight w:val="0"/>
      <w:marTop w:val="0"/>
      <w:marBottom w:val="0"/>
      <w:divBdr>
        <w:top w:val="none" w:sz="0" w:space="0" w:color="auto"/>
        <w:left w:val="none" w:sz="0" w:space="0" w:color="auto"/>
        <w:bottom w:val="none" w:sz="0" w:space="0" w:color="auto"/>
        <w:right w:val="none" w:sz="0" w:space="0" w:color="auto"/>
      </w:divBdr>
      <w:divsChild>
        <w:div w:id="790242577">
          <w:marLeft w:val="144"/>
          <w:marRight w:val="0"/>
          <w:marTop w:val="240"/>
          <w:marBottom w:val="40"/>
          <w:divBdr>
            <w:top w:val="none" w:sz="0" w:space="0" w:color="auto"/>
            <w:left w:val="none" w:sz="0" w:space="0" w:color="auto"/>
            <w:bottom w:val="none" w:sz="0" w:space="0" w:color="auto"/>
            <w:right w:val="none" w:sz="0" w:space="0" w:color="auto"/>
          </w:divBdr>
        </w:div>
        <w:div w:id="908881930">
          <w:marLeft w:val="144"/>
          <w:marRight w:val="0"/>
          <w:marTop w:val="240"/>
          <w:marBottom w:val="40"/>
          <w:divBdr>
            <w:top w:val="none" w:sz="0" w:space="0" w:color="auto"/>
            <w:left w:val="none" w:sz="0" w:space="0" w:color="auto"/>
            <w:bottom w:val="none" w:sz="0" w:space="0" w:color="auto"/>
            <w:right w:val="none" w:sz="0" w:space="0" w:color="auto"/>
          </w:divBdr>
        </w:div>
      </w:divsChild>
    </w:div>
    <w:div w:id="1747264588">
      <w:bodyDiv w:val="1"/>
      <w:marLeft w:val="0"/>
      <w:marRight w:val="0"/>
      <w:marTop w:val="0"/>
      <w:marBottom w:val="0"/>
      <w:divBdr>
        <w:top w:val="none" w:sz="0" w:space="0" w:color="auto"/>
        <w:left w:val="none" w:sz="0" w:space="0" w:color="auto"/>
        <w:bottom w:val="none" w:sz="0" w:space="0" w:color="auto"/>
        <w:right w:val="none" w:sz="0" w:space="0" w:color="auto"/>
      </w:divBdr>
    </w:div>
    <w:div w:id="1900048714">
      <w:bodyDiv w:val="1"/>
      <w:marLeft w:val="0"/>
      <w:marRight w:val="0"/>
      <w:marTop w:val="0"/>
      <w:marBottom w:val="0"/>
      <w:divBdr>
        <w:top w:val="none" w:sz="0" w:space="0" w:color="auto"/>
        <w:left w:val="none" w:sz="0" w:space="0" w:color="auto"/>
        <w:bottom w:val="none" w:sz="0" w:space="0" w:color="auto"/>
        <w:right w:val="none" w:sz="0" w:space="0" w:color="auto"/>
      </w:divBdr>
    </w:div>
    <w:div w:id="1991860976">
      <w:bodyDiv w:val="1"/>
      <w:marLeft w:val="0"/>
      <w:marRight w:val="0"/>
      <w:marTop w:val="0"/>
      <w:marBottom w:val="0"/>
      <w:divBdr>
        <w:top w:val="none" w:sz="0" w:space="0" w:color="auto"/>
        <w:left w:val="none" w:sz="0" w:space="0" w:color="auto"/>
        <w:bottom w:val="none" w:sz="0" w:space="0" w:color="auto"/>
        <w:right w:val="none" w:sz="0" w:space="0" w:color="auto"/>
      </w:divBdr>
      <w:divsChild>
        <w:div w:id="353582119">
          <w:marLeft w:val="144"/>
          <w:marRight w:val="0"/>
          <w:marTop w:val="240"/>
          <w:marBottom w:val="40"/>
          <w:divBdr>
            <w:top w:val="none" w:sz="0" w:space="0" w:color="auto"/>
            <w:left w:val="none" w:sz="0" w:space="0" w:color="auto"/>
            <w:bottom w:val="none" w:sz="0" w:space="0" w:color="auto"/>
            <w:right w:val="none" w:sz="0" w:space="0" w:color="auto"/>
          </w:divBdr>
        </w:div>
        <w:div w:id="243883512">
          <w:marLeft w:val="144"/>
          <w:marRight w:val="0"/>
          <w:marTop w:val="240"/>
          <w:marBottom w:val="40"/>
          <w:divBdr>
            <w:top w:val="none" w:sz="0" w:space="0" w:color="auto"/>
            <w:left w:val="none" w:sz="0" w:space="0" w:color="auto"/>
            <w:bottom w:val="none" w:sz="0" w:space="0" w:color="auto"/>
            <w:right w:val="none" w:sz="0" w:space="0" w:color="auto"/>
          </w:divBdr>
        </w:div>
        <w:div w:id="1312759496">
          <w:marLeft w:val="144"/>
          <w:marRight w:val="0"/>
          <w:marTop w:val="240"/>
          <w:marBottom w:val="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atista.com/" TargetMode="External"/><Relationship Id="rId5" Type="http://schemas.openxmlformats.org/officeDocument/2006/relationships/hyperlink" Target="https://www.statista.com/topics/1145/internet-usage-worldwi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279</TotalTime>
  <Pages>11</Pages>
  <Words>2453</Words>
  <Characters>15602</Characters>
  <Application>Microsoft Office Word</Application>
  <DocSecurity>0</DocSecurity>
  <Lines>650</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Asher Izilein</cp:lastModifiedBy>
  <cp:revision>70</cp:revision>
  <dcterms:created xsi:type="dcterms:W3CDTF">2025-03-06T14:23:00Z</dcterms:created>
  <dcterms:modified xsi:type="dcterms:W3CDTF">2025-10-17T14:02:00Z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d9d54bf3-649b-4e04-ad2f-cd96425a6247</vt:lpwstr>
  </property>
</Properties>
</file>